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inline>
        </w:drawing>
      </w:r>
    </w:p>
    <w:p>
      <w:pPr>
        <w:sectPr>
          <w:pgSz w:w="11906" w:h="16838" w:orient="portrait"/>
          <w:pgMar w:top="0" w:right="0" w:bottom="0" w:left="0" w:header="0" w:footer="0" w:gutter="0"/>
          <w:pgNumType/>
          <w:docGrid w:linePitch="360"/>
        </w:sectPr>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800"/>
        <w:gridCol w:w="6946"/>
      </w:tblGrid>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Client (fictional)</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Brew &amp; Bowl Café (fictional network)</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Location</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Westfield Chermside, QLD</w:t>
            </w:r>
          </w:p>
        </w:tc>
      </w:tr>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Audit type</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Operational Audit</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Audit conducted</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2 July 2026</w:t>
            </w:r>
          </w:p>
        </w:tc>
      </w:tr>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Report issued</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4 July 2026 (48-hour turnaround)</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Lead auditor</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 Okafor, Operations Auditor — Maintain Audits</w:t>
            </w:r>
          </w:p>
        </w:tc>
      </w:tr>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Report reference</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MA-2026-OP-0231</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Distribution</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Franchisor head office; franchisee principal — Commercial in confidence</w:t>
            </w:r>
          </w:p>
        </w:tc>
      </w:tr>
    </w:tbl>
    <w:p>
      <w:pPr>
        <w:spacing w:after="20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single" w:color="F59E0B" w:sz="4"/>
              <w:left w:val="single" w:color="F59E0B" w:sz="12"/>
              <w:bottom w:val="single" w:color="F59E0B" w:sz="4"/>
              <w:right w:val="none" w:color="FFFFFF" w:sz="0"/>
            </w:tcBorders>
            <w:shd w:fill="FEF9C3" w:color="auto" w:val="clear"/>
            <w:tcMar>
              <w:top w:type="dxa" w:w="100"/>
              <w:left w:type="dxa" w:w="160"/>
              <w:bottom w:type="dxa" w:w="100"/>
              <w:right w:type="dxa" w:w="160"/>
            </w:tcMar>
          </w:tcPr>
          <w:p>
            <w:pPr>
              <w:jc w:val="center"/>
            </w:pPr>
            <w:r>
              <w:rPr>
                <w:rFonts w:ascii="Calibri" w:cs="Calibri" w:eastAsia="Calibri" w:hAnsi="Calibri"/>
                <w:b/>
                <w:bCs/>
                <w:color w:val="854D0E"/>
                <w:sz w:val="17"/>
                <w:szCs w:val="17"/>
              </w:rPr>
              <w:t xml:space="preserve">SAMPLE DOCUMENT — all client details and findings are fictional, prepared to demonstrate Maintain Audits' reporting format.</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1</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EXECUTIVE SUMMARY</w:t>
            </w:r>
          </w:p>
        </w:tc>
      </w:tr>
    </w:tbl>
    <w:p>
      <w:pPr>
        <w:spacing w:after="160"/>
      </w:pPr>
    </w:p>
    <w:p>
      <w:pPr>
        <w:spacing w:after="160" w:before="0"/>
      </w:pPr>
      <w:r>
        <w:rPr>
          <w:rFonts w:ascii="Calibri" w:cs="Calibri" w:eastAsia="Calibri" w:hAnsi="Calibri"/>
          <w:b w:val="false"/>
          <w:bCs w:val="false"/>
          <w:color w:val="1F2D2B"/>
          <w:sz w:val="20"/>
          <w:szCs w:val="20"/>
        </w:rPr>
        <w:t xml:space="preserve">Brew &amp; Bowl Chermside was audited against the network operational standard across five domains: food safety, staffing, cash handling, compliance documentation, and service quality. The site scored 74% against a target of 85%, earning a High rating, with six findings raised.</w:t>
      </w:r>
    </w:p>
    <w:p>
      <w:pPr>
        <w:spacing w:after="160" w:before="0"/>
      </w:pPr>
      <w:r>
        <w:rPr>
          <w:rFonts w:ascii="Calibri" w:cs="Calibri" w:eastAsia="Calibri" w:hAnsi="Calibri"/>
          <w:b w:val="false"/>
          <w:bCs w:val="false"/>
          <w:color w:val="1F2D2B"/>
          <w:sz w:val="20"/>
          <w:szCs w:val="20"/>
        </w:rPr>
        <w:t xml:space="preserve">The most pressing finding is a cool-room temperature log that has not been completed for eleven consecutive days — a food safety gap with direct regulatory and brand risk. Beyond that, the pattern here is a site under staffing pressure: the kitchen was operating with two fewer staff than the network minimum at audit time, and a number of the other findings trace back to shortcuts taken under that pressure.</w:t>
      </w:r>
    </w:p>
    <w:p>
      <w:pPr>
        <w:spacing w:after="160" w:before="0"/>
      </w:pPr>
      <w:r>
        <w:rPr>
          <w:rFonts w:ascii="Calibri" w:cs="Calibri" w:eastAsia="Calibri" w:hAnsi="Calibri"/>
          <w:b w:val="false"/>
          <w:bCs w:val="false"/>
          <w:color w:val="1F2D2B"/>
          <w:sz w:val="20"/>
          <w:szCs w:val="20"/>
        </w:rPr>
        <w:t xml:space="preserve">The team's front-of-house culture is genuinely strong and the franchisee was engaged and transparent throughout the audit. Closing the six findings will bring the site back above the network target.</w:t>
      </w:r>
    </w:p>
    <w:p>
      <w:pPr>
        <w:spacing w:after="80"/>
      </w:pPr>
    </w:p>
    <w:p>
      <w:pPr>
        <w:pBdr>
          <w:bottom w:val="single" w:color="06F285" w:sz="4"/>
        </w:pBdr>
        <w:spacing w:after="100" w:before="240"/>
      </w:pPr>
      <w:r>
        <w:rPr>
          <w:rFonts w:ascii="Calibri" w:cs="Calibri" w:eastAsia="Calibri" w:hAnsi="Calibri"/>
          <w:b/>
          <w:bCs/>
          <w:color w:val="07272D"/>
          <w:sz w:val="22"/>
          <w:szCs w:val="22"/>
        </w:rPr>
        <w:t xml:space="preserve">Overall Result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500"/>
        <w:gridCol w:w="6246"/>
      </w:tblGrid>
      <w:tr>
        <w:tc>
          <w:tcPr>
            <w:tcW w:type="dxa" w:w="35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Measure</w:t>
            </w:r>
          </w:p>
        </w:tc>
        <w:tc>
          <w:tcPr>
            <w:tcW w:type="dxa" w:w="62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Result</w:t>
            </w:r>
          </w:p>
        </w:tc>
      </w:tr>
      <w:tr>
        <w:tc>
          <w:tcPr>
            <w:tcW w:type="dxa" w:w="3500"/>
            <w:tcBorders>
              <w:top w:val="none" w:color="FFFFFF" w:sz="0"/>
              <w:left w:val="none" w:color="FFFFFF" w:sz="0"/>
              <w:bottom w:val="none" w:color="FFFFFF" w:sz="0"/>
              <w:right w:val="none" w:color="FFFFFF" w:sz="0"/>
            </w:tcBorders>
            <w:shd w:fill="0D3D48"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Overall compliance score</w:t>
            </w:r>
          </w:p>
        </w:tc>
        <w:tc>
          <w:tcPr>
            <w:tcW w:type="dxa" w:w="6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74% (target ≥ 85%)</w:t>
            </w:r>
          </w:p>
        </w:tc>
      </w:tr>
      <w:tr>
        <w:tc>
          <w:tcPr>
            <w:tcW w:type="dxa" w:w="35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Overall rating</w:t>
            </w:r>
          </w:p>
        </w:tc>
        <w:tc>
          <w:tcPr>
            <w:tcW w:type="dxa" w:w="6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High</w:t>
            </w:r>
          </w:p>
        </w:tc>
      </w:tr>
      <w:tr>
        <w:tc>
          <w:tcPr>
            <w:tcW w:type="dxa" w:w="3500"/>
            <w:tcBorders>
              <w:top w:val="none" w:color="FFFFFF" w:sz="0"/>
              <w:left w:val="none" w:color="FFFFFF" w:sz="0"/>
              <w:bottom w:val="none" w:color="FFFFFF" w:sz="0"/>
              <w:right w:val="none" w:color="FFFFFF" w:sz="0"/>
            </w:tcBorders>
            <w:shd w:fill="0D3D48"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Findings raised</w:t>
            </w:r>
          </w:p>
        </w:tc>
        <w:tc>
          <w:tcPr>
            <w:tcW w:type="dxa" w:w="6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6</w:t>
            </w:r>
          </w:p>
        </w:tc>
      </w:tr>
      <w:tr>
        <w:tc>
          <w:tcPr>
            <w:tcW w:type="dxa" w:w="35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Most urgent action due</w:t>
            </w:r>
          </w:p>
        </w:tc>
        <w:tc>
          <w:tcPr>
            <w:tcW w:type="dxa" w:w="6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Cool-room temperature log (OP-01) — within 48 hours</w:t>
            </w:r>
          </w:p>
        </w:tc>
      </w:tr>
    </w:tbl>
    <w:p>
      <w:pPr>
        <w:spacing w:after="160"/>
      </w:pPr>
    </w:p>
    <w:p>
      <w:pPr>
        <w:pBdr>
          <w:bottom w:val="single" w:color="06F285" w:sz="4"/>
        </w:pBdr>
        <w:spacing w:after="100" w:before="240"/>
      </w:pPr>
      <w:r>
        <w:rPr>
          <w:rFonts w:ascii="Calibri" w:cs="Calibri" w:eastAsia="Calibri" w:hAnsi="Calibri"/>
          <w:b/>
          <w:bCs/>
          <w:color w:val="07272D"/>
          <w:sz w:val="22"/>
          <w:szCs w:val="22"/>
        </w:rPr>
        <w:t xml:space="preserve">Findings by Risk Rating</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500"/>
        <w:gridCol w:w="7246"/>
      </w:tblGrid>
      <w:tr>
        <w:tc>
          <w:tcPr>
            <w:tcW w:type="dxa" w:w="25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72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Count</w:t>
            </w:r>
          </w:p>
        </w:tc>
      </w:tr>
      <w:tr>
        <w:tc>
          <w:tcPr>
            <w:tcW w:type="dxa" w:w="25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91B1B"/>
                <w:sz w:val="18"/>
                <w:szCs w:val="18"/>
              </w:rPr>
              <w:t xml:space="preserve">Critical</w:t>
            </w:r>
          </w:p>
        </w:tc>
        <w:tc>
          <w:tcPr>
            <w:tcW w:type="dxa" w:w="7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1</w:t>
            </w:r>
          </w:p>
        </w:tc>
      </w:tr>
      <w:tr>
        <w:tc>
          <w:tcPr>
            <w:tcW w:type="dxa" w:w="25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7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2</w:t>
            </w:r>
          </w:p>
        </w:tc>
      </w:tr>
      <w:tr>
        <w:tc>
          <w:tcPr>
            <w:tcW w:type="dxa" w:w="25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7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2</w:t>
            </w:r>
          </w:p>
        </w:tc>
      </w:tr>
      <w:tr>
        <w:tc>
          <w:tcPr>
            <w:tcW w:type="dxa" w:w="2500"/>
            <w:tcBorders>
              <w:top w:val="none" w:color="FFFFFF" w:sz="0"/>
              <w:left w:val="none" w:color="FFFFFF" w:sz="0"/>
              <w:bottom w:val="none" w:color="FFFFFF" w:sz="0"/>
              <w:right w:val="none" w:color="FFFFFF" w:sz="0"/>
            </w:tcBorders>
            <w:shd w:fill="DBEAFE"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E40AF"/>
                <w:sz w:val="18"/>
                <w:szCs w:val="18"/>
              </w:rPr>
              <w:t xml:space="preserve">Observation</w:t>
            </w:r>
          </w:p>
        </w:tc>
        <w:tc>
          <w:tcPr>
            <w:tcW w:type="dxa" w:w="7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1</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2</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SCOPE &amp; METHODOLOGY</w:t>
            </w:r>
          </w:p>
        </w:tc>
      </w:tr>
    </w:tbl>
    <w:p>
      <w:pPr>
        <w:spacing w:after="160"/>
      </w:pPr>
    </w:p>
    <w:p>
      <w:pPr>
        <w:spacing w:after="160" w:before="0"/>
      </w:pPr>
      <w:r>
        <w:rPr>
          <w:rFonts w:ascii="Calibri" w:cs="Calibri" w:eastAsia="Calibri" w:hAnsi="Calibri"/>
          <w:b w:val="false"/>
          <w:bCs w:val="false"/>
          <w:color w:val="1F2D2B"/>
          <w:sz w:val="20"/>
          <w:szCs w:val="20"/>
        </w:rPr>
        <w:t xml:space="preserve">A full operational audit against the Brew &amp; Bowl Network Operations Manual v7, covering all areas a customer, regulator, or franchisor would reasonably assess.</w:t>
      </w:r>
    </w:p>
    <w:p>
      <w:pPr>
        <w:spacing w:after="80"/>
      </w:pPr>
    </w:p>
    <w:p>
      <w:pPr>
        <w:pBdr>
          <w:bottom w:val="single" w:color="06F285" w:sz="4"/>
        </w:pBdr>
        <w:spacing w:after="100" w:before="240"/>
      </w:pPr>
      <w:r>
        <w:rPr>
          <w:rFonts w:ascii="Calibri" w:cs="Calibri" w:eastAsia="Calibri" w:hAnsi="Calibri"/>
          <w:b/>
          <w:bCs/>
          <w:color w:val="07272D"/>
          <w:sz w:val="22"/>
          <w:szCs w:val="22"/>
        </w:rPr>
        <w:t xml:space="preserve">In Scope</w:t>
      </w:r>
    </w:p>
    <w:p>
      <w:pPr>
        <w:pStyle w:val="ListParagraph"/>
        <w:numPr>
          <w:ilvl w:val="0"/>
          <w:numId w:val="1"/>
        </w:numPr>
        <w:spacing w:after="80"/>
      </w:pPr>
      <w:r>
        <w:rPr>
          <w:rFonts w:ascii="Calibri" w:cs="Calibri" w:eastAsia="Calibri" w:hAnsi="Calibri"/>
          <w:color w:val="1F2D2B"/>
          <w:sz w:val="20"/>
          <w:szCs w:val="20"/>
        </w:rPr>
        <w:t xml:space="preserve">Food safety — temperature records, storage, allergen management, hygiene</w:t>
      </w:r>
    </w:p>
    <w:p>
      <w:pPr>
        <w:pStyle w:val="ListParagraph"/>
        <w:numPr>
          <w:ilvl w:val="0"/>
          <w:numId w:val="1"/>
        </w:numPr>
        <w:spacing w:after="80"/>
      </w:pPr>
      <w:r>
        <w:rPr>
          <w:rFonts w:ascii="Calibri" w:cs="Calibri" w:eastAsia="Calibri" w:hAnsi="Calibri"/>
          <w:color w:val="1F2D2B"/>
          <w:sz w:val="20"/>
          <w:szCs w:val="20"/>
        </w:rPr>
        <w:t xml:space="preserve">Staffing — levels, certification, scheduling against the network minimum</w:t>
      </w:r>
    </w:p>
    <w:p>
      <w:pPr>
        <w:pStyle w:val="ListParagraph"/>
        <w:numPr>
          <w:ilvl w:val="0"/>
          <w:numId w:val="1"/>
        </w:numPr>
        <w:spacing w:after="80"/>
      </w:pPr>
      <w:r>
        <w:rPr>
          <w:rFonts w:ascii="Calibri" w:cs="Calibri" w:eastAsia="Calibri" w:hAnsi="Calibri"/>
          <w:color w:val="1F2D2B"/>
          <w:sz w:val="20"/>
          <w:szCs w:val="20"/>
        </w:rPr>
        <w:t xml:space="preserve">Cash handling — till reconciliation, discount procedures, safe compliance</w:t>
      </w:r>
    </w:p>
    <w:p>
      <w:pPr>
        <w:pStyle w:val="ListParagraph"/>
        <w:numPr>
          <w:ilvl w:val="0"/>
          <w:numId w:val="1"/>
        </w:numPr>
        <w:spacing w:after="80"/>
      </w:pPr>
      <w:r>
        <w:rPr>
          <w:rFonts w:ascii="Calibri" w:cs="Calibri" w:eastAsia="Calibri" w:hAnsi="Calibri"/>
          <w:color w:val="1F2D2B"/>
          <w:sz w:val="20"/>
          <w:szCs w:val="20"/>
        </w:rPr>
        <w:t xml:space="preserve">Compliance documentation — licensing, certificates, registers</w:t>
      </w:r>
    </w:p>
    <w:p>
      <w:pPr>
        <w:pStyle w:val="ListParagraph"/>
        <w:numPr>
          <w:ilvl w:val="0"/>
          <w:numId w:val="1"/>
        </w:numPr>
        <w:spacing w:after="80"/>
      </w:pPr>
      <w:r>
        <w:rPr>
          <w:rFonts w:ascii="Calibri" w:cs="Calibri" w:eastAsia="Calibri" w:hAnsi="Calibri"/>
          <w:color w:val="1F2D2B"/>
          <w:sz w:val="20"/>
          <w:szCs w:val="20"/>
        </w:rPr>
        <w:t xml:space="preserve">Service quality — order accuracy, speed of service, presentation standards</w:t>
      </w:r>
    </w:p>
    <w:p>
      <w:pPr>
        <w:spacing w:after="80"/>
      </w:pPr>
    </w:p>
    <w:p>
      <w:pPr>
        <w:pBdr>
          <w:bottom w:val="single" w:color="06F285" w:sz="4"/>
        </w:pBdr>
        <w:spacing w:after="100" w:before="240"/>
      </w:pPr>
      <w:r>
        <w:rPr>
          <w:rFonts w:ascii="Calibri" w:cs="Calibri" w:eastAsia="Calibri" w:hAnsi="Calibri"/>
          <w:b/>
          <w:bCs/>
          <w:color w:val="07272D"/>
          <w:sz w:val="22"/>
          <w:szCs w:val="22"/>
        </w:rPr>
        <w:t xml:space="preserve">How the Audit Was Conducted</w:t>
      </w:r>
    </w:p>
    <w:p>
      <w:pPr>
        <w:pStyle w:val="ListParagraph"/>
        <w:numPr>
          <w:ilvl w:val="0"/>
          <w:numId w:val="1"/>
        </w:numPr>
        <w:spacing w:after="80"/>
      </w:pPr>
      <w:r>
        <w:rPr>
          <w:rFonts w:ascii="Calibri" w:cs="Calibri" w:eastAsia="Calibri" w:hAnsi="Calibri"/>
          <w:color w:val="1F2D2B"/>
          <w:sz w:val="20"/>
          <w:szCs w:val="20"/>
        </w:rPr>
        <w:t xml:space="preserve">Unannounced full-day site audit using the 96-point operational checklist</w:t>
      </w:r>
    </w:p>
    <w:p>
      <w:pPr>
        <w:pStyle w:val="ListParagraph"/>
        <w:numPr>
          <w:ilvl w:val="0"/>
          <w:numId w:val="1"/>
        </w:numPr>
        <w:spacing w:after="80"/>
      </w:pPr>
      <w:r>
        <w:rPr>
          <w:rFonts w:ascii="Calibri" w:cs="Calibri" w:eastAsia="Calibri" w:hAnsi="Calibri"/>
          <w:color w:val="1F2D2B"/>
          <w:sz w:val="20"/>
          <w:szCs w:val="20"/>
        </w:rPr>
        <w:t xml:space="preserve">Temperature log review (cool room, hot hold, and display fridge) for the preceding 30 days</w:t>
      </w:r>
    </w:p>
    <w:p>
      <w:pPr>
        <w:pStyle w:val="ListParagraph"/>
        <w:numPr>
          <w:ilvl w:val="0"/>
          <w:numId w:val="1"/>
        </w:numPr>
        <w:spacing w:after="80"/>
      </w:pPr>
      <w:r>
        <w:rPr>
          <w:rFonts w:ascii="Calibri" w:cs="Calibri" w:eastAsia="Calibri" w:hAnsi="Calibri"/>
          <w:color w:val="1F2D2B"/>
          <w:sz w:val="20"/>
          <w:szCs w:val="20"/>
        </w:rPr>
        <w:t xml:space="preserve">Staffing roster and certification review</w:t>
      </w:r>
    </w:p>
    <w:p>
      <w:pPr>
        <w:pStyle w:val="ListParagraph"/>
        <w:numPr>
          <w:ilvl w:val="0"/>
          <w:numId w:val="1"/>
        </w:numPr>
        <w:spacing w:after="80"/>
      </w:pPr>
      <w:r>
        <w:rPr>
          <w:rFonts w:ascii="Calibri" w:cs="Calibri" w:eastAsia="Calibri" w:hAnsi="Calibri"/>
          <w:color w:val="1F2D2B"/>
          <w:sz w:val="20"/>
          <w:szCs w:val="20"/>
        </w:rPr>
        <w:t xml:space="preserve">Mystery order placed to assess service quality and order accuracy</w:t>
      </w:r>
    </w:p>
    <w:p>
      <w:pPr>
        <w:pStyle w:val="ListParagraph"/>
        <w:numPr>
          <w:ilvl w:val="0"/>
          <w:numId w:val="1"/>
        </w:numPr>
        <w:spacing w:after="80"/>
      </w:pPr>
      <w:r>
        <w:rPr>
          <w:rFonts w:ascii="Calibri" w:cs="Calibri" w:eastAsia="Calibri" w:hAnsi="Calibri"/>
          <w:color w:val="1F2D2B"/>
          <w:sz w:val="20"/>
          <w:szCs w:val="20"/>
        </w:rPr>
        <w:t xml:space="preserve">Debrief with franchisee and shift manager at close of audit</w:t>
      </w:r>
    </w:p>
    <w:p>
      <w:pPr>
        <w:spacing w:after="160"/>
      </w:pPr>
    </w:p>
    <w:p>
      <w:pPr>
        <w:pBdr>
          <w:bottom w:val="single" w:color="06F285" w:sz="4"/>
        </w:pBdr>
        <w:spacing w:after="100" w:before="240"/>
      </w:pPr>
      <w:r>
        <w:rPr>
          <w:rFonts w:ascii="Calibri" w:cs="Calibri" w:eastAsia="Calibri" w:hAnsi="Calibri"/>
          <w:b/>
          <w:bCs/>
          <w:color w:val="07272D"/>
          <w:sz w:val="22"/>
          <w:szCs w:val="22"/>
        </w:rPr>
        <w:t xml:space="preserve">Risk Rating Scale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400"/>
        <w:gridCol w:w="5546"/>
        <w:gridCol w:w="2800"/>
      </w:tblGrid>
      <w:tr>
        <w:tc>
          <w:tcPr>
            <w:tcW w:type="dxa" w:w="14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55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Meaning</w:t>
            </w:r>
          </w:p>
        </w:tc>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Action required</w:t>
            </w:r>
          </w:p>
        </w:tc>
      </w:tr>
      <w:tr>
        <w:tc>
          <w:tcPr>
            <w:tcW w:type="dxa" w:w="14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91B1B"/>
                <w:sz w:val="18"/>
                <w:szCs w:val="18"/>
              </w:rPr>
              <w:t xml:space="preserve">Critical</w:t>
            </w:r>
          </w:p>
        </w:tc>
        <w:tc>
          <w:tcPr>
            <w:tcW w:type="dxa" w:w="55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Immediate threat to safety, legal compliance, or brand integrity.</w:t>
            </w:r>
          </w:p>
        </w:tc>
        <w:tc>
          <w:tcPr>
            <w:tcW w:type="dxa" w:w="2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48 hours</w:t>
            </w:r>
          </w:p>
        </w:tc>
      </w:tr>
      <w:tr>
        <w:tc>
          <w:tcPr>
            <w:tcW w:type="dxa" w:w="14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55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Material non-compliance likely to cause customer, safety, or financial impact.</w:t>
            </w:r>
          </w:p>
        </w:tc>
        <w:tc>
          <w:tcPr>
            <w:tcW w:type="dxa" w:w="2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7 days</w:t>
            </w:r>
          </w:p>
        </w:tc>
      </w:tr>
      <w:tr>
        <w:tc>
          <w:tcPr>
            <w:tcW w:type="dxa" w:w="14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55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Non-compliance with franchise standards; manageable if addressed promptly.</w:t>
            </w:r>
          </w:p>
        </w:tc>
        <w:tc>
          <w:tcPr>
            <w:tcW w:type="dxa" w:w="2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r>
        <w:tc>
          <w:tcPr>
            <w:tcW w:type="dxa" w:w="1400"/>
            <w:tcBorders>
              <w:top w:val="none" w:color="FFFFFF" w:sz="0"/>
              <w:left w:val="none" w:color="FFFFFF" w:sz="0"/>
              <w:bottom w:val="none" w:color="FFFFFF" w:sz="0"/>
              <w:right w:val="none" w:color="FFFFFF" w:sz="0"/>
            </w:tcBorders>
            <w:shd w:fill="DCFCE7"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66534"/>
                <w:sz w:val="18"/>
                <w:szCs w:val="18"/>
              </w:rPr>
              <w:t xml:space="preserve">Low</w:t>
            </w:r>
          </w:p>
        </w:tc>
        <w:tc>
          <w:tcPr>
            <w:tcW w:type="dxa" w:w="55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Minor deviation or housekeeping issue.</w:t>
            </w:r>
          </w:p>
        </w:tc>
        <w:tc>
          <w:tcPr>
            <w:tcW w:type="dxa" w:w="2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90 days</w:t>
            </w:r>
          </w:p>
        </w:tc>
      </w:tr>
      <w:tr>
        <w:tc>
          <w:tcPr>
            <w:tcW w:type="dxa" w:w="1400"/>
            <w:tcBorders>
              <w:top w:val="none" w:color="FFFFFF" w:sz="0"/>
              <w:left w:val="none" w:color="FFFFFF" w:sz="0"/>
              <w:bottom w:val="none" w:color="FFFFFF" w:sz="0"/>
              <w:right w:val="none" w:color="FFFFFF" w:sz="0"/>
            </w:tcBorders>
            <w:shd w:fill="DBEAFE"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E40AF"/>
                <w:sz w:val="18"/>
                <w:szCs w:val="18"/>
              </w:rPr>
              <w:t xml:space="preserve">Observation</w:t>
            </w:r>
          </w:p>
        </w:tc>
        <w:tc>
          <w:tcPr>
            <w:tcW w:type="dxa" w:w="55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Not a non-compliance; an improvement opportunity worth acting on.</w:t>
            </w:r>
          </w:p>
        </w:tc>
        <w:tc>
          <w:tcPr>
            <w:tcW w:type="dxa" w:w="2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At next review</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3</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FINDINGS SUMMARY</w:t>
            </w:r>
          </w:p>
        </w:tc>
      </w:tr>
    </w:tbl>
    <w:p>
      <w:pPr>
        <w:spacing w:after="16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800"/>
        <w:gridCol w:w="2400"/>
        <w:gridCol w:w="4346"/>
        <w:gridCol w:w="2200"/>
      </w:tblGrid>
      <w:tr>
        <w:tc>
          <w:tcPr>
            <w:tcW w:type="dxa" w:w="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ID</w:t>
            </w:r>
          </w:p>
        </w:tc>
        <w:tc>
          <w:tcPr>
            <w:tcW w:type="dxa" w:w="24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43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Finding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FFFFFF"/>
                <w:sz w:val="17"/>
                <w:szCs w:val="17"/>
              </w:rPr>
              <w:t xml:space="preserve">Rating</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OP-01</w:t>
            </w:r>
          </w:p>
        </w:tc>
        <w:tc>
          <w:tcPr>
            <w:tcW w:type="dxa" w:w="24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Food safety</w:t>
            </w:r>
          </w:p>
        </w:tc>
        <w:tc>
          <w:tcPr>
            <w:tcW w:type="dxa" w:w="43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Cool-room temperature log not completed for 11 days</w:t>
            </w:r>
          </w:p>
        </w:tc>
        <w:tc>
          <w:tcPr>
            <w:tcW w:type="dxa" w:w="22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91B1B"/>
                <w:sz w:val="18"/>
                <w:szCs w:val="18"/>
              </w:rPr>
              <w:t xml:space="preserve">Critical</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OP-02</w:t>
            </w:r>
          </w:p>
        </w:tc>
        <w:tc>
          <w:tcPr>
            <w:tcW w:type="dxa" w:w="24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Staffing</w:t>
            </w:r>
          </w:p>
        </w:tc>
        <w:tc>
          <w:tcPr>
            <w:tcW w:type="dxa" w:w="43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Kitchen operating below network minimum staffing level</w:t>
            </w:r>
          </w:p>
        </w:tc>
        <w:tc>
          <w:tcPr>
            <w:tcW w:type="dxa" w:w="22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A3412"/>
                <w:sz w:val="18"/>
                <w:szCs w:val="18"/>
              </w:rPr>
              <w:t xml:space="preserve">High</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OP-03</w:t>
            </w:r>
          </w:p>
        </w:tc>
        <w:tc>
          <w:tcPr>
            <w:tcW w:type="dxa" w:w="24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Cash handling</w:t>
            </w:r>
          </w:p>
        </w:tc>
        <w:tc>
          <w:tcPr>
            <w:tcW w:type="dxa" w:w="43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Manager discount PIN shared among front-of-house team</w:t>
            </w:r>
          </w:p>
        </w:tc>
        <w:tc>
          <w:tcPr>
            <w:tcW w:type="dxa" w:w="22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A3412"/>
                <w:sz w:val="18"/>
                <w:szCs w:val="18"/>
              </w:rPr>
              <w:t xml:space="preserve">High</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OP-04</w:t>
            </w:r>
          </w:p>
        </w:tc>
        <w:tc>
          <w:tcPr>
            <w:tcW w:type="dxa" w:w="24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Compliance docs</w:t>
            </w:r>
          </w:p>
        </w:tc>
        <w:tc>
          <w:tcPr>
            <w:tcW w:type="dxa" w:w="43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No waste recording for preceding 30 days</w:t>
            </w:r>
          </w:p>
        </w:tc>
        <w:tc>
          <w:tcPr>
            <w:tcW w:type="dxa" w:w="22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854D0E"/>
                <w:sz w:val="18"/>
                <w:szCs w:val="18"/>
              </w:rPr>
              <w:t xml:space="preserve">Medium</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OP-05</w:t>
            </w:r>
          </w:p>
        </w:tc>
        <w:tc>
          <w:tcPr>
            <w:tcW w:type="dxa" w:w="24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Compliance docs</w:t>
            </w:r>
          </w:p>
        </w:tc>
        <w:tc>
          <w:tcPr>
            <w:tcW w:type="dxa" w:w="43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Weekly cleaning schedule signed off in advance — not completed</w:t>
            </w:r>
          </w:p>
        </w:tc>
        <w:tc>
          <w:tcPr>
            <w:tcW w:type="dxa" w:w="22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854D0E"/>
                <w:sz w:val="18"/>
                <w:szCs w:val="18"/>
              </w:rPr>
              <w:t xml:space="preserve">Medium</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OP-06</w:t>
            </w:r>
          </w:p>
        </w:tc>
        <w:tc>
          <w:tcPr>
            <w:tcW w:type="dxa" w:w="24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Compliance docs</w:t>
            </w:r>
          </w:p>
        </w:tc>
        <w:tc>
          <w:tcPr>
            <w:tcW w:type="dxa" w:w="43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No accredited Food Safety Supervisor currently on staff</w:t>
            </w:r>
          </w:p>
        </w:tc>
        <w:tc>
          <w:tcPr>
            <w:tcW w:type="dxa" w:w="2200"/>
            <w:tcBorders>
              <w:top w:val="none" w:color="FFFFFF" w:sz="0"/>
              <w:left w:val="none" w:color="FFFFFF" w:sz="0"/>
              <w:bottom w:val="none" w:color="FFFFFF" w:sz="0"/>
              <w:right w:val="none" w:color="FFFFFF" w:sz="0"/>
            </w:tcBorders>
            <w:shd w:fill="DBEAFE"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1E40AF"/>
                <w:sz w:val="18"/>
                <w:szCs w:val="18"/>
              </w:rPr>
              <w:t xml:space="preserve">Observation</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4</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DETAILED FINDINGS</w:t>
            </w:r>
          </w:p>
        </w:tc>
      </w:tr>
    </w:tbl>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E2E2" w:color="auto" w:val="clear"/>
            <w:tcMar>
              <w:top w:type="dxa" w:w="90"/>
              <w:left w:type="dxa" w:w="80"/>
              <w:bottom w:type="dxa" w:w="90"/>
              <w:right w:type="dxa" w:w="80"/>
            </w:tcMar>
            <w:vAlign w:val="center"/>
          </w:tcPr>
          <w:p>
            <w:pPr>
              <w:jc w:val="center"/>
            </w:pPr>
            <w:r>
              <w:rPr>
                <w:rFonts w:ascii="Calibri" w:cs="Calibri" w:eastAsia="Calibri" w:hAnsi="Calibri"/>
                <w:b/>
                <w:bCs/>
                <w:color w:val="991B1B"/>
                <w:sz w:val="16"/>
                <w:szCs w:val="16"/>
              </w:rPr>
              <w:t xml:space="preserve">CRITICAL</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OP-01</w:t>
            </w:r>
            <w:r>
              <w:rPr>
                <w:rFonts w:ascii="Calibri" w:cs="Calibri" w:eastAsia="Calibri" w:hAnsi="Calibri"/>
                <w:b/>
                <w:bCs/>
                <w:color w:val="07272D"/>
                <w:sz w:val="20"/>
                <w:szCs w:val="20"/>
              </w:rPr>
              <w:t xml:space="preserve"> — Cool-room temperature log not completed for 11 days</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91B1B"/>
                <w:sz w:val="18"/>
                <w:szCs w:val="18"/>
              </w:rPr>
              <w:t xml:space="preserve">Critical</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Food safety</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Network Ops Manual s.4.2; Food Act obligations</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48 hours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The cool-room manual temperature log (Form OPS-04) had not been completed since 22 June 2026 — eleven days. The unit was operating within range at time of audit, but the absence of records removes the ability to demonstrate compliance over that period.</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Log book reviewed on site; photos 012–014.</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Recommence daily logging immediately. Review the cool-room temperature data logger (installed but not being checked) and integrate it into the opening-checklist verification so a single person is responsible each day.</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Franchisee / shift manager</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FEDD5" w:color="auto" w:val="clear"/>
            <w:tcMar>
              <w:top w:type="dxa" w:w="90"/>
              <w:left w:type="dxa" w:w="80"/>
              <w:bottom w:type="dxa" w:w="90"/>
              <w:right w:type="dxa" w:w="80"/>
            </w:tcMar>
            <w:vAlign w:val="center"/>
          </w:tcPr>
          <w:p>
            <w:pPr>
              <w:jc w:val="center"/>
            </w:pPr>
            <w:r>
              <w:rPr>
                <w:rFonts w:ascii="Calibri" w:cs="Calibri" w:eastAsia="Calibri" w:hAnsi="Calibri"/>
                <w:b/>
                <w:bCs/>
                <w:color w:val="9A3412"/>
                <w:sz w:val="16"/>
                <w:szCs w:val="16"/>
              </w:rPr>
              <w:t xml:space="preserve">HIGH</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OP-02</w:t>
            </w:r>
            <w:r>
              <w:rPr>
                <w:rFonts w:ascii="Calibri" w:cs="Calibri" w:eastAsia="Calibri" w:hAnsi="Calibri"/>
                <w:b/>
                <w:bCs/>
                <w:color w:val="07272D"/>
                <w:sz w:val="20"/>
                <w:szCs w:val="20"/>
              </w:rPr>
              <w:t xml:space="preserve"> — Kitchen operating below network minimum staffing level</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Staffing</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Network Ops Manual s.2.1</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7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At audit commencement (11:30am, pre-lunch peak), the kitchen had two staff on floor against a network minimum of four for this trading window. A third was due at 12:00 but not confirmed. The franchisee acknowledged this is a recurring pattern on weekday mornings due to difficulty filling casual shifts.</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Roster reviewed; staff observed on floor at audit time.</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Address the structural staffing gap — either through additional casual recruitment or revised shift design. Submit a staffing plan to the support office within 7 days.</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Franchisee</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FEDD5" w:color="auto" w:val="clear"/>
            <w:tcMar>
              <w:top w:type="dxa" w:w="90"/>
              <w:left w:type="dxa" w:w="80"/>
              <w:bottom w:type="dxa" w:w="90"/>
              <w:right w:type="dxa" w:w="80"/>
            </w:tcMar>
            <w:vAlign w:val="center"/>
          </w:tcPr>
          <w:p>
            <w:pPr>
              <w:jc w:val="center"/>
            </w:pPr>
            <w:r>
              <w:rPr>
                <w:rFonts w:ascii="Calibri" w:cs="Calibri" w:eastAsia="Calibri" w:hAnsi="Calibri"/>
                <w:b/>
                <w:bCs/>
                <w:color w:val="9A3412"/>
                <w:sz w:val="16"/>
                <w:szCs w:val="16"/>
              </w:rPr>
              <w:t xml:space="preserve">HIGH</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OP-03</w:t>
            </w:r>
            <w:r>
              <w:rPr>
                <w:rFonts w:ascii="Calibri" w:cs="Calibri" w:eastAsia="Calibri" w:hAnsi="Calibri"/>
                <w:b/>
                <w:bCs/>
                <w:color w:val="07272D"/>
                <w:sz w:val="20"/>
                <w:szCs w:val="20"/>
              </w:rPr>
              <w:t xml:space="preserve"> — Manager discount PIN shared among front-of-house team</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Cash handling</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Network Ops Manual s.6.4</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7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The POS manager discount function (which applies discounts up to 30%) is accessed via a shared PIN known to at least three front-of-house team members. This removes the ability to attribute discounts to an authorised user and creates material cash-handling risk.</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POS configuration confirmed by shift manager; discount report reviewed — 14 manager discounts applied across 3 shifts in the preceding week.</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Reset the PIN immediately, restrict access to the franchisee and nominated manager only, and assign individual user logins to all staff. Review the preceding 30 days' discount report for anomalies.</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Franchisee</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F9C3" w:color="auto" w:val="clear"/>
            <w:tcMar>
              <w:top w:type="dxa" w:w="90"/>
              <w:left w:type="dxa" w:w="80"/>
              <w:bottom w:type="dxa" w:w="90"/>
              <w:right w:type="dxa" w:w="80"/>
            </w:tcMar>
            <w:vAlign w:val="center"/>
          </w:tcPr>
          <w:p>
            <w:pPr>
              <w:jc w:val="center"/>
            </w:pPr>
            <w:r>
              <w:rPr>
                <w:rFonts w:ascii="Calibri" w:cs="Calibri" w:eastAsia="Calibri" w:hAnsi="Calibri"/>
                <w:b/>
                <w:bCs/>
                <w:color w:val="854D0E"/>
                <w:sz w:val="16"/>
                <w:szCs w:val="16"/>
              </w:rPr>
              <w:t xml:space="preserve">MEDIUM</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OP-04</w:t>
            </w:r>
            <w:r>
              <w:rPr>
                <w:rFonts w:ascii="Calibri" w:cs="Calibri" w:eastAsia="Calibri" w:hAnsi="Calibri"/>
                <w:b/>
                <w:bCs/>
                <w:color w:val="07272D"/>
                <w:sz w:val="20"/>
                <w:szCs w:val="20"/>
              </w:rPr>
              <w:t xml:space="preserve"> — No waste recording for preceding 30 days</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Compliance docs</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Network Ops Manual s.4.8</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The daily waste log (Form OPS-07) has not been completed for the preceding 30 days. Waste recording is required both under the Operations Manual and as a control against unrecorded product removal.</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Log book reviewed; last entry dated 1 June 2026.</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Recommence waste recording and add to the end-of-day closing checklist. The franchisee confirmed the log exists — it simply fell out of routine during a period of staffing change.</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Franchisee / shift manager</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F9C3" w:color="auto" w:val="clear"/>
            <w:tcMar>
              <w:top w:type="dxa" w:w="90"/>
              <w:left w:type="dxa" w:w="80"/>
              <w:bottom w:type="dxa" w:w="90"/>
              <w:right w:type="dxa" w:w="80"/>
            </w:tcMar>
            <w:vAlign w:val="center"/>
          </w:tcPr>
          <w:p>
            <w:pPr>
              <w:jc w:val="center"/>
            </w:pPr>
            <w:r>
              <w:rPr>
                <w:rFonts w:ascii="Calibri" w:cs="Calibri" w:eastAsia="Calibri" w:hAnsi="Calibri"/>
                <w:b/>
                <w:bCs/>
                <w:color w:val="854D0E"/>
                <w:sz w:val="16"/>
                <w:szCs w:val="16"/>
              </w:rPr>
              <w:t xml:space="preserve">MEDIUM</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OP-05</w:t>
            </w:r>
            <w:r>
              <w:rPr>
                <w:rFonts w:ascii="Calibri" w:cs="Calibri" w:eastAsia="Calibri" w:hAnsi="Calibri"/>
                <w:b/>
                <w:bCs/>
                <w:color w:val="07272D"/>
                <w:sz w:val="20"/>
                <w:szCs w:val="20"/>
              </w:rPr>
              <w:t xml:space="preserve"> — Weekly cleaning schedule signed off in advance — not completed</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Compliance docs</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Network Ops Manual s.5.2</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The weekly deep-cleaning schedule had four of seven days pre-signed. Physical inspection of the identified areas confirmed two had not been completed as indicated (grease trap surround; exhaust canopy baffle).</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Cleaning schedule reviewed; photos 031–035 (grease trap surround); photos 038–040 (canopy baffle).</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Reinforce that cleaning logs must be completed at the time of the task. Address the pre-signing as a conduct matter with the relevant staff member. Complete the two outstanding cleaning tasks within 48 hours.</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Franchisee / shift manager</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DBEAFE" w:color="auto" w:val="clear"/>
            <w:tcMar>
              <w:top w:type="dxa" w:w="90"/>
              <w:left w:type="dxa" w:w="80"/>
              <w:bottom w:type="dxa" w:w="90"/>
              <w:right w:type="dxa" w:w="80"/>
            </w:tcMar>
            <w:vAlign w:val="center"/>
          </w:tcPr>
          <w:p>
            <w:pPr>
              <w:jc w:val="center"/>
            </w:pPr>
            <w:r>
              <w:rPr>
                <w:rFonts w:ascii="Calibri" w:cs="Calibri" w:eastAsia="Calibri" w:hAnsi="Calibri"/>
                <w:b/>
                <w:bCs/>
                <w:color w:val="1E40AF"/>
                <w:sz w:val="16"/>
                <w:szCs w:val="16"/>
              </w:rPr>
              <w:t xml:space="preserve">OBSERVATION</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OP-06</w:t>
            </w:r>
            <w:r>
              <w:rPr>
                <w:rFonts w:ascii="Calibri" w:cs="Calibri" w:eastAsia="Calibri" w:hAnsi="Calibri"/>
                <w:b/>
                <w:bCs/>
                <w:color w:val="07272D"/>
                <w:sz w:val="20"/>
                <w:szCs w:val="20"/>
              </w:rPr>
              <w:t xml:space="preserve"> — No accredited Food Safety Supervisor currently on staff</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DBEAFE"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E40AF"/>
                <w:sz w:val="18"/>
                <w:szCs w:val="18"/>
              </w:rPr>
              <w:t xml:space="preserve">Observation</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Compliance docs</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Network Ops Manual s.3.1; QLD food reg.</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At next review</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The previous FSS certificate holder resigned in May 2026. No current staff member holds the qualification. This is an observation rather than a finding because the Chermside site currently holds a valid certificate through a neighbouring company entity — however, it is not best practice and creates a gap if that arrangement changes.</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Staff record review; FSS register checked against current staff list.</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Enrol a nominated staff member in the next available FSS accreditation course. The franchisee agreed to action this at the next review.</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Franchisee</w:t>
      </w:r>
    </w:p>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5</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WHAT'S WORKING WELL</w:t>
            </w:r>
          </w:p>
        </w:tc>
      </w:tr>
    </w:tbl>
    <w:p>
      <w:pPr>
        <w:spacing w:after="160"/>
      </w:pPr>
    </w:p>
    <w:p>
      <w:pPr>
        <w:spacing w:after="160" w:before="0"/>
      </w:pPr>
      <w:r>
        <w:rPr>
          <w:rFonts w:ascii="Calibri" w:cs="Calibri" w:eastAsia="Calibri" w:hAnsi="Calibri"/>
          <w:b w:val="false"/>
          <w:bCs w:val="false"/>
          <w:color w:val="1F2D2B"/>
          <w:sz w:val="20"/>
          <w:szCs w:val="20"/>
        </w:rPr>
        <w:t xml:space="preserve">An audit should recognise strength as clearly as it flags risk. The following practices met or exceeded the network standard:</w:t>
      </w:r>
    </w:p>
    <w:p>
      <w:pPr>
        <w:spacing w:after="80"/>
      </w:pPr>
    </w:p>
    <w:p>
      <w:pPr>
        <w:pStyle w:val="ListParagraph"/>
        <w:numPr>
          <w:ilvl w:val="0"/>
          <w:numId w:val="1"/>
        </w:numPr>
        <w:spacing w:after="80"/>
      </w:pPr>
      <w:r>
        <w:rPr>
          <w:rFonts w:ascii="Calibri" w:cs="Calibri" w:eastAsia="Calibri" w:hAnsi="Calibri"/>
          <w:color w:val="1F2D2B"/>
          <w:sz w:val="20"/>
          <w:szCs w:val="20"/>
        </w:rPr>
        <w:t xml:space="preserve">Front-of-house culture is a clear strength — the team was engaged, friendly, and clearly proud of the site</w:t>
      </w:r>
    </w:p>
    <w:p>
      <w:pPr>
        <w:pStyle w:val="ListParagraph"/>
        <w:numPr>
          <w:ilvl w:val="0"/>
          <w:numId w:val="1"/>
        </w:numPr>
        <w:spacing w:after="80"/>
      </w:pPr>
      <w:r>
        <w:rPr>
          <w:rFonts w:ascii="Calibri" w:cs="Calibri" w:eastAsia="Calibri" w:hAnsi="Calibri"/>
          <w:color w:val="1F2D2B"/>
          <w:sz w:val="20"/>
          <w:szCs w:val="20"/>
        </w:rPr>
        <w:t xml:space="preserve">Order accuracy rate was 100% across three mystery orders placed during the audit</w:t>
      </w:r>
    </w:p>
    <w:p>
      <w:pPr>
        <w:pStyle w:val="ListParagraph"/>
        <w:numPr>
          <w:ilvl w:val="0"/>
          <w:numId w:val="1"/>
        </w:numPr>
        <w:spacing w:after="80"/>
      </w:pPr>
      <w:r>
        <w:rPr>
          <w:rFonts w:ascii="Calibri" w:cs="Calibri" w:eastAsia="Calibri" w:hAnsi="Calibri"/>
          <w:color w:val="1F2D2B"/>
          <w:sz w:val="20"/>
          <w:szCs w:val="20"/>
        </w:rPr>
        <w:t xml:space="preserve">Coffee quality and consistency scored in the network's top quartile</w:t>
      </w:r>
    </w:p>
    <w:p>
      <w:pPr>
        <w:pStyle w:val="ListParagraph"/>
        <w:numPr>
          <w:ilvl w:val="0"/>
          <w:numId w:val="1"/>
        </w:numPr>
        <w:spacing w:after="80"/>
      </w:pPr>
      <w:r>
        <w:rPr>
          <w:rFonts w:ascii="Calibri" w:cs="Calibri" w:eastAsia="Calibri" w:hAnsi="Calibri"/>
          <w:color w:val="1F2D2B"/>
          <w:sz w:val="20"/>
          <w:szCs w:val="20"/>
        </w:rPr>
        <w:t xml:space="preserve">Front-of-house presentation and cleanliness met the network standard throughout</w:t>
      </w:r>
    </w:p>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6</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REMEDIATION ROADMAP</w:t>
            </w:r>
          </w:p>
        </w:tc>
      </w:tr>
    </w:tbl>
    <w:p>
      <w:pPr>
        <w:spacing w:after="160"/>
      </w:pPr>
    </w:p>
    <w:p>
      <w:pPr>
        <w:spacing w:after="160" w:before="0"/>
      </w:pPr>
      <w:r>
        <w:rPr>
          <w:rFonts w:ascii="Calibri" w:cs="Calibri" w:eastAsia="Calibri" w:hAnsi="Calibri"/>
          <w:b w:val="false"/>
          <w:bCs w:val="false"/>
          <w:color w:val="1F2D2B"/>
          <w:sz w:val="20"/>
          <w:szCs w:val="20"/>
        </w:rPr>
        <w:t xml:space="preserve">Actions are sequenced by risk. Maintain Audits can verify closure of each item through a follow-up desktop review or re-inspection.</w:t>
      </w:r>
    </w:p>
    <w:p>
      <w:pPr>
        <w:spacing w:after="12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800"/>
        <w:gridCol w:w="3846"/>
        <w:gridCol w:w="2900"/>
        <w:gridCol w:w="2200"/>
      </w:tblGrid>
      <w:tr>
        <w:tc>
          <w:tcPr>
            <w:tcW w:type="dxa" w:w="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ID</w:t>
            </w:r>
          </w:p>
        </w:tc>
        <w:tc>
          <w:tcPr>
            <w:tcW w:type="dxa" w:w="38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Action</w:t>
            </w:r>
          </w:p>
        </w:tc>
        <w:tc>
          <w:tcPr>
            <w:tcW w:type="dxa" w:w="29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Owner</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Due</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OP-01</w:t>
            </w:r>
          </w:p>
        </w:tc>
        <w:tc>
          <w:tcPr>
            <w:tcW w:type="dxa" w:w="38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Recommence cool-room temperature log; integrate into opening checklist</w:t>
            </w:r>
          </w:p>
        </w:tc>
        <w:tc>
          <w:tcPr>
            <w:tcW w:type="dxa" w:w="29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Franchisee / shift manager</w:t>
            </w:r>
          </w:p>
        </w:tc>
        <w:tc>
          <w:tcPr>
            <w:tcW w:type="dxa" w:w="22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48 hours</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OP-02</w:t>
            </w:r>
          </w:p>
        </w:tc>
        <w:tc>
          <w:tcPr>
            <w:tcW w:type="dxa" w:w="38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Submit staffing plan to support office</w:t>
            </w:r>
          </w:p>
        </w:tc>
        <w:tc>
          <w:tcPr>
            <w:tcW w:type="dxa" w:w="29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Franchisee</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7 days</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OP-03</w:t>
            </w:r>
          </w:p>
        </w:tc>
        <w:tc>
          <w:tcPr>
            <w:tcW w:type="dxa" w:w="38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Reset manager discount PIN; assign individual POS logins; review discount history</w:t>
            </w:r>
          </w:p>
        </w:tc>
        <w:tc>
          <w:tcPr>
            <w:tcW w:type="dxa" w:w="29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Franchisee</w:t>
            </w:r>
          </w:p>
        </w:tc>
        <w:tc>
          <w:tcPr>
            <w:tcW w:type="dxa" w:w="22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7 days</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OP-04</w:t>
            </w:r>
          </w:p>
        </w:tc>
        <w:tc>
          <w:tcPr>
            <w:tcW w:type="dxa" w:w="38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Recommence waste recording; add to closing checklist</w:t>
            </w:r>
          </w:p>
        </w:tc>
        <w:tc>
          <w:tcPr>
            <w:tcW w:type="dxa" w:w="29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Franchisee / shift manager</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30 days</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OP-05</w:t>
            </w:r>
          </w:p>
        </w:tc>
        <w:tc>
          <w:tcPr>
            <w:tcW w:type="dxa" w:w="38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Address pre-signing; complete outstanding cleaning tasks</w:t>
            </w:r>
          </w:p>
        </w:tc>
        <w:tc>
          <w:tcPr>
            <w:tcW w:type="dxa" w:w="29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Franchisee / shift manager</w:t>
            </w:r>
          </w:p>
        </w:tc>
        <w:tc>
          <w:tcPr>
            <w:tcW w:type="dxa" w:w="22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30 days</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OP-06</w:t>
            </w:r>
          </w:p>
        </w:tc>
        <w:tc>
          <w:tcPr>
            <w:tcW w:type="dxa" w:w="38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Enrol staff member in FSS accreditation</w:t>
            </w:r>
          </w:p>
        </w:tc>
        <w:tc>
          <w:tcPr>
            <w:tcW w:type="dxa" w:w="29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Franchisee</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At next review</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7</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NEXT STEPS &amp; ONGOING MONITORING</w:t>
            </w:r>
          </w:p>
        </w:tc>
      </w:tr>
    </w:tbl>
    <w:p>
      <w:pPr>
        <w:spacing w:after="160"/>
      </w:pPr>
    </w:p>
    <w:p>
      <w:pPr>
        <w:pStyle w:val="ListParagraph"/>
        <w:numPr>
          <w:ilvl w:val="0"/>
          <w:numId w:val="1"/>
        </w:numPr>
        <w:spacing w:after="80"/>
      </w:pPr>
      <w:r>
        <w:rPr>
          <w:rFonts w:ascii="Calibri" w:cs="Calibri" w:eastAsia="Calibri" w:hAnsi="Calibri"/>
          <w:color w:val="1F2D2B"/>
          <w:sz w:val="20"/>
          <w:szCs w:val="20"/>
        </w:rPr>
        <w:t xml:space="preserve">Evidence of OP-01 correction (photo of completed log) to Maintain Audits within 48 hours</w:t>
      </w:r>
    </w:p>
    <w:p>
      <w:pPr>
        <w:pStyle w:val="ListParagraph"/>
        <w:numPr>
          <w:ilvl w:val="0"/>
          <w:numId w:val="1"/>
        </w:numPr>
        <w:spacing w:after="80"/>
      </w:pPr>
      <w:r>
        <w:rPr>
          <w:rFonts w:ascii="Calibri" w:cs="Calibri" w:eastAsia="Calibri" w:hAnsi="Calibri"/>
          <w:color w:val="1F2D2B"/>
          <w:sz w:val="20"/>
          <w:szCs w:val="20"/>
        </w:rPr>
        <w:t xml:space="preserve">Staffing plan and OP-03 correction evidence within 7 days — desktop review at no charge</w:t>
      </w:r>
    </w:p>
    <w:p>
      <w:pPr>
        <w:pStyle w:val="ListParagraph"/>
        <w:numPr>
          <w:ilvl w:val="0"/>
          <w:numId w:val="1"/>
        </w:numPr>
        <w:spacing w:after="80"/>
      </w:pPr>
      <w:r>
        <w:rPr>
          <w:rFonts w:ascii="Calibri" w:cs="Calibri" w:eastAsia="Calibri" w:hAnsi="Calibri"/>
          <w:color w:val="1F2D2B"/>
          <w:sz w:val="20"/>
          <w:szCs w:val="20"/>
        </w:rPr>
        <w:t xml:space="preserve">Recommend a follow-up operational audit in 60 days to re-score against the network standard</w:t>
      </w:r>
    </w:p>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20"/>
              <w:left w:type="dxa" w:w="180"/>
              <w:bottom w:type="dxa" w:w="120"/>
              <w:right w:type="dxa" w:w="180"/>
            </w:tcMar>
          </w:tcPr>
          <w:p>
            <w:pPr>
              <w:jc w:val="center"/>
            </w:pPr>
            <w:r>
              <w:rPr>
                <w:rFonts w:ascii="Calibri" w:cs="Calibri" w:eastAsia="Calibri" w:hAnsi="Calibri"/>
                <w:b/>
                <w:bCs/>
                <w:color w:val="FFFFFF"/>
                <w:sz w:val="18"/>
                <w:szCs w:val="18"/>
              </w:rPr>
              <w:t xml:space="preserve">Questions about this report:  info@maintainaudits.com.au  ·  +61 414 530 836  ·  maintainaudits.com.au</w:t>
            </w:r>
          </w:p>
        </w:tc>
      </w:tr>
    </w:tbl>
    <w:p>
      <w:pPr>
        <w:spacing w:after="160"/>
      </w:pPr>
    </w:p>
    <w:p>
      <w:pPr>
        <w:spacing w:after="0"/>
        <w:jc w:val="center"/>
      </w:pPr>
      <w:r>
        <w:rPr>
          <w:rFonts w:ascii="Calibri" w:cs="Calibri" w:eastAsia="Calibri" w:hAnsi="Calibri"/>
          <w:color w:val="64748B"/>
          <w:sz w:val="16"/>
          <w:szCs w:val="16"/>
        </w:rPr>
        <w:t xml:space="preserve">This report is a sample document prepared by Maintain Audits, a division of Maintain Technology, for demonstration purposes. All client names, locations, personnel, and findings are fictional. Actual audit reports are prepared under our engagement terms and are confidential to the client. This document does not constitute legal, financial, or professional compliance advice.</w:t>
      </w:r>
    </w:p>
    <w:sectPr>
      <w:headerReference w:type="default" r:id="rId7"/>
      <w:footerReference w:type="default" r:id="rId8"/>
      <w:pgSz w:w="11906" w:h="16838" w:orient="portrait"/>
      <w:pgMar w:top="1080" w:right="1080" w:bottom="1080" w:left="10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7017"/>
      <w:gridCol w:w="2728"/>
    </w:tblGrid>
    <w:tr>
      <w:tc>
        <w:tcPr>
          <w:tcBorders>
            <w:top w:val="single" w:color="D1D5DB" w:sz="4"/>
            <w:left w:val="none" w:color="FFFFFF" w:sz="0"/>
            <w:bottom w:val="none" w:color="FFFFFF" w:sz="0"/>
            <w:right w:val="none" w:color="FFFFFF" w:sz="0"/>
          </w:tcBorders>
          <w:tcMar>
            <w:top w:type="dxa" w:w="60"/>
            <w:left w:type="dxa" w:w="0"/>
            <w:bottom w:type="dxa" w:w="0"/>
            <w:right w:type="dxa" w:w="0"/>
          </w:tcMar>
        </w:tcPr>
        <w:p>
          <w:r>
            <w:rPr>
              <w:rFonts w:ascii="Calibri" w:cs="Calibri" w:eastAsia="Calibri" w:hAnsi="Calibri"/>
              <w:color w:val="64748B"/>
              <w:sz w:val="15"/>
              <w:szCs w:val="15"/>
            </w:rPr>
            <w:t xml:space="preserve">info@maintainaudits.com.au  ·  +61 414 530 836  ·  Commercial in confidence</w:t>
          </w:r>
        </w:p>
      </w:tc>
      <w:tc>
        <w:tcPr>
          <w:tcBorders>
            <w:top w:val="single" w:color="D1D5DB" w:sz="4"/>
            <w:left w:val="none" w:color="FFFFFF" w:sz="0"/>
            <w:bottom w:val="none" w:color="FFFFFF" w:sz="0"/>
            <w:right w:val="none" w:color="FFFFFF" w:sz="0"/>
          </w:tcBorders>
          <w:tcMar>
            <w:top w:type="dxa" w:w="60"/>
            <w:left w:type="dxa" w:w="0"/>
            <w:bottom w:type="dxa" w:w="0"/>
            <w:right w:type="dxa" w:w="0"/>
          </w:tcMar>
        </w:tcPr>
        <w:p>
          <w:pPr>
            <w:jc w:val="right"/>
          </w:pPr>
          <w:r>
            <w:rPr>
              <w:rFonts w:ascii="Calibri" w:cs="Calibri" w:eastAsia="Calibri" w:hAnsi="Calibri"/>
              <w:color w:val="64748B"/>
              <w:sz w:val="15"/>
              <w:szCs w:val="15"/>
            </w:rPr>
            <w:t xml:space="preserve">Page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4873"/>
      <w:gridCol w:w="4873"/>
    </w:tblGrid>
    <w:tr>
      <w:tc>
        <w:tcPr>
          <w:tcBorders>
            <w:top w:val="none" w:color="FFFFFF" w:sz="0"/>
            <w:left w:val="none" w:color="FFFFFF" w:sz="0"/>
            <w:bottom w:val="single" w:color="06F285" w:sz="6"/>
            <w:right w:val="none" w:color="FFFFFF" w:sz="0"/>
          </w:tcBorders>
          <w:tcMar>
            <w:top w:type="dxa" w:w="0"/>
            <w:left w:type="dxa" w:w="0"/>
            <w:bottom w:type="dxa" w:w="60"/>
            <w:right w:type="dxa" w:w="0"/>
          </w:tcMar>
        </w:tcPr>
        <w:p>
          <w:pPr>
            <w:spacing w:after="0" w:before="0"/>
          </w:pPr>
          <w:r>
            <w:drawing>
              <wp:inline distT="0" distB="0" distL="0" distR="0">
                <wp:extent cx="15716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71625" cy="333375"/>
                        </a:xfrm>
                        <a:prstGeom prst="rect">
                          <a:avLst/>
                        </a:prstGeom>
                      </pic:spPr>
                    </pic:pic>
                  </a:graphicData>
                </a:graphic>
              </wp:inline>
            </w:drawing>
          </w:r>
        </w:p>
      </w:tc>
      <w:tc>
        <w:tcPr>
          <w:tcBorders>
            <w:top w:val="none" w:color="FFFFFF" w:sz="0"/>
            <w:left w:val="none" w:color="FFFFFF" w:sz="0"/>
            <w:bottom w:val="single" w:color="06F285" w:sz="6"/>
            <w:right w:val="none" w:color="FFFFFF" w:sz="0"/>
          </w:tcBorders>
          <w:tcMar>
            <w:top w:type="dxa" w:w="0"/>
            <w:left w:type="dxa" w:w="0"/>
            <w:bottom w:type="dxa" w:w="60"/>
            <w:right w:type="dxa" w:w="0"/>
          </w:tcMar>
        </w:tcPr>
        <w:p>
          <w:pPr>
            <w:spacing w:after="0" w:before="0"/>
            <w:jc w:val="right"/>
          </w:pPr>
          <w:r>
            <w:rPr>
              <w:rFonts w:ascii="Calibri" w:cs="Calibri" w:eastAsia="Calibri" w:hAnsi="Calibri"/>
              <w:color w:val="64748B"/>
              <w:sz w:val="16"/>
              <w:szCs w:val="16"/>
            </w:rPr>
            <w:t xml:space="preserve">maintainaudits.com.au</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b030da90f587f87b2ffb1e0ff23c3256371b05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dfb012c0e5f1fd6ddfd9ec97ae36ee101a2ab7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2026-07-14T02:19:31.643Z</dcterms:created>
  <dcterms:modified xsi:type="dcterms:W3CDTF">2026-07-14T02:19:31.651Z</dcterms:modified>
</cp:coreProperties>
</file>

<file path=docProps/custom.xml><?xml version="1.0" encoding="utf-8"?>
<Properties xmlns="http://schemas.openxmlformats.org/officeDocument/2006/custom-properties" xmlns:vt="http://schemas.openxmlformats.org/officeDocument/2006/docPropsVTypes"/>
</file>