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Luxe Aesthetics Clinic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Parramatta, NSW — 3 clinic locations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Management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24–25 June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27 June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 Lindqvist, Principal Consultant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MA-2026-MG-0088</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This management audit assessed the Luxe Aesthetics Parramatta franchise across three clinic locations over two days, examining governance, financial management, operational leadership, and strategic planning. The network target is 80%; the franchise scored 68%, earning a High rating.</w:t>
      </w:r>
    </w:p>
    <w:p>
      <w:pPr>
        <w:spacing w:after="160"/>
      </w:pPr>
      <w:r>
        <w:rPr>
          <w:rFonts w:ascii="Calibri" w:cs="Calibri" w:eastAsia="Calibri" w:hAnsi="Calibri"/>
          <w:color w:val="1F2D2B"/>
          <w:sz w:val="20"/>
          <w:szCs w:val="20"/>
        </w:rPr>
        <w:t xml:space="preserve">The three findings that matter most: there is no effective management layer between the franchisee and clinic staff — the franchisee is operationally indispensable in a way that creates fragility. Business finances across the three clinics are commingled without adequate separation, creating compliance risk. And there is no current cash-flow visibility — the franchisee cannot currently tell us, to any reasonable precision, what each clinic's forward position looks like.</w:t>
      </w:r>
    </w:p>
    <w:p>
      <w:pPr>
        <w:spacing w:after="160"/>
      </w:pPr>
      <w:r>
        <w:rPr>
          <w:rFonts w:ascii="Calibri" w:cs="Calibri" w:eastAsia="Calibri" w:hAnsi="Calibri"/>
          <w:color w:val="1F2D2B"/>
          <w:sz w:val="20"/>
          <w:szCs w:val="20"/>
        </w:rPr>
        <w:t xml:space="preserve">The Parramatta flagship is performing well by every customer measure. Staff retention is strong. The business has real momentum. These findings are about building the management infrastructure to make that momentum sustainable — and protecting the franchise from risks that are entirely avoidable at this scale.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68% (target ≥ 80%)</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separation — MG-02 (interim step within 7 days)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3</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 management and governance audit covering the structural, financial, and operational disciplines required to operate a multi-site franchise successfully and in accordance with the franchise agreement.</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Management structure and decision-making — governance, delegation, reporting lines</w:t>
      </w:r>
    </w:p>
    <w:p>
      <w:pPr>
        <w:pStyle w:val="ListParagraph"/>
        <w:numPr>
          <w:ilvl w:val="0"/>
          <w:numId w:val="1"/>
        </w:numPr>
        <w:spacing w:after="80"/>
      </w:pPr>
      <w:r>
        <w:rPr>
          <w:rFonts w:ascii="Calibri" w:cs="Calibri" w:eastAsia="Calibri" w:hAnsi="Calibri"/>
          <w:color w:val="1F2D2B"/>
          <w:sz w:val="20"/>
          <w:szCs w:val="20"/>
        </w:rPr>
        <w:t xml:space="preserve">Financial management — accounts, cash flow, separation of entity finances</w:t>
      </w:r>
    </w:p>
    <w:p>
      <w:pPr>
        <w:pStyle w:val="ListParagraph"/>
        <w:numPr>
          <w:ilvl w:val="0"/>
          <w:numId w:val="1"/>
        </w:numPr>
        <w:spacing w:after="80"/>
      </w:pPr>
      <w:r>
        <w:rPr>
          <w:rFonts w:ascii="Calibri" w:cs="Calibri" w:eastAsia="Calibri" w:hAnsi="Calibri"/>
          <w:color w:val="1F2D2B"/>
          <w:sz w:val="20"/>
          <w:szCs w:val="20"/>
        </w:rPr>
        <w:t xml:space="preserve">Performance visibility — KPIs, reporting cadence, benchmarking against network</w:t>
      </w:r>
    </w:p>
    <w:p>
      <w:pPr>
        <w:pStyle w:val="ListParagraph"/>
        <w:numPr>
          <w:ilvl w:val="0"/>
          <w:numId w:val="1"/>
        </w:numPr>
        <w:spacing w:after="80"/>
      </w:pPr>
      <w:r>
        <w:rPr>
          <w:rFonts w:ascii="Calibri" w:cs="Calibri" w:eastAsia="Calibri" w:hAnsi="Calibri"/>
          <w:color w:val="1F2D2B"/>
          <w:sz w:val="20"/>
          <w:szCs w:val="20"/>
        </w:rPr>
        <w:t xml:space="preserve">Operational leadership — how the sites are managed day-to-day in the franchisee's absence</w:t>
      </w:r>
    </w:p>
    <w:p>
      <w:pPr>
        <w:pStyle w:val="ListParagraph"/>
        <w:numPr>
          <w:ilvl w:val="0"/>
          <w:numId w:val="1"/>
        </w:numPr>
        <w:spacing w:after="80"/>
      </w:pPr>
      <w:r>
        <w:rPr>
          <w:rFonts w:ascii="Calibri" w:cs="Calibri" w:eastAsia="Calibri" w:hAnsi="Calibri"/>
          <w:color w:val="1F2D2B"/>
          <w:sz w:val="20"/>
          <w:szCs w:val="20"/>
        </w:rPr>
        <w:t xml:space="preserve">People management — staff structure, key-person risk, succession depth</w:t>
      </w:r>
    </w:p>
    <w:p>
      <w:pPr>
        <w:pStyle w:val="ListParagraph"/>
        <w:numPr>
          <w:ilvl w:val="0"/>
          <w:numId w:val="1"/>
        </w:numPr>
        <w:spacing w:after="80"/>
      </w:pPr>
      <w:r>
        <w:rPr>
          <w:rFonts w:ascii="Calibri" w:cs="Calibri" w:eastAsia="Calibri" w:hAnsi="Calibri"/>
          <w:color w:val="1F2D2B"/>
          <w:sz w:val="20"/>
          <w:szCs w:val="20"/>
        </w:rPr>
        <w:t xml:space="preserve">Strategic planning — growth pipeline and its governance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Two-day on-site audit across the Parramatta, Westmead, and Norwest clinic locations</w:t>
      </w:r>
    </w:p>
    <w:p>
      <w:pPr>
        <w:pStyle w:val="ListParagraph"/>
        <w:numPr>
          <w:ilvl w:val="0"/>
          <w:numId w:val="1"/>
        </w:numPr>
        <w:spacing w:after="80"/>
      </w:pPr>
      <w:r>
        <w:rPr>
          <w:rFonts w:ascii="Calibri" w:cs="Calibri" w:eastAsia="Calibri" w:hAnsi="Calibri"/>
          <w:color w:val="1F2D2B"/>
          <w:sz w:val="20"/>
          <w:szCs w:val="20"/>
        </w:rPr>
        <w:t xml:space="preserve">Interviews with the franchisee, clinic managers (where applicable), and two senior therapists</w:t>
      </w:r>
    </w:p>
    <w:p>
      <w:pPr>
        <w:pStyle w:val="ListParagraph"/>
        <w:numPr>
          <w:ilvl w:val="0"/>
          <w:numId w:val="1"/>
        </w:numPr>
        <w:spacing w:after="80"/>
      </w:pPr>
      <w:r>
        <w:rPr>
          <w:rFonts w:ascii="Calibri" w:cs="Calibri" w:eastAsia="Calibri" w:hAnsi="Calibri"/>
          <w:color w:val="1F2D2B"/>
          <w:sz w:val="20"/>
          <w:szCs w:val="20"/>
        </w:rPr>
        <w:t xml:space="preserve">Review of financial statements (FY2025), BAS lodgements, and P&amp;L for each location</w:t>
      </w:r>
    </w:p>
    <w:p>
      <w:pPr>
        <w:pStyle w:val="ListParagraph"/>
        <w:numPr>
          <w:ilvl w:val="0"/>
          <w:numId w:val="1"/>
        </w:numPr>
        <w:spacing w:after="80"/>
      </w:pPr>
      <w:r>
        <w:rPr>
          <w:rFonts w:ascii="Calibri" w:cs="Calibri" w:eastAsia="Calibri" w:hAnsi="Calibri"/>
          <w:color w:val="1F2D2B"/>
          <w:sz w:val="20"/>
          <w:szCs w:val="20"/>
        </w:rPr>
        <w:t xml:space="preserve">Benchmarking against network management standard v3 and the franchise agreement</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Management structure</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effective management layer — franchisee is the single operational point of failure</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management</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Three clinic finances commingled — no entity separation</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management</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forward cash-flow visibility across any of the three locations</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Performance reporting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KPIs tracked or reported against at clinic level</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People management</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Key-person risk — two of three clinics have no manager capable of operating independently</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MG-06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Strategic planning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Fourth-site ambition without governance framework</w:t>
            </w:r>
          </w:p>
        </w:tc>
        <w:tc>
          <w:tcPr>
            <w:tcW w:type="dxa" w:w="22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1E40AF"/>
                <w:sz w:val="18"/>
                <w:szCs w:val="18"/>
              </w:rPr>
              <w:t xml:space="preserve">Observation</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MG-01</w:t>
            </w:r>
            <w:r>
              <w:rPr>
                <w:rFonts w:ascii="Calibri" w:cs="Calibri" w:eastAsia="Calibri" w:hAnsi="Calibri"/>
                <w:b/>
                <w:bCs/>
                <w:color w:val="07272D"/>
                <w:sz w:val="20"/>
                <w:szCs w:val="20"/>
              </w:rPr>
              <w:t xml:space="preserve"> — No effective management layer — franchisee is the single operational point of failure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Management structure</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 Agreement cl. 8.2; Network Mgmt Standard s.2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Across all three clinics, day-to-day operational decisions — rosters, supplier issues, client escalations, HR matters — route directly to the franchisee. Neither Westmead nor Norwest has a clinic manager with delegated authority. If the franchisee is unavailable for any extended period, there is no clear decision-maker at either site.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Role and responsibility review; interviews with clinic staff; org-chart mapping exercise with franchisee.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Designate a clinic manager with documented decision authority at each location within 30 days. In the interim, establish a written delegation framework so key decisions can proceed in the franchisee's absence. This does not require a new hire — both sites have senior therapists capable of stepping into this role with appropriate authority.</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MG-02</w:t>
            </w:r>
            <w:r>
              <w:rPr>
                <w:rFonts w:ascii="Calibri" w:cs="Calibri" w:eastAsia="Calibri" w:hAnsi="Calibri"/>
                <w:b/>
                <w:bCs/>
                <w:color w:val="07272D"/>
                <w:sz w:val="20"/>
                <w:szCs w:val="20"/>
              </w:rPr>
              <w:t xml:space="preserve"> — Three clinic finances commingled — no entity separation</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management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 Agreement cl. 14.1; Corporations Act</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Interim: within 7 days / Full: within 60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All three clinic operations run through a single operating entity, with no separation of revenue or costs by location. The franchise agreement requires each site to operate with clear financial separation. Beyond the compliance issue, commingling makes it impossible to assess each clinic's true profitability — or identify whether a problem is site-specific or network-wide.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Bank statement review; P&amp;L analysis; franchise agreement review.</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As an interim step within 7 days, implement separate bank accounts and cost-centre coding for each location. Full entity separation (which the franchisee's accountant should advise on) should be completed within 60 days. This is not optional — it is a franchise agreement obligation.</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accountant</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MG-03</w:t>
            </w:r>
            <w:r>
              <w:rPr>
                <w:rFonts w:ascii="Calibri" w:cs="Calibri" w:eastAsia="Calibri" w:hAnsi="Calibri"/>
                <w:b/>
                <w:bCs/>
                <w:color w:val="07272D"/>
                <w:sz w:val="20"/>
                <w:szCs w:val="20"/>
              </w:rPr>
              <w:t xml:space="preserve"> — No forward cash-flow visibility across any of the three locations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Financial management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Mgmt Standard s.4.2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franchisee does not currently maintain a rolling cash-flow forecast for any of the three clinics. Financial decisions — including a recent fit-out spend at Norwest — are being made without a forward view. Given the growth phase and multi-site complexity, this is a material risk.</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Financial records review; interview with franchisee.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Implement a 13-week rolling cash-flow forecast for each location, reviewed weekly. The network's finance template (available on the franchise portal) is suitable for this purpose and requires approximately two hours of setup.</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accountant</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MG-04</w:t>
            </w:r>
            <w:r>
              <w:rPr>
                <w:rFonts w:ascii="Calibri" w:cs="Calibri" w:eastAsia="Calibri" w:hAnsi="Calibri"/>
                <w:b/>
                <w:bCs/>
                <w:color w:val="07272D"/>
                <w:sz w:val="20"/>
                <w:szCs w:val="20"/>
              </w:rPr>
              <w:t xml:space="preserve"> — No KPIs tracked or reported against at clinic level</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Performance reporting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Mgmt Standard s.5</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No clinic-level KPIs are currently tracked against the network benchmark set. The franchisee has strong instinctive operational awareness — but decisions that should be data-driven (treatment utilisation, rebooking rates, retail attach) are currently being made from memory and feel.</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Reporting review; interview with franchisee.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Implement the network's 8-metric KPI dashboard (available in the franchise portal) at each clinic. Monthly review with clinic manager; quarterly review against network benchmarks. The booking system already captures most of the relevant data.</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MG-05</w:t>
            </w:r>
            <w:r>
              <w:rPr>
                <w:rFonts w:ascii="Calibri" w:cs="Calibri" w:eastAsia="Calibri" w:hAnsi="Calibri"/>
                <w:b/>
                <w:bCs/>
                <w:color w:val="07272D"/>
                <w:sz w:val="20"/>
                <w:szCs w:val="20"/>
              </w:rPr>
              <w:t xml:space="preserve"> — Key-person risk — two of three clinics have no manager capable of operating independently</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People management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Mgmt Standard s.3.1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Parramatta flagship has a capable senior therapist who could manage the location in an emergency. The Westmead and Norwest sites do not. The franchisee is the sole person with the operational knowledge, supplier relationships, and system access to keep those two sites running if they were absent.</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Staffing interviews; system access review.</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In conjunction with MG-01, document clinic operating procedures, ensure at least one person per site has full system access and supplier contact details, and provide cross-training where the franchisee currently holds sole knowledge.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DBEAFE" w:color="auto" w:val="clear"/>
            <w:tcMar>
              <w:top w:type="dxa" w:w="90"/>
              <w:left w:type="dxa" w:w="80"/>
              <w:bottom w:type="dxa" w:w="90"/>
              <w:right w:type="dxa" w:w="80"/>
            </w:tcMar>
            <w:vAlign w:val="center"/>
          </w:tcPr>
          <w:p>
            <w:pPr>
              <w:jc w:val="center"/>
            </w:pPr>
            <w:r>
              <w:rPr>
                <w:rFonts w:ascii="Calibri" w:cs="Calibri" w:eastAsia="Calibri" w:hAnsi="Calibri"/>
                <w:b/>
                <w:bCs/>
                <w:color w:val="1E40AF"/>
                <w:sz w:val="16"/>
                <w:szCs w:val="16"/>
              </w:rPr>
              <w:t xml:space="preserve">OBSERVATION</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MG-06</w:t>
            </w:r>
            <w:r>
              <w:rPr>
                <w:rFonts w:ascii="Calibri" w:cs="Calibri" w:eastAsia="Calibri" w:hAnsi="Calibri"/>
                <w:b/>
                <w:bCs/>
                <w:color w:val="07272D"/>
                <w:sz w:val="20"/>
                <w:szCs w:val="20"/>
              </w:rPr>
              <w:t xml:space="preserve"> — Fourth-site ambition without governance framework</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Strategic planning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Mgmt Standard s.6</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franchisee has identified a fourth location opportunity and has been in preliminary discussions with a landlord. This is not a compliance issue — growth is encouraged. But expanding before MG-01 to MG-05 are closed would compound the existing structural risks rather than resolve them.</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Strategic discussion with franchisee.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Address the current findings first, then revisit the fourth-site opportunity with the support of a business case using the network's growth-readiness framework. The franchisee's instincts on the opportunity may well be right — the governance needs to catch up first.</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The Parramatta flagship is a genuinely strong operation — client satisfaction scores of 4.8–4.9 across platforms</w:t>
      </w:r>
    </w:p>
    <w:p>
      <w:pPr>
        <w:pStyle w:val="ListParagraph"/>
        <w:numPr>
          <w:ilvl w:val="0"/>
          <w:numId w:val="1"/>
        </w:numPr>
        <w:spacing w:after="80"/>
      </w:pPr>
      <w:r>
        <w:rPr>
          <w:rFonts w:ascii="Calibri" w:cs="Calibri" w:eastAsia="Calibri" w:hAnsi="Calibri"/>
          <w:color w:val="1F2D2B"/>
          <w:sz w:val="20"/>
          <w:szCs w:val="20"/>
        </w:rPr>
        <w:t xml:space="preserve">Staff retention is well above network average — the team is stable and clearly engaged</w:t>
      </w:r>
    </w:p>
    <w:p>
      <w:pPr>
        <w:pStyle w:val="ListParagraph"/>
        <w:numPr>
          <w:ilvl w:val="0"/>
          <w:numId w:val="1"/>
        </w:numPr>
        <w:spacing w:after="80"/>
      </w:pPr>
      <w:r>
        <w:rPr>
          <w:rFonts w:ascii="Calibri" w:cs="Calibri" w:eastAsia="Calibri" w:hAnsi="Calibri"/>
          <w:color w:val="1F2D2B"/>
          <w:sz w:val="20"/>
          <w:szCs w:val="20"/>
        </w:rPr>
        <w:t xml:space="preserve">BAS compliance is clean and current across all three entities</w:t>
      </w:r>
    </w:p>
    <w:p>
      <w:pPr>
        <w:pStyle w:val="ListParagraph"/>
        <w:numPr>
          <w:ilvl w:val="0"/>
          <w:numId w:val="1"/>
        </w:numPr>
        <w:spacing w:after="80"/>
      </w:pPr>
      <w:r>
        <w:rPr>
          <w:rFonts w:ascii="Calibri" w:cs="Calibri" w:eastAsia="Calibri" w:hAnsi="Calibri"/>
          <w:color w:val="1F2D2B"/>
          <w:sz w:val="20"/>
          <w:szCs w:val="20"/>
        </w:rPr>
        <w:t xml:space="preserve">The franchisee's client relationships and reputation in the local market are a significant asset</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Establish documented delegation framework; designate clinic manager per site</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 (interim) / 30 days (full)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Separate bank accounts and cost-centre coding per clinic; full entity separation</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accountant</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 (interim) / 60 days (full)</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Implement 13-week rolling cash-flow forecast for each location</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accountant</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Deploy network KPI dashboard at each clinic; monthly review cadence</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Document operating procedures; cross-train; expand system access</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MG-06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Fourth-site decision deferred pending closure of MG-01 to MG-05</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MG-01 and MG-02 interim steps to be confirmed within 7 days — desktop review at no charge</w:t>
      </w:r>
    </w:p>
    <w:p>
      <w:pPr>
        <w:pStyle w:val="ListParagraph"/>
        <w:numPr>
          <w:ilvl w:val="0"/>
          <w:numId w:val="1"/>
        </w:numPr>
        <w:spacing w:after="80"/>
      </w:pPr>
      <w:r>
        <w:rPr>
          <w:rFonts w:ascii="Calibri" w:cs="Calibri" w:eastAsia="Calibri" w:hAnsi="Calibri"/>
          <w:color w:val="1F2D2B"/>
          <w:sz w:val="20"/>
          <w:szCs w:val="20"/>
        </w:rPr>
        <w:t xml:space="preserve">Recommend a management check-in at 60 days to verify MG-02 full separation and MG-03 cash-flow implementation</w:t>
      </w:r>
    </w:p>
    <w:p>
      <w:pPr>
        <w:pStyle w:val="ListParagraph"/>
        <w:numPr>
          <w:ilvl w:val="0"/>
          <w:numId w:val="1"/>
        </w:numPr>
        <w:spacing w:after="80"/>
      </w:pPr>
      <w:r>
        <w:rPr>
          <w:rFonts w:ascii="Calibri" w:cs="Calibri" w:eastAsia="Calibri" w:hAnsi="Calibri"/>
          <w:color w:val="1F2D2B"/>
          <w:sz w:val="20"/>
          <w:szCs w:val="20"/>
        </w:rPr>
        <w:t xml:space="preserve">Full re-score at the 6-month mark to assess management maturity against the network standard</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f71cbfce77e944c29e6ebdc64ad2c21694d2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2026-07-14T02:21:49.168Z</dcterms:created>
  <dcterms:modified xsi:type="dcterms:W3CDTF">2026-07-14T02:21:49.170Z</dcterms:modified>
</cp:coreProperties>
</file>

<file path=docProps/custom.xml><?xml version="1.0" encoding="utf-8"?>
<Properties xmlns="http://schemas.openxmlformats.org/officeDocument/2006/custom-properties" xmlns:vt="http://schemas.openxmlformats.org/officeDocument/2006/docPropsVTypes"/>
</file>