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drawing>
          <wp:inline distT="0" distB="0" distL="0" distR="0">
            <wp:extent cx="7562850" cy="1069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inline>
        </w:drawing>
      </w:r>
    </w:p>
    <w:p>
      <w:pPr>
        <w:sectPr>
          <w:pgSz w:w="11906" w:h="16838" w:orient="portrait"/>
          <w:pgMar w:top="0" w:right="0" w:bottom="0" w:left="0" w:header="0" w:footer="0" w:gutter="0"/>
          <w:pgNumType/>
          <w:docGrid w:linePitch="360"/>
        </w:sectPr>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2800"/>
        <w:gridCol w:w="6946"/>
      </w:tblGrid>
      <w:tr>
        <w:tc>
          <w:tcPr>
            <w:tcW w:type="dxa" w:w="28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Client (fictional)</w:t>
            </w:r>
          </w:p>
        </w:tc>
        <w:tc>
          <w:tcPr>
            <w:tcW w:type="dxa" w:w="69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IronPeak Fitness (fictional network)</w:t>
            </w:r>
          </w:p>
        </w:tc>
      </w:tr>
      <w:tr>
        <w:tc>
          <w:tcPr>
            <w:tcW w:type="dxa" w:w="2800"/>
            <w:tcBorders>
              <w:top w:val="none" w:color="FFFFFF" w:sz="0"/>
              <w:left w:val="none" w:color="FFFFFF" w:sz="0"/>
              <w:bottom w:val="none" w:color="FFFFFF" w:sz="0"/>
              <w:right w:val="none" w:color="FFFFFF" w:sz="0"/>
            </w:tcBorders>
            <w:shd w:fill="0A354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Location</w:t>
            </w:r>
          </w:p>
        </w:tc>
        <w:tc>
          <w:tcPr>
            <w:tcW w:type="dxa" w:w="6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Geelong, VIC (opened 2022)</w:t>
            </w:r>
          </w:p>
        </w:tc>
      </w:tr>
      <w:tr>
        <w:tc>
          <w:tcPr>
            <w:tcW w:type="dxa" w:w="28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Audit type</w:t>
            </w:r>
          </w:p>
        </w:tc>
        <w:tc>
          <w:tcPr>
            <w:tcW w:type="dxa" w:w="69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Safety &amp; WHS Audit</w:t>
            </w:r>
          </w:p>
        </w:tc>
      </w:tr>
      <w:tr>
        <w:tc>
          <w:tcPr>
            <w:tcW w:type="dxa" w:w="2800"/>
            <w:tcBorders>
              <w:top w:val="none" w:color="FFFFFF" w:sz="0"/>
              <w:left w:val="none" w:color="FFFFFF" w:sz="0"/>
              <w:bottom w:val="none" w:color="FFFFFF" w:sz="0"/>
              <w:right w:val="none" w:color="FFFFFF" w:sz="0"/>
            </w:tcBorders>
            <w:shd w:fill="0A354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Audit conducted</w:t>
            </w:r>
          </w:p>
        </w:tc>
        <w:tc>
          <w:tcPr>
            <w:tcW w:type="dxa" w:w="6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29 June 2026</w:t>
            </w:r>
          </w:p>
        </w:tc>
      </w:tr>
      <w:tr>
        <w:tc>
          <w:tcPr>
            <w:tcW w:type="dxa" w:w="28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Report issued</w:t>
            </w:r>
          </w:p>
        </w:tc>
        <w:tc>
          <w:tcPr>
            <w:tcW w:type="dxa" w:w="69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1 July 2026 (48-hour turnaround)</w:t>
            </w:r>
          </w:p>
        </w:tc>
      </w:tr>
      <w:tr>
        <w:tc>
          <w:tcPr>
            <w:tcW w:type="dxa" w:w="2800"/>
            <w:tcBorders>
              <w:top w:val="none" w:color="FFFFFF" w:sz="0"/>
              <w:left w:val="none" w:color="FFFFFF" w:sz="0"/>
              <w:bottom w:val="none" w:color="FFFFFF" w:sz="0"/>
              <w:right w:val="none" w:color="FFFFFF" w:sz="0"/>
            </w:tcBorders>
            <w:shd w:fill="0A354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Lead auditor</w:t>
            </w:r>
          </w:p>
        </w:tc>
        <w:tc>
          <w:tcPr>
            <w:tcW w:type="dxa" w:w="6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R. Patel, WHS Lead Auditor — Maintain Audits</w:t>
            </w:r>
          </w:p>
        </w:tc>
      </w:tr>
      <w:tr>
        <w:tc>
          <w:tcPr>
            <w:tcW w:type="dxa" w:w="28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Report reference</w:t>
            </w:r>
          </w:p>
        </w:tc>
        <w:tc>
          <w:tcPr>
            <w:tcW w:type="dxa" w:w="69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MA-2026-WH-0192</w:t>
            </w:r>
          </w:p>
        </w:tc>
      </w:tr>
      <w:tr>
        <w:tc>
          <w:tcPr>
            <w:tcW w:type="dxa" w:w="2800"/>
            <w:tcBorders>
              <w:top w:val="none" w:color="FFFFFF" w:sz="0"/>
              <w:left w:val="none" w:color="FFFFFF" w:sz="0"/>
              <w:bottom w:val="none" w:color="FFFFFF" w:sz="0"/>
              <w:right w:val="none" w:color="FFFFFF" w:sz="0"/>
            </w:tcBorders>
            <w:shd w:fill="0A354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Distribution</w:t>
            </w:r>
          </w:p>
        </w:tc>
        <w:tc>
          <w:tcPr>
            <w:tcW w:type="dxa" w:w="6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Franchisor head office; franchisee principal — Commercial in confidence</w:t>
            </w:r>
          </w:p>
        </w:tc>
      </w:tr>
    </w:tbl>
    <w:p>
      <w:pPr>
        <w:spacing w:after="20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single" w:color="F59E0B" w:sz="4"/>
              <w:left w:val="single" w:color="F59E0B" w:sz="12"/>
              <w:bottom w:val="single" w:color="F59E0B" w:sz="4"/>
              <w:right w:val="none" w:color="FFFFFF" w:sz="0"/>
            </w:tcBorders>
            <w:shd w:fill="FEF9C3" w:color="auto" w:val="clear"/>
            <w:tcMar>
              <w:top w:type="dxa" w:w="100"/>
              <w:left w:type="dxa" w:w="160"/>
              <w:bottom w:type="dxa" w:w="100"/>
              <w:right w:type="dxa" w:w="160"/>
            </w:tcMar>
          </w:tcPr>
          <w:p>
            <w:pPr>
              <w:jc w:val="center"/>
            </w:pPr>
            <w:r>
              <w:rPr>
                <w:rFonts w:ascii="Calibri" w:cs="Calibri" w:eastAsia="Calibri" w:hAnsi="Calibri"/>
                <w:b/>
                <w:bCs/>
                <w:color w:val="854D0E"/>
                <w:sz w:val="17"/>
                <w:szCs w:val="17"/>
              </w:rPr>
              <w:t xml:space="preserve">SAMPLE DOCUMENT — all client details and findings are fictional, prepared to demonstrate Maintain Audits' reporting format.</w:t>
            </w:r>
          </w:p>
        </w:tc>
      </w:tr>
    </w:tbl>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10"/>
              <w:left w:type="dxa" w:w="180"/>
              <w:bottom w:type="dxa" w:w="110"/>
              <w:right w:type="dxa" w:w="180"/>
            </w:tcMar>
          </w:tcPr>
          <w:p>
            <w:pPr>
              <w:spacing w:after="0" w:before="0"/>
            </w:pPr>
            <w:r>
              <w:rPr>
                <w:rFonts w:ascii="Calibri" w:cs="Calibri" w:eastAsia="Calibri" w:hAnsi="Calibri"/>
                <w:b/>
                <w:bCs/>
                <w:color w:val="06F285"/>
                <w:sz w:val="15"/>
                <w:szCs w:val="15"/>
              </w:rPr>
              <w:t xml:space="preserve">SECTION 1</w:t>
            </w:r>
            <w:r>
              <w:rPr>
                <w:rFonts w:ascii="Calibri" w:cs="Calibri" w:eastAsia="Calibri" w:hAnsi="Calibri"/>
                <w:color w:val="3A6B52"/>
                <w:sz w:val="15"/>
                <w:szCs w:val="15"/>
              </w:rPr>
              <w:t xml:space="preserve">   │   </w:t>
            </w:r>
            <w:r>
              <w:rPr>
                <w:rFonts w:ascii="Calibri" w:cs="Calibri" w:eastAsia="Calibri" w:hAnsi="Calibri"/>
                <w:b/>
                <w:bCs/>
                <w:color w:val="FFFFFF"/>
                <w:sz w:val="20"/>
                <w:szCs w:val="20"/>
              </w:rPr>
              <w:t xml:space="preserve">EXECUTIVE SUMMARY</w:t>
            </w:r>
          </w:p>
        </w:tc>
      </w:tr>
    </w:tbl>
    <w:p>
      <w:pPr>
        <w:spacing w:after="160"/>
      </w:pPr>
    </w:p>
    <w:p>
      <w:pPr>
        <w:spacing w:after="160"/>
      </w:pPr>
      <w:r>
        <w:rPr>
          <w:rFonts w:ascii="Calibri" w:cs="Calibri" w:eastAsia="Calibri" w:hAnsi="Calibri"/>
          <w:color w:val="1F2D2B"/>
          <w:sz w:val="20"/>
          <w:szCs w:val="20"/>
        </w:rPr>
        <w:t xml:space="preserve">IronPeak Geelong was assessed against the network WHS standard v3 and applicable obligations under the Work Health and Safety Act (Vic) 2011. The site scored 71% against a network target of 90%, earning a High rating. Six findings were raised: one Critical, two High, and three Medium.</w:t>
      </w:r>
    </w:p>
    <w:p>
      <w:pPr>
        <w:spacing w:after="160"/>
      </w:pPr>
      <w:r>
        <w:rPr>
          <w:rFonts w:ascii="Calibri" w:cs="Calibri" w:eastAsia="Calibri" w:hAnsi="Calibri"/>
          <w:color w:val="1F2D2B"/>
          <w:sz w:val="20"/>
          <w:szCs w:val="20"/>
        </w:rPr>
        <w:t xml:space="preserve">The Critical finding was identified and partially resolved on the day: a frayed cable on a cable crossover machine that was in active use at audit commencement was isolated immediately. That machine must not return to service until a qualified technician has inspected and certified it. The remaining findings — lapsed equipment inspection tags, unrecorded injuries, outdated evacuation diagrams, unlabelled chemicals, and two coaches with expired first aid — are each individually manageable but together indicate that the site's WHS maintenance discipline has slipped since the post-opening period.</w:t>
      </w:r>
    </w:p>
    <w:p>
      <w:pPr>
        <w:spacing w:after="160"/>
      </w:pPr>
      <w:r>
        <w:rPr>
          <w:rFonts w:ascii="Calibri" w:cs="Calibri" w:eastAsia="Calibri" w:hAnsi="Calibri"/>
          <w:color w:val="1F2D2B"/>
          <w:sz w:val="20"/>
          <w:szCs w:val="20"/>
        </w:rPr>
        <w:t xml:space="preserve">The franchisee was cooperative throughout and took the cable isolation seriously. Closing these findings will return the site to the safety standard its members and staff are entitled to.</w:t>
      </w:r>
    </w:p>
    <w:p>
      <w:pPr>
        <w:spacing w:after="80"/>
      </w:pPr>
    </w:p>
    <w:p>
      <w:pPr>
        <w:pBdr>
          <w:bottom w:val="single" w:color="06F285" w:sz="4"/>
        </w:pBdr>
        <w:spacing w:after="100" w:before="240"/>
      </w:pPr>
      <w:r>
        <w:rPr>
          <w:rFonts w:ascii="Calibri" w:cs="Calibri" w:eastAsia="Calibri" w:hAnsi="Calibri"/>
          <w:b/>
          <w:bCs/>
          <w:color w:val="07272D"/>
          <w:sz w:val="22"/>
          <w:szCs w:val="22"/>
        </w:rPr>
        <w:t xml:space="preserve">Overall Result</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3500"/>
        <w:gridCol w:w="6246"/>
      </w:tblGrid>
      <w:tr>
        <w:tc>
          <w:tcPr>
            <w:tcW w:type="dxa" w:w="35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Measure</w:t>
            </w:r>
          </w:p>
        </w:tc>
        <w:tc>
          <w:tcPr>
            <w:tcW w:type="dxa" w:w="62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Result</w:t>
            </w:r>
          </w:p>
        </w:tc>
      </w:tr>
      <w:tr>
        <w:tc>
          <w:tcPr>
            <w:tcW w:type="dxa" w:w="3500"/>
            <w:tcBorders>
              <w:top w:val="none" w:color="FFFFFF" w:sz="0"/>
              <w:left w:val="none" w:color="FFFFFF" w:sz="0"/>
              <w:bottom w:val="none" w:color="FFFFFF" w:sz="0"/>
              <w:right w:val="none" w:color="FFFFFF" w:sz="0"/>
            </w:tcBorders>
            <w:shd w:fill="0D3D48"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FFFFFF"/>
                <w:sz w:val="18"/>
                <w:szCs w:val="18"/>
              </w:rPr>
              <w:t xml:space="preserve">Overall compliance score</w:t>
            </w:r>
          </w:p>
        </w:tc>
        <w:tc>
          <w:tcPr>
            <w:tcW w:type="dxa" w:w="62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71% (target ≥ 90%)</w:t>
            </w:r>
          </w:p>
        </w:tc>
      </w:tr>
      <w:tr>
        <w:tc>
          <w:tcPr>
            <w:tcW w:type="dxa" w:w="3500"/>
            <w:tcBorders>
              <w:top w:val="none" w:color="FFFFFF" w:sz="0"/>
              <w:left w:val="none" w:color="FFFFFF" w:sz="0"/>
              <w:bottom w:val="none" w:color="FFFFFF" w:sz="0"/>
              <w:right w:val="none" w:color="FFFFFF" w:sz="0"/>
            </w:tcBorders>
            <w:shd w:fill="0A354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FFFFFF"/>
                <w:sz w:val="18"/>
                <w:szCs w:val="18"/>
              </w:rPr>
              <w:t xml:space="preserve">Overall rating</w:t>
            </w:r>
          </w:p>
        </w:tc>
        <w:tc>
          <w:tcPr>
            <w:tcW w:type="dxa" w:w="62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High</w:t>
            </w:r>
          </w:p>
        </w:tc>
      </w:tr>
      <w:tr>
        <w:tc>
          <w:tcPr>
            <w:tcW w:type="dxa" w:w="3500"/>
            <w:tcBorders>
              <w:top w:val="none" w:color="FFFFFF" w:sz="0"/>
              <w:left w:val="none" w:color="FFFFFF" w:sz="0"/>
              <w:bottom w:val="none" w:color="FFFFFF" w:sz="0"/>
              <w:right w:val="none" w:color="FFFFFF" w:sz="0"/>
            </w:tcBorders>
            <w:shd w:fill="0D3D48"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FFFFFF"/>
                <w:sz w:val="18"/>
                <w:szCs w:val="18"/>
              </w:rPr>
              <w:t xml:space="preserve">Findings raised</w:t>
            </w:r>
          </w:p>
        </w:tc>
        <w:tc>
          <w:tcPr>
            <w:tcW w:type="dxa" w:w="62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6</w:t>
            </w:r>
          </w:p>
        </w:tc>
      </w:tr>
      <w:tr>
        <w:tc>
          <w:tcPr>
            <w:tcW w:type="dxa" w:w="3500"/>
            <w:tcBorders>
              <w:top w:val="none" w:color="FFFFFF" w:sz="0"/>
              <w:left w:val="none" w:color="FFFFFF" w:sz="0"/>
              <w:bottom w:val="none" w:color="FFFFFF" w:sz="0"/>
              <w:right w:val="none" w:color="FFFFFF" w:sz="0"/>
            </w:tcBorders>
            <w:shd w:fill="0A354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FFFFFF"/>
                <w:sz w:val="18"/>
                <w:szCs w:val="18"/>
              </w:rPr>
              <w:t xml:space="preserve">Most urgent action due</w:t>
            </w:r>
          </w:p>
        </w:tc>
        <w:tc>
          <w:tcPr>
            <w:tcW w:type="dxa" w:w="62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Cable crossover machine — do not return to service (WH-01)</w:t>
            </w:r>
          </w:p>
        </w:tc>
      </w:tr>
    </w:tbl>
    <w:p>
      <w:pPr>
        <w:spacing w:after="160"/>
      </w:pPr>
    </w:p>
    <w:p>
      <w:pPr>
        <w:pBdr>
          <w:bottom w:val="single" w:color="06F285" w:sz="4"/>
        </w:pBdr>
        <w:spacing w:after="100" w:before="240"/>
      </w:pPr>
      <w:r>
        <w:rPr>
          <w:rFonts w:ascii="Calibri" w:cs="Calibri" w:eastAsia="Calibri" w:hAnsi="Calibri"/>
          <w:b/>
          <w:bCs/>
          <w:color w:val="07272D"/>
          <w:sz w:val="22"/>
          <w:szCs w:val="22"/>
        </w:rPr>
        <w:t xml:space="preserve">Findings by Risk Rating</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2500"/>
        <w:gridCol w:w="7246"/>
      </w:tblGrid>
      <w:tr>
        <w:tc>
          <w:tcPr>
            <w:tcW w:type="dxa" w:w="25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72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Count</w:t>
            </w:r>
          </w:p>
        </w:tc>
      </w:tr>
      <w:tr>
        <w:tc>
          <w:tcPr>
            <w:tcW w:type="dxa" w:w="2500"/>
            <w:tcBorders>
              <w:top w:val="none" w:color="FFFFFF" w:sz="0"/>
              <w:left w:val="none" w:color="FFFFFF" w:sz="0"/>
              <w:bottom w:val="none" w:color="FFFFFF" w:sz="0"/>
              <w:right w:val="none" w:color="FFFFFF" w:sz="0"/>
            </w:tcBorders>
            <w:shd w:fill="FEE2E2"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991B1B"/>
                <w:sz w:val="18"/>
                <w:szCs w:val="18"/>
              </w:rPr>
              <w:t xml:space="preserve">Critical</w:t>
            </w:r>
          </w:p>
        </w:tc>
        <w:tc>
          <w:tcPr>
            <w:tcW w:type="dxa" w:w="72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1</w:t>
            </w:r>
          </w:p>
        </w:tc>
      </w:tr>
      <w:tr>
        <w:tc>
          <w:tcPr>
            <w:tcW w:type="dxa" w:w="2500"/>
            <w:tcBorders>
              <w:top w:val="none" w:color="FFFFFF" w:sz="0"/>
              <w:left w:val="none" w:color="FFFFFF" w:sz="0"/>
              <w:bottom w:val="none" w:color="FFFFFF" w:sz="0"/>
              <w:right w:val="none" w:color="FFFFFF" w:sz="0"/>
            </w:tcBorders>
            <w:shd w:fill="FFEDD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9A3412"/>
                <w:sz w:val="18"/>
                <w:szCs w:val="18"/>
              </w:rPr>
              <w:t xml:space="preserve">High</w:t>
            </w:r>
          </w:p>
        </w:tc>
        <w:tc>
          <w:tcPr>
            <w:tcW w:type="dxa" w:w="72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2</w:t>
            </w:r>
          </w:p>
        </w:tc>
      </w:tr>
      <w:tr>
        <w:tc>
          <w:tcPr>
            <w:tcW w:type="dxa" w:w="2500"/>
            <w:tcBorders>
              <w:top w:val="none" w:color="FFFFFF" w:sz="0"/>
              <w:left w:val="none" w:color="FFFFFF" w:sz="0"/>
              <w:bottom w:val="none" w:color="FFFFFF" w:sz="0"/>
              <w:right w:val="none" w:color="FFFFFF" w:sz="0"/>
            </w:tcBorders>
            <w:shd w:fill="FEF9C3"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854D0E"/>
                <w:sz w:val="18"/>
                <w:szCs w:val="18"/>
              </w:rPr>
              <w:t xml:space="preserve">Medium</w:t>
            </w:r>
          </w:p>
        </w:tc>
        <w:tc>
          <w:tcPr>
            <w:tcW w:type="dxa" w:w="72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3</w:t>
            </w:r>
          </w:p>
        </w:tc>
      </w:tr>
    </w:tbl>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10"/>
              <w:left w:type="dxa" w:w="180"/>
              <w:bottom w:type="dxa" w:w="110"/>
              <w:right w:type="dxa" w:w="180"/>
            </w:tcMar>
          </w:tcPr>
          <w:p>
            <w:pPr>
              <w:spacing w:after="0" w:before="0"/>
            </w:pPr>
            <w:r>
              <w:rPr>
                <w:rFonts w:ascii="Calibri" w:cs="Calibri" w:eastAsia="Calibri" w:hAnsi="Calibri"/>
                <w:b/>
                <w:bCs/>
                <w:color w:val="06F285"/>
                <w:sz w:val="15"/>
                <w:szCs w:val="15"/>
              </w:rPr>
              <w:t xml:space="preserve">SECTION 2</w:t>
            </w:r>
            <w:r>
              <w:rPr>
                <w:rFonts w:ascii="Calibri" w:cs="Calibri" w:eastAsia="Calibri" w:hAnsi="Calibri"/>
                <w:color w:val="3A6B52"/>
                <w:sz w:val="15"/>
                <w:szCs w:val="15"/>
              </w:rPr>
              <w:t xml:space="preserve">   │   </w:t>
            </w:r>
            <w:r>
              <w:rPr>
                <w:rFonts w:ascii="Calibri" w:cs="Calibri" w:eastAsia="Calibri" w:hAnsi="Calibri"/>
                <w:b/>
                <w:bCs/>
                <w:color w:val="FFFFFF"/>
                <w:sz w:val="20"/>
                <w:szCs w:val="20"/>
              </w:rPr>
              <w:t xml:space="preserve">SCOPE &amp; METHODOLOGY</w:t>
            </w:r>
          </w:p>
        </w:tc>
      </w:tr>
    </w:tbl>
    <w:p>
      <w:pPr>
        <w:spacing w:after="160"/>
      </w:pPr>
    </w:p>
    <w:p>
      <w:pPr>
        <w:spacing w:after="160"/>
      </w:pPr>
      <w:r>
        <w:rPr>
          <w:rFonts w:ascii="Calibri" w:cs="Calibri" w:eastAsia="Calibri" w:hAnsi="Calibri"/>
          <w:color w:val="1F2D2B"/>
          <w:sz w:val="20"/>
          <w:szCs w:val="20"/>
        </w:rPr>
        <w:t xml:space="preserve">A full WHS compliance audit against the IronPeak Network WHS Standard v3 and the Work Health and Safety Act (Vic) 2011, covering all hazard categories relevant to a 24-hour gym environment.</w:t>
      </w:r>
    </w:p>
    <w:p>
      <w:pPr>
        <w:spacing w:after="80"/>
      </w:pPr>
    </w:p>
    <w:p>
      <w:pPr>
        <w:pBdr>
          <w:bottom w:val="single" w:color="06F285" w:sz="4"/>
        </w:pBdr>
        <w:spacing w:after="100" w:before="240"/>
      </w:pPr>
      <w:r>
        <w:rPr>
          <w:rFonts w:ascii="Calibri" w:cs="Calibri" w:eastAsia="Calibri" w:hAnsi="Calibri"/>
          <w:b/>
          <w:bCs/>
          <w:color w:val="07272D"/>
          <w:sz w:val="22"/>
          <w:szCs w:val="22"/>
        </w:rPr>
        <w:t xml:space="preserve">In Scope</w:t>
      </w:r>
    </w:p>
    <w:p>
      <w:pPr>
        <w:pStyle w:val="ListParagraph"/>
        <w:numPr>
          <w:ilvl w:val="0"/>
          <w:numId w:val="1"/>
        </w:numPr>
        <w:spacing w:after="80"/>
      </w:pPr>
      <w:r>
        <w:rPr>
          <w:rFonts w:ascii="Calibri" w:cs="Calibri" w:eastAsia="Calibri" w:hAnsi="Calibri"/>
          <w:color w:val="1F2D2B"/>
          <w:sz w:val="20"/>
          <w:szCs w:val="20"/>
        </w:rPr>
        <w:t xml:space="preserve">Equipment safety — condition, tagging, anchoring, and service history</w:t>
      </w:r>
    </w:p>
    <w:p>
      <w:pPr>
        <w:pStyle w:val="ListParagraph"/>
        <w:numPr>
          <w:ilvl w:val="0"/>
          <w:numId w:val="1"/>
        </w:numPr>
        <w:spacing w:after="80"/>
      </w:pPr>
      <w:r>
        <w:rPr>
          <w:rFonts w:ascii="Calibri" w:cs="Calibri" w:eastAsia="Calibri" w:hAnsi="Calibri"/>
          <w:color w:val="1F2D2B"/>
          <w:sz w:val="20"/>
          <w:szCs w:val="20"/>
        </w:rPr>
        <w:t xml:space="preserve">Injury and incident recording — register currency, near-miss reporting</w:t>
      </w:r>
    </w:p>
    <w:p>
      <w:pPr>
        <w:pStyle w:val="ListParagraph"/>
        <w:numPr>
          <w:ilvl w:val="0"/>
          <w:numId w:val="1"/>
        </w:numPr>
        <w:spacing w:after="80"/>
      </w:pPr>
      <w:r>
        <w:rPr>
          <w:rFonts w:ascii="Calibri" w:cs="Calibri" w:eastAsia="Calibri" w:hAnsi="Calibri"/>
          <w:color w:val="1F2D2B"/>
          <w:sz w:val="20"/>
          <w:szCs w:val="20"/>
        </w:rPr>
        <w:t xml:space="preserve">Emergency preparedness — evacuation procedures, diagrams, AED, first aid coverage</w:t>
      </w:r>
    </w:p>
    <w:p>
      <w:pPr>
        <w:pStyle w:val="ListParagraph"/>
        <w:numPr>
          <w:ilvl w:val="0"/>
          <w:numId w:val="1"/>
        </w:numPr>
        <w:spacing w:after="80"/>
      </w:pPr>
      <w:r>
        <w:rPr>
          <w:rFonts w:ascii="Calibri" w:cs="Calibri" w:eastAsia="Calibri" w:hAnsi="Calibri"/>
          <w:color w:val="1F2D2B"/>
          <w:sz w:val="20"/>
          <w:szCs w:val="20"/>
        </w:rPr>
        <w:t xml:space="preserve">Chemical management — storage, labelling, SDS availability</w:t>
      </w:r>
    </w:p>
    <w:p>
      <w:pPr>
        <w:pStyle w:val="ListParagraph"/>
        <w:numPr>
          <w:ilvl w:val="0"/>
          <w:numId w:val="1"/>
        </w:numPr>
        <w:spacing w:after="80"/>
      </w:pPr>
      <w:r>
        <w:rPr>
          <w:rFonts w:ascii="Calibri" w:cs="Calibri" w:eastAsia="Calibri" w:hAnsi="Calibri"/>
          <w:color w:val="1F2D2B"/>
          <w:sz w:val="20"/>
          <w:szCs w:val="20"/>
        </w:rPr>
        <w:t xml:space="preserve">Staff qualifications — first aid currency, emergency warden designation</w:t>
      </w:r>
    </w:p>
    <w:p>
      <w:pPr>
        <w:pStyle w:val="ListParagraph"/>
        <w:numPr>
          <w:ilvl w:val="0"/>
          <w:numId w:val="1"/>
        </w:numPr>
        <w:spacing w:after="80"/>
      </w:pPr>
      <w:r>
        <w:rPr>
          <w:rFonts w:ascii="Calibri" w:cs="Calibri" w:eastAsia="Calibri" w:hAnsi="Calibri"/>
          <w:color w:val="1F2D2B"/>
          <w:sz w:val="20"/>
          <w:szCs w:val="20"/>
        </w:rPr>
        <w:t xml:space="preserve">Physical environment — slip/trip hazards, lighting, signage</w:t>
      </w:r>
    </w:p>
    <w:p>
      <w:pPr>
        <w:spacing w:after="80"/>
      </w:pPr>
    </w:p>
    <w:p>
      <w:pPr>
        <w:pBdr>
          <w:bottom w:val="single" w:color="06F285" w:sz="4"/>
        </w:pBdr>
        <w:spacing w:after="100" w:before="240"/>
      </w:pPr>
      <w:r>
        <w:rPr>
          <w:rFonts w:ascii="Calibri" w:cs="Calibri" w:eastAsia="Calibri" w:hAnsi="Calibri"/>
          <w:b/>
          <w:bCs/>
          <w:color w:val="07272D"/>
          <w:sz w:val="22"/>
          <w:szCs w:val="22"/>
        </w:rPr>
        <w:t xml:space="preserve">How the Audit Was Conducted</w:t>
      </w:r>
    </w:p>
    <w:p>
      <w:pPr>
        <w:pStyle w:val="ListParagraph"/>
        <w:numPr>
          <w:ilvl w:val="0"/>
          <w:numId w:val="1"/>
        </w:numPr>
        <w:spacing w:after="80"/>
      </w:pPr>
      <w:r>
        <w:rPr>
          <w:rFonts w:ascii="Calibri" w:cs="Calibri" w:eastAsia="Calibri" w:hAnsi="Calibri"/>
          <w:color w:val="1F2D2B"/>
          <w:sz w:val="20"/>
          <w:szCs w:val="20"/>
        </w:rPr>
        <w:t xml:space="preserve">Unannounced full-day site audit using the 88-point WHS checklist</w:t>
      </w:r>
    </w:p>
    <w:p>
      <w:pPr>
        <w:pStyle w:val="ListParagraph"/>
        <w:numPr>
          <w:ilvl w:val="0"/>
          <w:numId w:val="1"/>
        </w:numPr>
        <w:spacing w:after="80"/>
      </w:pPr>
      <w:r>
        <w:rPr>
          <w:rFonts w:ascii="Calibri" w:cs="Calibri" w:eastAsia="Calibri" w:hAnsi="Calibri"/>
          <w:color w:val="1F2D2B"/>
          <w:sz w:val="20"/>
          <w:szCs w:val="20"/>
        </w:rPr>
        <w:t xml:space="preserve">Equipment inspection including visual inspection of all resistance, cardio, and functional training equipment</w:t>
      </w:r>
    </w:p>
    <w:p>
      <w:pPr>
        <w:pStyle w:val="ListParagraph"/>
        <w:numPr>
          <w:ilvl w:val="0"/>
          <w:numId w:val="1"/>
        </w:numPr>
        <w:spacing w:after="80"/>
      </w:pPr>
      <w:r>
        <w:rPr>
          <w:rFonts w:ascii="Calibri" w:cs="Calibri" w:eastAsia="Calibri" w:hAnsi="Calibri"/>
          <w:color w:val="1F2D2B"/>
          <w:sz w:val="20"/>
          <w:szCs w:val="20"/>
        </w:rPr>
        <w:t xml:space="preserve">Review of inspection tags, service records, and manufacturer maintenance schedules</w:t>
      </w:r>
    </w:p>
    <w:p>
      <w:pPr>
        <w:pStyle w:val="ListParagraph"/>
        <w:numPr>
          <w:ilvl w:val="0"/>
          <w:numId w:val="1"/>
        </w:numPr>
        <w:spacing w:after="80"/>
      </w:pPr>
      <w:r>
        <w:rPr>
          <w:rFonts w:ascii="Calibri" w:cs="Calibri" w:eastAsia="Calibri" w:hAnsi="Calibri"/>
          <w:color w:val="1F2D2B"/>
          <w:sz w:val="20"/>
          <w:szCs w:val="20"/>
        </w:rPr>
        <w:t xml:space="preserve">Document review: injury register, evacuation plan, chemical register, staff qualifications</w:t>
      </w:r>
    </w:p>
    <w:p>
      <w:pPr>
        <w:pStyle w:val="ListParagraph"/>
        <w:numPr>
          <w:ilvl w:val="0"/>
          <w:numId w:val="1"/>
        </w:numPr>
        <w:spacing w:after="80"/>
      </w:pPr>
      <w:r>
        <w:rPr>
          <w:rFonts w:ascii="Calibri" w:cs="Calibri" w:eastAsia="Calibri" w:hAnsi="Calibri"/>
          <w:color w:val="1F2D2B"/>
          <w:sz w:val="20"/>
          <w:szCs w:val="20"/>
        </w:rPr>
        <w:t xml:space="preserve">Walk-through with franchisee and club manager</w:t>
      </w:r>
    </w:p>
    <w:p>
      <w:pPr>
        <w:spacing w:after="160"/>
      </w:pPr>
    </w:p>
    <w:p>
      <w:pPr>
        <w:pBdr>
          <w:bottom w:val="single" w:color="06F285" w:sz="4"/>
        </w:pBdr>
        <w:spacing w:after="100" w:before="240"/>
      </w:pPr>
      <w:r>
        <w:rPr>
          <w:rFonts w:ascii="Calibri" w:cs="Calibri" w:eastAsia="Calibri" w:hAnsi="Calibri"/>
          <w:b/>
          <w:bCs/>
          <w:color w:val="07272D"/>
          <w:sz w:val="22"/>
          <w:szCs w:val="22"/>
        </w:rPr>
        <w:t xml:space="preserve">Risk Rating Scale</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400"/>
        <w:gridCol w:w="5546"/>
        <w:gridCol w:w="2800"/>
      </w:tblGrid>
      <w:tr>
        <w:tc>
          <w:tcPr>
            <w:tcW w:type="dxa" w:w="14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55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Meaning</w:t>
            </w:r>
          </w:p>
        </w:tc>
        <w:tc>
          <w:tcPr>
            <w:tcW w:type="dxa" w:w="28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Action required</w:t>
            </w:r>
          </w:p>
        </w:tc>
      </w:tr>
      <w:tr>
        <w:tc>
          <w:tcPr>
            <w:tcW w:type="dxa" w:w="1400"/>
            <w:tcBorders>
              <w:top w:val="none" w:color="FFFFFF" w:sz="0"/>
              <w:left w:val="none" w:color="FFFFFF" w:sz="0"/>
              <w:bottom w:val="none" w:color="FFFFFF" w:sz="0"/>
              <w:right w:val="none" w:color="FFFFFF" w:sz="0"/>
            </w:tcBorders>
            <w:shd w:fill="FEE2E2"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991B1B"/>
                <w:sz w:val="18"/>
                <w:szCs w:val="18"/>
              </w:rPr>
              <w:t xml:space="preserve">Critical</w:t>
            </w:r>
          </w:p>
        </w:tc>
        <w:tc>
          <w:tcPr>
            <w:tcW w:type="dxa" w:w="55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Immediate threat to safety, legal compliance, or brand integrity.</w:t>
            </w:r>
          </w:p>
        </w:tc>
        <w:tc>
          <w:tcPr>
            <w:tcW w:type="dxa" w:w="2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48 hours</w:t>
            </w:r>
          </w:p>
        </w:tc>
      </w:tr>
      <w:tr>
        <w:tc>
          <w:tcPr>
            <w:tcW w:type="dxa" w:w="1400"/>
            <w:tcBorders>
              <w:top w:val="none" w:color="FFFFFF" w:sz="0"/>
              <w:left w:val="none" w:color="FFFFFF" w:sz="0"/>
              <w:bottom w:val="none" w:color="FFFFFF" w:sz="0"/>
              <w:right w:val="none" w:color="FFFFFF" w:sz="0"/>
            </w:tcBorders>
            <w:shd w:fill="FFEDD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9A3412"/>
                <w:sz w:val="18"/>
                <w:szCs w:val="18"/>
              </w:rPr>
              <w:t xml:space="preserve">High</w:t>
            </w:r>
          </w:p>
        </w:tc>
        <w:tc>
          <w:tcPr>
            <w:tcW w:type="dxa" w:w="55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Material non-compliance likely to cause customer, safety, or financial impact.</w:t>
            </w:r>
          </w:p>
        </w:tc>
        <w:tc>
          <w:tcPr>
            <w:tcW w:type="dxa" w:w="2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7 days</w:t>
            </w:r>
          </w:p>
        </w:tc>
      </w:tr>
      <w:tr>
        <w:tc>
          <w:tcPr>
            <w:tcW w:type="dxa" w:w="1400"/>
            <w:tcBorders>
              <w:top w:val="none" w:color="FFFFFF" w:sz="0"/>
              <w:left w:val="none" w:color="FFFFFF" w:sz="0"/>
              <w:bottom w:val="none" w:color="FFFFFF" w:sz="0"/>
              <w:right w:val="none" w:color="FFFFFF" w:sz="0"/>
            </w:tcBorders>
            <w:shd w:fill="FEF9C3"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854D0E"/>
                <w:sz w:val="18"/>
                <w:szCs w:val="18"/>
              </w:rPr>
              <w:t xml:space="preserve">Medium</w:t>
            </w:r>
          </w:p>
        </w:tc>
        <w:tc>
          <w:tcPr>
            <w:tcW w:type="dxa" w:w="55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Non-compliance with franchise standards; manageable if addressed promptly.</w:t>
            </w:r>
          </w:p>
        </w:tc>
        <w:tc>
          <w:tcPr>
            <w:tcW w:type="dxa" w:w="2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30 days</w:t>
            </w:r>
          </w:p>
        </w:tc>
      </w:tr>
      <w:tr>
        <w:tc>
          <w:tcPr>
            <w:tcW w:type="dxa" w:w="1400"/>
            <w:tcBorders>
              <w:top w:val="none" w:color="FFFFFF" w:sz="0"/>
              <w:left w:val="none" w:color="FFFFFF" w:sz="0"/>
              <w:bottom w:val="none" w:color="FFFFFF" w:sz="0"/>
              <w:right w:val="none" w:color="FFFFFF" w:sz="0"/>
            </w:tcBorders>
            <w:shd w:fill="DCFCE7"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66534"/>
                <w:sz w:val="18"/>
                <w:szCs w:val="18"/>
              </w:rPr>
              <w:t xml:space="preserve">Low</w:t>
            </w:r>
          </w:p>
        </w:tc>
        <w:tc>
          <w:tcPr>
            <w:tcW w:type="dxa" w:w="55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Minor deviation or housekeeping issue.</w:t>
            </w:r>
          </w:p>
        </w:tc>
        <w:tc>
          <w:tcPr>
            <w:tcW w:type="dxa" w:w="2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90 days</w:t>
            </w:r>
          </w:p>
        </w:tc>
      </w:tr>
      <w:tr>
        <w:tc>
          <w:tcPr>
            <w:tcW w:type="dxa" w:w="1400"/>
            <w:tcBorders>
              <w:top w:val="none" w:color="FFFFFF" w:sz="0"/>
              <w:left w:val="none" w:color="FFFFFF" w:sz="0"/>
              <w:bottom w:val="none" w:color="FFFFFF" w:sz="0"/>
              <w:right w:val="none" w:color="FFFFFF" w:sz="0"/>
            </w:tcBorders>
            <w:shd w:fill="DBEAFE"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E40AF"/>
                <w:sz w:val="18"/>
                <w:szCs w:val="18"/>
              </w:rPr>
              <w:t xml:space="preserve">Observation</w:t>
            </w:r>
          </w:p>
        </w:tc>
        <w:tc>
          <w:tcPr>
            <w:tcW w:type="dxa" w:w="55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Not a non-compliance; an improvement opportunity worth acting on.</w:t>
            </w:r>
          </w:p>
        </w:tc>
        <w:tc>
          <w:tcPr>
            <w:tcW w:type="dxa" w:w="2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At next review</w:t>
            </w:r>
          </w:p>
        </w:tc>
      </w:tr>
    </w:tbl>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10"/>
              <w:left w:type="dxa" w:w="180"/>
              <w:bottom w:type="dxa" w:w="110"/>
              <w:right w:type="dxa" w:w="180"/>
            </w:tcMar>
          </w:tcPr>
          <w:p>
            <w:pPr>
              <w:spacing w:after="0" w:before="0"/>
            </w:pPr>
            <w:r>
              <w:rPr>
                <w:rFonts w:ascii="Calibri" w:cs="Calibri" w:eastAsia="Calibri" w:hAnsi="Calibri"/>
                <w:b/>
                <w:bCs/>
                <w:color w:val="06F285"/>
                <w:sz w:val="15"/>
                <w:szCs w:val="15"/>
              </w:rPr>
              <w:t xml:space="preserve">SECTION 3</w:t>
            </w:r>
            <w:r>
              <w:rPr>
                <w:rFonts w:ascii="Calibri" w:cs="Calibri" w:eastAsia="Calibri" w:hAnsi="Calibri"/>
                <w:color w:val="3A6B52"/>
                <w:sz w:val="15"/>
                <w:szCs w:val="15"/>
              </w:rPr>
              <w:t xml:space="preserve">   │   </w:t>
            </w:r>
            <w:r>
              <w:rPr>
                <w:rFonts w:ascii="Calibri" w:cs="Calibri" w:eastAsia="Calibri" w:hAnsi="Calibri"/>
                <w:b/>
                <w:bCs/>
                <w:color w:val="FFFFFF"/>
                <w:sz w:val="20"/>
                <w:szCs w:val="20"/>
              </w:rPr>
              <w:t xml:space="preserve">FINDINGS SUMMARY</w:t>
            </w:r>
          </w:p>
        </w:tc>
      </w:tr>
    </w:tbl>
    <w:p>
      <w:pPr>
        <w:spacing w:after="16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800"/>
        <w:gridCol w:w="2400"/>
        <w:gridCol w:w="4346"/>
        <w:gridCol w:w="2200"/>
      </w:tblGrid>
      <w:tr>
        <w:tc>
          <w:tcPr>
            <w:tcW w:type="dxa" w:w="8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ID</w:t>
            </w:r>
          </w:p>
        </w:tc>
        <w:tc>
          <w:tcPr>
            <w:tcW w:type="dxa" w:w="24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Area</w:t>
            </w:r>
          </w:p>
        </w:tc>
        <w:tc>
          <w:tcPr>
            <w:tcW w:type="dxa" w:w="43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Finding</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center"/>
            </w:pPr>
            <w:r>
              <w:rPr>
                <w:rFonts w:ascii="Calibri" w:cs="Calibri" w:eastAsia="Calibri" w:hAnsi="Calibri"/>
                <w:b/>
                <w:bCs/>
                <w:color w:val="FFFFFF"/>
                <w:sz w:val="17"/>
                <w:szCs w:val="17"/>
              </w:rPr>
              <w:t xml:space="preserve">Rating</w:t>
            </w:r>
          </w:p>
        </w:tc>
      </w:tr>
      <w:tr>
        <w:tc>
          <w:tcPr>
            <w:tcW w:type="dxa" w:w="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WH-01</w:t>
            </w:r>
          </w:p>
        </w:tc>
        <w:tc>
          <w:tcPr>
            <w:tcW w:type="dxa" w:w="24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Equipment safety</w:t>
            </w:r>
          </w:p>
        </w:tc>
        <w:tc>
          <w:tcPr>
            <w:tcW w:type="dxa" w:w="43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Frayed cable on cable crossover in active use — isolated on audit day</w:t>
            </w:r>
          </w:p>
        </w:tc>
        <w:tc>
          <w:tcPr>
            <w:tcW w:type="dxa" w:w="2200"/>
            <w:tcBorders>
              <w:top w:val="none" w:color="FFFFFF" w:sz="0"/>
              <w:left w:val="none" w:color="FFFFFF" w:sz="0"/>
              <w:bottom w:val="none" w:color="FFFFFF" w:sz="0"/>
              <w:right w:val="none" w:color="FFFFFF" w:sz="0"/>
            </w:tcBorders>
            <w:shd w:fill="FEE2E2" w:color="auto" w:val="clear"/>
            <w:tcMar>
              <w:top w:type="dxa" w:w="80"/>
              <w:left w:type="dxa" w:w="130"/>
              <w:bottom w:type="dxa" w:w="80"/>
              <w:right w:type="dxa" w:w="130"/>
            </w:tcMar>
            <w:vAlign w:val="center"/>
          </w:tcPr>
          <w:p>
            <w:pPr>
              <w:spacing w:after="0" w:before="0"/>
              <w:jc w:val="center"/>
            </w:pPr>
            <w:r>
              <w:rPr>
                <w:rFonts w:ascii="Calibri" w:cs="Calibri" w:eastAsia="Calibri" w:hAnsi="Calibri"/>
                <w:b/>
                <w:bCs/>
                <w:color w:val="991B1B"/>
                <w:sz w:val="18"/>
                <w:szCs w:val="18"/>
              </w:rPr>
              <w:t xml:space="preserve">Critical</w:t>
            </w:r>
          </w:p>
        </w:tc>
      </w:tr>
      <w:tr>
        <w:tc>
          <w:tcPr>
            <w:tcW w:type="dxa" w:w="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WH-02</w:t>
            </w:r>
          </w:p>
        </w:tc>
        <w:tc>
          <w:tcPr>
            <w:tcW w:type="dxa" w:w="24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Incident recording</w:t>
            </w:r>
          </w:p>
        </w:tc>
        <w:tc>
          <w:tcPr>
            <w:tcW w:type="dxa" w:w="43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Injury register missing 3 incidents known to have occurred in preceding 60 days</w:t>
            </w:r>
          </w:p>
        </w:tc>
        <w:tc>
          <w:tcPr>
            <w:tcW w:type="dxa" w:w="2200"/>
            <w:tcBorders>
              <w:top w:val="none" w:color="FFFFFF" w:sz="0"/>
              <w:left w:val="none" w:color="FFFFFF" w:sz="0"/>
              <w:bottom w:val="none" w:color="FFFFFF" w:sz="0"/>
              <w:right w:val="none" w:color="FFFFFF" w:sz="0"/>
            </w:tcBorders>
            <w:shd w:fill="FFEDD5" w:color="auto" w:val="clear"/>
            <w:tcMar>
              <w:top w:type="dxa" w:w="80"/>
              <w:left w:type="dxa" w:w="130"/>
              <w:bottom w:type="dxa" w:w="80"/>
              <w:right w:type="dxa" w:w="130"/>
            </w:tcMar>
            <w:vAlign w:val="center"/>
          </w:tcPr>
          <w:p>
            <w:pPr>
              <w:spacing w:after="0" w:before="0"/>
              <w:jc w:val="center"/>
            </w:pPr>
            <w:r>
              <w:rPr>
                <w:rFonts w:ascii="Calibri" w:cs="Calibri" w:eastAsia="Calibri" w:hAnsi="Calibri"/>
                <w:b/>
                <w:bCs/>
                <w:color w:val="9A3412"/>
                <w:sz w:val="18"/>
                <w:szCs w:val="18"/>
              </w:rPr>
              <w:t xml:space="preserve">High</w:t>
            </w:r>
          </w:p>
        </w:tc>
      </w:tr>
      <w:tr>
        <w:tc>
          <w:tcPr>
            <w:tcW w:type="dxa" w:w="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WH-03</w:t>
            </w:r>
          </w:p>
        </w:tc>
        <w:tc>
          <w:tcPr>
            <w:tcW w:type="dxa" w:w="24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Equipment safety</w:t>
            </w:r>
          </w:p>
        </w:tc>
        <w:tc>
          <w:tcPr>
            <w:tcW w:type="dxa" w:w="43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Resistance and cable equipment inspection tags lapsed since November 2025</w:t>
            </w:r>
          </w:p>
        </w:tc>
        <w:tc>
          <w:tcPr>
            <w:tcW w:type="dxa" w:w="2200"/>
            <w:tcBorders>
              <w:top w:val="none" w:color="FFFFFF" w:sz="0"/>
              <w:left w:val="none" w:color="FFFFFF" w:sz="0"/>
              <w:bottom w:val="none" w:color="FFFFFF" w:sz="0"/>
              <w:right w:val="none" w:color="FFFFFF" w:sz="0"/>
            </w:tcBorders>
            <w:shd w:fill="FFEDD5" w:color="auto" w:val="clear"/>
            <w:tcMar>
              <w:top w:type="dxa" w:w="80"/>
              <w:left w:type="dxa" w:w="130"/>
              <w:bottom w:type="dxa" w:w="80"/>
              <w:right w:type="dxa" w:w="130"/>
            </w:tcMar>
            <w:vAlign w:val="center"/>
          </w:tcPr>
          <w:p>
            <w:pPr>
              <w:spacing w:after="0" w:before="0"/>
              <w:jc w:val="center"/>
            </w:pPr>
            <w:r>
              <w:rPr>
                <w:rFonts w:ascii="Calibri" w:cs="Calibri" w:eastAsia="Calibri" w:hAnsi="Calibri"/>
                <w:b/>
                <w:bCs/>
                <w:color w:val="9A3412"/>
                <w:sz w:val="18"/>
                <w:szCs w:val="18"/>
              </w:rPr>
              <w:t xml:space="preserve">High</w:t>
            </w:r>
          </w:p>
        </w:tc>
      </w:tr>
      <w:tr>
        <w:tc>
          <w:tcPr>
            <w:tcW w:type="dxa" w:w="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WH-04</w:t>
            </w:r>
          </w:p>
        </w:tc>
        <w:tc>
          <w:tcPr>
            <w:tcW w:type="dxa" w:w="24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Emergency preparedness</w:t>
            </w:r>
          </w:p>
        </w:tc>
        <w:tc>
          <w:tcPr>
            <w:tcW w:type="dxa" w:w="43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Evacuation diagrams are superseded — show old layout before 2025 refurbishment</w:t>
            </w:r>
          </w:p>
        </w:tc>
        <w:tc>
          <w:tcPr>
            <w:tcW w:type="dxa" w:w="2200"/>
            <w:tcBorders>
              <w:top w:val="none" w:color="FFFFFF" w:sz="0"/>
              <w:left w:val="none" w:color="FFFFFF" w:sz="0"/>
              <w:bottom w:val="none" w:color="FFFFFF" w:sz="0"/>
              <w:right w:val="none" w:color="FFFFFF" w:sz="0"/>
            </w:tcBorders>
            <w:shd w:fill="FEF9C3" w:color="auto" w:val="clear"/>
            <w:tcMar>
              <w:top w:type="dxa" w:w="80"/>
              <w:left w:type="dxa" w:w="130"/>
              <w:bottom w:type="dxa" w:w="80"/>
              <w:right w:type="dxa" w:w="130"/>
            </w:tcMar>
            <w:vAlign w:val="center"/>
          </w:tcPr>
          <w:p>
            <w:pPr>
              <w:spacing w:after="0" w:before="0"/>
              <w:jc w:val="center"/>
            </w:pPr>
            <w:r>
              <w:rPr>
                <w:rFonts w:ascii="Calibri" w:cs="Calibri" w:eastAsia="Calibri" w:hAnsi="Calibri"/>
                <w:b/>
                <w:bCs/>
                <w:color w:val="854D0E"/>
                <w:sz w:val="18"/>
                <w:szCs w:val="18"/>
              </w:rPr>
              <w:t xml:space="preserve">Medium</w:t>
            </w:r>
          </w:p>
        </w:tc>
      </w:tr>
      <w:tr>
        <w:tc>
          <w:tcPr>
            <w:tcW w:type="dxa" w:w="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WH-05</w:t>
            </w:r>
          </w:p>
        </w:tc>
        <w:tc>
          <w:tcPr>
            <w:tcW w:type="dxa" w:w="24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Chemical management</w:t>
            </w:r>
          </w:p>
        </w:tc>
        <w:tc>
          <w:tcPr>
            <w:tcW w:type="dxa" w:w="43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Chemical bottles in cleaning cupboard unlabelled; no SDS on site</w:t>
            </w:r>
          </w:p>
        </w:tc>
        <w:tc>
          <w:tcPr>
            <w:tcW w:type="dxa" w:w="2200"/>
            <w:tcBorders>
              <w:top w:val="none" w:color="FFFFFF" w:sz="0"/>
              <w:left w:val="none" w:color="FFFFFF" w:sz="0"/>
              <w:bottom w:val="none" w:color="FFFFFF" w:sz="0"/>
              <w:right w:val="none" w:color="FFFFFF" w:sz="0"/>
            </w:tcBorders>
            <w:shd w:fill="FEF9C3" w:color="auto" w:val="clear"/>
            <w:tcMar>
              <w:top w:type="dxa" w:w="80"/>
              <w:left w:type="dxa" w:w="130"/>
              <w:bottom w:type="dxa" w:w="80"/>
              <w:right w:type="dxa" w:w="130"/>
            </w:tcMar>
            <w:vAlign w:val="center"/>
          </w:tcPr>
          <w:p>
            <w:pPr>
              <w:spacing w:after="0" w:before="0"/>
              <w:jc w:val="center"/>
            </w:pPr>
            <w:r>
              <w:rPr>
                <w:rFonts w:ascii="Calibri" w:cs="Calibri" w:eastAsia="Calibri" w:hAnsi="Calibri"/>
                <w:b/>
                <w:bCs/>
                <w:color w:val="854D0E"/>
                <w:sz w:val="18"/>
                <w:szCs w:val="18"/>
              </w:rPr>
              <w:t xml:space="preserve">Medium</w:t>
            </w:r>
          </w:p>
        </w:tc>
      </w:tr>
      <w:tr>
        <w:tc>
          <w:tcPr>
            <w:tcW w:type="dxa" w:w="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WH-06</w:t>
            </w:r>
          </w:p>
        </w:tc>
        <w:tc>
          <w:tcPr>
            <w:tcW w:type="dxa" w:w="24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Staff qualifications</w:t>
            </w:r>
          </w:p>
        </w:tc>
        <w:tc>
          <w:tcPr>
            <w:tcW w:type="dxa" w:w="43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2 of 6 coaches have expired first aid certificates</w:t>
            </w:r>
          </w:p>
        </w:tc>
        <w:tc>
          <w:tcPr>
            <w:tcW w:type="dxa" w:w="2200"/>
            <w:tcBorders>
              <w:top w:val="none" w:color="FFFFFF" w:sz="0"/>
              <w:left w:val="none" w:color="FFFFFF" w:sz="0"/>
              <w:bottom w:val="none" w:color="FFFFFF" w:sz="0"/>
              <w:right w:val="none" w:color="FFFFFF" w:sz="0"/>
            </w:tcBorders>
            <w:shd w:fill="FEF9C3" w:color="auto" w:val="clear"/>
            <w:tcMar>
              <w:top w:type="dxa" w:w="80"/>
              <w:left w:type="dxa" w:w="130"/>
              <w:bottom w:type="dxa" w:w="80"/>
              <w:right w:type="dxa" w:w="130"/>
            </w:tcMar>
            <w:vAlign w:val="center"/>
          </w:tcPr>
          <w:p>
            <w:pPr>
              <w:spacing w:after="0" w:before="0"/>
              <w:jc w:val="center"/>
            </w:pPr>
            <w:r>
              <w:rPr>
                <w:rFonts w:ascii="Calibri" w:cs="Calibri" w:eastAsia="Calibri" w:hAnsi="Calibri"/>
                <w:b/>
                <w:bCs/>
                <w:color w:val="854D0E"/>
                <w:sz w:val="18"/>
                <w:szCs w:val="18"/>
              </w:rPr>
              <w:t xml:space="preserve">Medium</w:t>
            </w:r>
          </w:p>
        </w:tc>
      </w:tr>
    </w:tbl>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10"/>
              <w:left w:type="dxa" w:w="180"/>
              <w:bottom w:type="dxa" w:w="110"/>
              <w:right w:type="dxa" w:w="180"/>
            </w:tcMar>
          </w:tcPr>
          <w:p>
            <w:pPr>
              <w:spacing w:after="0" w:before="0"/>
            </w:pPr>
            <w:r>
              <w:rPr>
                <w:rFonts w:ascii="Calibri" w:cs="Calibri" w:eastAsia="Calibri" w:hAnsi="Calibri"/>
                <w:b/>
                <w:bCs/>
                <w:color w:val="06F285"/>
                <w:sz w:val="15"/>
                <w:szCs w:val="15"/>
              </w:rPr>
              <w:t xml:space="preserve">SECTION 4</w:t>
            </w:r>
            <w:r>
              <w:rPr>
                <w:rFonts w:ascii="Calibri" w:cs="Calibri" w:eastAsia="Calibri" w:hAnsi="Calibri"/>
                <w:color w:val="3A6B52"/>
                <w:sz w:val="15"/>
                <w:szCs w:val="15"/>
              </w:rPr>
              <w:t xml:space="preserve">   │   </w:t>
            </w:r>
            <w:r>
              <w:rPr>
                <w:rFonts w:ascii="Calibri" w:cs="Calibri" w:eastAsia="Calibri" w:hAnsi="Calibri"/>
                <w:b/>
                <w:bCs/>
                <w:color w:val="FFFFFF"/>
                <w:sz w:val="20"/>
                <w:szCs w:val="20"/>
              </w:rPr>
              <w:t xml:space="preserve">DETAILED FINDINGS</w:t>
            </w:r>
          </w:p>
        </w:tc>
      </w:tr>
    </w:tbl>
    <w:p>
      <w:pPr>
        <w:spacing w:after="1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8446"/>
      </w:tblGrid>
      <w:tr>
        <w:tc>
          <w:tcPr>
            <w:tcBorders>
              <w:top w:val="none" w:color="FFFFFF" w:sz="0"/>
              <w:left w:val="none" w:color="FFFFFF" w:sz="0"/>
              <w:bottom w:val="none" w:color="FFFFFF" w:sz="0"/>
              <w:right w:val="none" w:color="FFFFFF" w:sz="0"/>
            </w:tcBorders>
            <w:shd w:fill="FEE2E2" w:color="auto" w:val="clear"/>
            <w:tcMar>
              <w:top w:type="dxa" w:w="90"/>
              <w:left w:type="dxa" w:w="80"/>
              <w:bottom w:type="dxa" w:w="90"/>
              <w:right w:type="dxa" w:w="80"/>
            </w:tcMar>
            <w:vAlign w:val="center"/>
          </w:tcPr>
          <w:p>
            <w:pPr>
              <w:jc w:val="center"/>
            </w:pPr>
            <w:r>
              <w:rPr>
                <w:rFonts w:ascii="Calibri" w:cs="Calibri" w:eastAsia="Calibri" w:hAnsi="Calibri"/>
                <w:b/>
                <w:bCs/>
                <w:color w:val="991B1B"/>
                <w:sz w:val="16"/>
                <w:szCs w:val="16"/>
              </w:rPr>
              <w:t xml:space="preserve">CRITICAL</w:t>
            </w:r>
          </w:p>
        </w:tc>
        <w:tc>
          <w:tcPr>
            <w:tcBorders>
              <w:top w:val="none" w:color="FFFFFF" w:sz="0"/>
              <w:left w:val="single" w:color="06F285" w:sz="14"/>
              <w:bottom w:val="none" w:color="FFFFFF" w:sz="0"/>
              <w:right w:val="none" w:color="FFFFFF" w:sz="0"/>
            </w:tcBorders>
            <w:shd w:fill="EAF7F0" w:color="auto" w:val="clear"/>
            <w:tcMar>
              <w:top w:type="dxa" w:w="90"/>
              <w:left w:type="dxa" w:w="160"/>
              <w:bottom w:type="dxa" w:w="90"/>
              <w:right w:type="dxa" w:w="130"/>
            </w:tcMar>
            <w:vAlign w:val="center"/>
          </w:tcPr>
          <w:p>
            <w:r>
              <w:rPr>
                <w:rFonts w:ascii="Calibri" w:cs="Calibri" w:eastAsia="Calibri" w:hAnsi="Calibri"/>
                <w:b/>
                <w:bCs/>
                <w:color w:val="07272D"/>
                <w:sz w:val="20"/>
                <w:szCs w:val="20"/>
              </w:rPr>
              <w:t xml:space="preserve">WH-01</w:t>
            </w:r>
            <w:r>
              <w:rPr>
                <w:rFonts w:ascii="Calibri" w:cs="Calibri" w:eastAsia="Calibri" w:hAnsi="Calibri"/>
                <w:b/>
                <w:bCs/>
                <w:color w:val="07272D"/>
                <w:sz w:val="20"/>
                <w:szCs w:val="20"/>
              </w:rPr>
              <w:t xml:space="preserve"> — Frayed cable on cable crossover in active use — isolated on audit day</w:t>
            </w:r>
          </w:p>
        </w:tc>
      </w:tr>
    </w:tbl>
    <w:p>
      <w:pPr>
        <w:spacing w:after="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2200"/>
        <w:gridCol w:w="3946"/>
        <w:gridCol w:w="2300"/>
      </w:tblGrid>
      <w:tr>
        <w:tc>
          <w:tcPr>
            <w:tcW w:type="dxa" w:w="1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Area</w:t>
            </w:r>
          </w:p>
        </w:tc>
        <w:tc>
          <w:tcPr>
            <w:tcW w:type="dxa" w:w="39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Standard / reference</w:t>
            </w:r>
          </w:p>
        </w:tc>
        <w:tc>
          <w:tcPr>
            <w:tcW w:type="dxa" w:w="2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Remediate by</w:t>
            </w:r>
          </w:p>
        </w:tc>
      </w:tr>
      <w:tr>
        <w:tc>
          <w:tcPr>
            <w:tcW w:type="dxa" w:w="1300"/>
            <w:tcBorders>
              <w:top w:val="none" w:color="FFFFFF" w:sz="0"/>
              <w:left w:val="none" w:color="FFFFFF" w:sz="0"/>
              <w:bottom w:val="none" w:color="FFFFFF" w:sz="0"/>
              <w:right w:val="none" w:color="FFFFFF" w:sz="0"/>
            </w:tcBorders>
            <w:shd w:fill="FEE2E2"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991B1B"/>
                <w:sz w:val="18"/>
                <w:szCs w:val="18"/>
              </w:rPr>
              <w:t xml:space="preserve">Critical</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Equipment safety</w:t>
            </w:r>
          </w:p>
        </w:tc>
        <w:tc>
          <w:tcPr>
            <w:tcW w:type="dxa" w:w="3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WHS Act (Vic) 2011 s.19; IronPeak WHS std 3.2</w:t>
            </w:r>
          </w:p>
        </w:tc>
        <w:tc>
          <w:tcPr>
            <w:tcW w:type="dxa" w:w="23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Do not return to service until certified</w:t>
            </w:r>
          </w:p>
        </w:tc>
      </w:tr>
    </w:tbl>
    <w:p>
      <w:pPr>
        <w:spacing w:after="120"/>
      </w:pPr>
    </w:p>
    <w:p>
      <w:pPr>
        <w:spacing w:after="100"/>
      </w:pPr>
      <w:r>
        <w:rPr>
          <w:rFonts w:ascii="Calibri" w:cs="Calibri" w:eastAsia="Calibri" w:hAnsi="Calibri"/>
          <w:b/>
          <w:bCs/>
          <w:color w:val="07272D"/>
          <w:sz w:val="20"/>
          <w:szCs w:val="20"/>
        </w:rPr>
        <w:t xml:space="preserve">What we found:  </w:t>
      </w:r>
      <w:r>
        <w:rPr>
          <w:rFonts w:ascii="Calibri" w:cs="Calibri" w:eastAsia="Calibri" w:hAnsi="Calibri"/>
          <w:color w:val="1F2D2B"/>
          <w:sz w:val="20"/>
          <w:szCs w:val="20"/>
        </w:rPr>
        <w:t xml:space="preserve">A high cable crossover station (station 3) had a visible fray in the cable approximately 40cm from the upper pulley on the right side. The machine was in use by a member at audit commencement. The auditor identified the hazard immediately; the franchisee removed the machine from service and taped off the area during the audit. A cable failure on this type of equipment at load can cause serious injury.</w:t>
      </w:r>
    </w:p>
    <w:p>
      <w:pPr>
        <w:spacing w:after="100"/>
      </w:pPr>
      <w:r>
        <w:rPr>
          <w:rFonts w:ascii="Calibri" w:cs="Calibri" w:eastAsia="Calibri" w:hAnsi="Calibri"/>
          <w:b/>
          <w:bCs/>
          <w:color w:val="07272D"/>
          <w:sz w:val="20"/>
          <w:szCs w:val="20"/>
        </w:rPr>
        <w:t xml:space="preserve">Evidence:  </w:t>
      </w:r>
      <w:r>
        <w:rPr>
          <w:rFonts w:ascii="Calibri" w:cs="Calibri" w:eastAsia="Calibri" w:hAnsi="Calibri"/>
          <w:color w:val="1F2D2B"/>
          <w:sz w:val="20"/>
          <w:szCs w:val="20"/>
        </w:rPr>
        <w:t xml:space="preserve">Photos 001–006 (cable close-up, machine tagged out). The tagging-out has been confirmed.</w:t>
      </w:r>
    </w:p>
    <w:p>
      <w:pPr>
        <w:spacing w:after="100"/>
      </w:pPr>
      <w:r>
        <w:rPr>
          <w:rFonts w:ascii="Calibri" w:cs="Calibri" w:eastAsia="Calibri" w:hAnsi="Calibri"/>
          <w:b/>
          <w:bCs/>
          <w:color w:val="07272D"/>
          <w:sz w:val="20"/>
          <w:szCs w:val="20"/>
        </w:rPr>
        <w:t xml:space="preserve">Recommended action:  </w:t>
      </w:r>
      <w:r>
        <w:rPr>
          <w:rFonts w:ascii="Calibri" w:cs="Calibri" w:eastAsia="Calibri" w:hAnsi="Calibri"/>
          <w:color w:val="1F2D2B"/>
          <w:sz w:val="20"/>
          <w:szCs w:val="20"/>
        </w:rPr>
        <w:t xml:space="preserve">Do not return to service until a qualified equipment technician has inspected the cable, replaced it if required, and issued a written safety clearance. Implement a monthly equipment visual inspection process so fraying is identified before it becomes a hazard. The existing inspection checklist form (Form WHS-03) can be used for this purpose.</w:t>
      </w:r>
    </w:p>
    <w:p>
      <w:pPr>
        <w:spacing w:after="100"/>
      </w:pPr>
      <w:r>
        <w:rPr>
          <w:rFonts w:ascii="Calibri" w:cs="Calibri" w:eastAsia="Calibri" w:hAnsi="Calibri"/>
          <w:b/>
          <w:bCs/>
          <w:color w:val="07272D"/>
          <w:sz w:val="20"/>
          <w:szCs w:val="20"/>
        </w:rPr>
        <w:t xml:space="preserve">Responsible:  </w:t>
      </w:r>
      <w:r>
        <w:rPr>
          <w:rFonts w:ascii="Calibri" w:cs="Calibri" w:eastAsia="Calibri" w:hAnsi="Calibri"/>
          <w:color w:val="1F2D2B"/>
          <w:sz w:val="20"/>
          <w:szCs w:val="20"/>
        </w:rPr>
        <w:t xml:space="preserve">Franchisee / equipment service provider</w:t>
      </w:r>
    </w:p>
    <w:p>
      <w:pPr>
        <w:spacing w:after="1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8446"/>
      </w:tblGrid>
      <w:tr>
        <w:tc>
          <w:tcPr>
            <w:tcBorders>
              <w:top w:val="none" w:color="FFFFFF" w:sz="0"/>
              <w:left w:val="none" w:color="FFFFFF" w:sz="0"/>
              <w:bottom w:val="none" w:color="FFFFFF" w:sz="0"/>
              <w:right w:val="none" w:color="FFFFFF" w:sz="0"/>
            </w:tcBorders>
            <w:shd w:fill="FFEDD5" w:color="auto" w:val="clear"/>
            <w:tcMar>
              <w:top w:type="dxa" w:w="90"/>
              <w:left w:type="dxa" w:w="80"/>
              <w:bottom w:type="dxa" w:w="90"/>
              <w:right w:type="dxa" w:w="80"/>
            </w:tcMar>
            <w:vAlign w:val="center"/>
          </w:tcPr>
          <w:p>
            <w:pPr>
              <w:jc w:val="center"/>
            </w:pPr>
            <w:r>
              <w:rPr>
                <w:rFonts w:ascii="Calibri" w:cs="Calibri" w:eastAsia="Calibri" w:hAnsi="Calibri"/>
                <w:b/>
                <w:bCs/>
                <w:color w:val="9A3412"/>
                <w:sz w:val="16"/>
                <w:szCs w:val="16"/>
              </w:rPr>
              <w:t xml:space="preserve">HIGH</w:t>
            </w:r>
          </w:p>
        </w:tc>
        <w:tc>
          <w:tcPr>
            <w:tcBorders>
              <w:top w:val="none" w:color="FFFFFF" w:sz="0"/>
              <w:left w:val="single" w:color="06F285" w:sz="14"/>
              <w:bottom w:val="none" w:color="FFFFFF" w:sz="0"/>
              <w:right w:val="none" w:color="FFFFFF" w:sz="0"/>
            </w:tcBorders>
            <w:shd w:fill="EAF7F0" w:color="auto" w:val="clear"/>
            <w:tcMar>
              <w:top w:type="dxa" w:w="90"/>
              <w:left w:type="dxa" w:w="160"/>
              <w:bottom w:type="dxa" w:w="90"/>
              <w:right w:type="dxa" w:w="130"/>
            </w:tcMar>
            <w:vAlign w:val="center"/>
          </w:tcPr>
          <w:p>
            <w:r>
              <w:rPr>
                <w:rFonts w:ascii="Calibri" w:cs="Calibri" w:eastAsia="Calibri" w:hAnsi="Calibri"/>
                <w:b/>
                <w:bCs/>
                <w:color w:val="07272D"/>
                <w:sz w:val="20"/>
                <w:szCs w:val="20"/>
              </w:rPr>
              <w:t xml:space="preserve">WH-02</w:t>
            </w:r>
            <w:r>
              <w:rPr>
                <w:rFonts w:ascii="Calibri" w:cs="Calibri" w:eastAsia="Calibri" w:hAnsi="Calibri"/>
                <w:b/>
                <w:bCs/>
                <w:color w:val="07272D"/>
                <w:sz w:val="20"/>
                <w:szCs w:val="20"/>
              </w:rPr>
              <w:t xml:space="preserve"> — Injury register missing 3 incidents known to have occurred in preceding 60 days</w:t>
            </w:r>
          </w:p>
        </w:tc>
      </w:tr>
    </w:tbl>
    <w:p>
      <w:pPr>
        <w:spacing w:after="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2200"/>
        <w:gridCol w:w="3946"/>
        <w:gridCol w:w="2300"/>
      </w:tblGrid>
      <w:tr>
        <w:tc>
          <w:tcPr>
            <w:tcW w:type="dxa" w:w="1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Area</w:t>
            </w:r>
          </w:p>
        </w:tc>
        <w:tc>
          <w:tcPr>
            <w:tcW w:type="dxa" w:w="39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Standard / reference</w:t>
            </w:r>
          </w:p>
        </w:tc>
        <w:tc>
          <w:tcPr>
            <w:tcW w:type="dxa" w:w="2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Remediate by</w:t>
            </w:r>
          </w:p>
        </w:tc>
      </w:tr>
      <w:tr>
        <w:tc>
          <w:tcPr>
            <w:tcW w:type="dxa" w:w="1300"/>
            <w:tcBorders>
              <w:top w:val="none" w:color="FFFFFF" w:sz="0"/>
              <w:left w:val="none" w:color="FFFFFF" w:sz="0"/>
              <w:bottom w:val="none" w:color="FFFFFF" w:sz="0"/>
              <w:right w:val="none" w:color="FFFFFF" w:sz="0"/>
            </w:tcBorders>
            <w:shd w:fill="FFEDD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9A3412"/>
                <w:sz w:val="18"/>
                <w:szCs w:val="18"/>
              </w:rPr>
              <w:t xml:space="preserve">High</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Incident recording</w:t>
            </w:r>
          </w:p>
        </w:tc>
        <w:tc>
          <w:tcPr>
            <w:tcW w:type="dxa" w:w="3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WHS Act (Vic) 2011; IronPeak WHS std 6.1</w:t>
            </w:r>
          </w:p>
        </w:tc>
        <w:tc>
          <w:tcPr>
            <w:tcW w:type="dxa" w:w="23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7 days</w:t>
            </w:r>
          </w:p>
        </w:tc>
      </w:tr>
    </w:tbl>
    <w:p>
      <w:pPr>
        <w:spacing w:after="120"/>
      </w:pPr>
    </w:p>
    <w:p>
      <w:pPr>
        <w:spacing w:after="100"/>
      </w:pPr>
      <w:r>
        <w:rPr>
          <w:rFonts w:ascii="Calibri" w:cs="Calibri" w:eastAsia="Calibri" w:hAnsi="Calibri"/>
          <w:b/>
          <w:bCs/>
          <w:color w:val="07272D"/>
          <w:sz w:val="20"/>
          <w:szCs w:val="20"/>
        </w:rPr>
        <w:t xml:space="preserve">What we found:  </w:t>
      </w:r>
      <w:r>
        <w:rPr>
          <w:rFonts w:ascii="Calibri" w:cs="Calibri" w:eastAsia="Calibri" w:hAnsi="Calibri"/>
          <w:color w:val="1F2D2B"/>
          <w:sz w:val="20"/>
          <w:szCs w:val="20"/>
        </w:rPr>
        <w:t xml:space="preserve">During the walk-through, the club manager described three member incidents in the preceding 60 days (two minor equipment-related strains, one slip near the change room). None appeared in the injury register. The franchisee confirmed the incidents occurred but acknowledged the register had not been updated.</w:t>
      </w:r>
    </w:p>
    <w:p>
      <w:pPr>
        <w:spacing w:after="100"/>
      </w:pPr>
      <w:r>
        <w:rPr>
          <w:rFonts w:ascii="Calibri" w:cs="Calibri" w:eastAsia="Calibri" w:hAnsi="Calibri"/>
          <w:b/>
          <w:bCs/>
          <w:color w:val="07272D"/>
          <w:sz w:val="20"/>
          <w:szCs w:val="20"/>
        </w:rPr>
        <w:t xml:space="preserve">Evidence:  </w:t>
      </w:r>
      <w:r>
        <w:rPr>
          <w:rFonts w:ascii="Calibri" w:cs="Calibri" w:eastAsia="Calibri" w:hAnsi="Calibri"/>
          <w:color w:val="1F2D2B"/>
          <w:sz w:val="20"/>
          <w:szCs w:val="20"/>
        </w:rPr>
        <w:t xml:space="preserve">Interview with club manager; injury register reviewed — last entry dated 4 February 2026.</w:t>
      </w:r>
    </w:p>
    <w:p>
      <w:pPr>
        <w:spacing w:after="100"/>
      </w:pPr>
      <w:r>
        <w:rPr>
          <w:rFonts w:ascii="Calibri" w:cs="Calibri" w:eastAsia="Calibri" w:hAnsi="Calibri"/>
          <w:b/>
          <w:bCs/>
          <w:color w:val="07272D"/>
          <w:sz w:val="20"/>
          <w:szCs w:val="20"/>
        </w:rPr>
        <w:t xml:space="preserve">Recommended action:  </w:t>
      </w:r>
      <w:r>
        <w:rPr>
          <w:rFonts w:ascii="Calibri" w:cs="Calibri" w:eastAsia="Calibri" w:hAnsi="Calibri"/>
          <w:color w:val="1F2D2B"/>
          <w:sz w:val="20"/>
          <w:szCs w:val="20"/>
        </w:rPr>
        <w:t xml:space="preserve">Record all three known incidents in the register retrospectively with the best available information. Establish a process requiring any incident to be recorded in the register before end of shift. Designate a named staff member as the register custodian.</w:t>
      </w:r>
    </w:p>
    <w:p>
      <w:pPr>
        <w:spacing w:after="100"/>
      </w:pPr>
      <w:r>
        <w:rPr>
          <w:rFonts w:ascii="Calibri" w:cs="Calibri" w:eastAsia="Calibri" w:hAnsi="Calibri"/>
          <w:b/>
          <w:bCs/>
          <w:color w:val="07272D"/>
          <w:sz w:val="20"/>
          <w:szCs w:val="20"/>
        </w:rPr>
        <w:t xml:space="preserve">Responsible:  </w:t>
      </w:r>
      <w:r>
        <w:rPr>
          <w:rFonts w:ascii="Calibri" w:cs="Calibri" w:eastAsia="Calibri" w:hAnsi="Calibri"/>
          <w:color w:val="1F2D2B"/>
          <w:sz w:val="20"/>
          <w:szCs w:val="20"/>
        </w:rPr>
        <w:t xml:space="preserve">Franchisee / club manager</w:t>
      </w:r>
    </w:p>
    <w:p>
      <w:pPr>
        <w:spacing w:after="1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8446"/>
      </w:tblGrid>
      <w:tr>
        <w:tc>
          <w:tcPr>
            <w:tcBorders>
              <w:top w:val="none" w:color="FFFFFF" w:sz="0"/>
              <w:left w:val="none" w:color="FFFFFF" w:sz="0"/>
              <w:bottom w:val="none" w:color="FFFFFF" w:sz="0"/>
              <w:right w:val="none" w:color="FFFFFF" w:sz="0"/>
            </w:tcBorders>
            <w:shd w:fill="FFEDD5" w:color="auto" w:val="clear"/>
            <w:tcMar>
              <w:top w:type="dxa" w:w="90"/>
              <w:left w:type="dxa" w:w="80"/>
              <w:bottom w:type="dxa" w:w="90"/>
              <w:right w:type="dxa" w:w="80"/>
            </w:tcMar>
            <w:vAlign w:val="center"/>
          </w:tcPr>
          <w:p>
            <w:pPr>
              <w:jc w:val="center"/>
            </w:pPr>
            <w:r>
              <w:rPr>
                <w:rFonts w:ascii="Calibri" w:cs="Calibri" w:eastAsia="Calibri" w:hAnsi="Calibri"/>
                <w:b/>
                <w:bCs/>
                <w:color w:val="9A3412"/>
                <w:sz w:val="16"/>
                <w:szCs w:val="16"/>
              </w:rPr>
              <w:t xml:space="preserve">HIGH</w:t>
            </w:r>
          </w:p>
        </w:tc>
        <w:tc>
          <w:tcPr>
            <w:tcBorders>
              <w:top w:val="none" w:color="FFFFFF" w:sz="0"/>
              <w:left w:val="single" w:color="06F285" w:sz="14"/>
              <w:bottom w:val="none" w:color="FFFFFF" w:sz="0"/>
              <w:right w:val="none" w:color="FFFFFF" w:sz="0"/>
            </w:tcBorders>
            <w:shd w:fill="EAF7F0" w:color="auto" w:val="clear"/>
            <w:tcMar>
              <w:top w:type="dxa" w:w="90"/>
              <w:left w:type="dxa" w:w="160"/>
              <w:bottom w:type="dxa" w:w="90"/>
              <w:right w:type="dxa" w:w="130"/>
            </w:tcMar>
            <w:vAlign w:val="center"/>
          </w:tcPr>
          <w:p>
            <w:r>
              <w:rPr>
                <w:rFonts w:ascii="Calibri" w:cs="Calibri" w:eastAsia="Calibri" w:hAnsi="Calibri"/>
                <w:b/>
                <w:bCs/>
                <w:color w:val="07272D"/>
                <w:sz w:val="20"/>
                <w:szCs w:val="20"/>
              </w:rPr>
              <w:t xml:space="preserve">WH-03</w:t>
            </w:r>
            <w:r>
              <w:rPr>
                <w:rFonts w:ascii="Calibri" w:cs="Calibri" w:eastAsia="Calibri" w:hAnsi="Calibri"/>
                <w:b/>
                <w:bCs/>
                <w:color w:val="07272D"/>
                <w:sz w:val="20"/>
                <w:szCs w:val="20"/>
              </w:rPr>
              <w:t xml:space="preserve"> — Resistance and cable equipment inspection tags lapsed since November 2025</w:t>
            </w:r>
          </w:p>
        </w:tc>
      </w:tr>
    </w:tbl>
    <w:p>
      <w:pPr>
        <w:spacing w:after="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2200"/>
        <w:gridCol w:w="3946"/>
        <w:gridCol w:w="2300"/>
      </w:tblGrid>
      <w:tr>
        <w:tc>
          <w:tcPr>
            <w:tcW w:type="dxa" w:w="1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Area</w:t>
            </w:r>
          </w:p>
        </w:tc>
        <w:tc>
          <w:tcPr>
            <w:tcW w:type="dxa" w:w="39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Standard / reference</w:t>
            </w:r>
          </w:p>
        </w:tc>
        <w:tc>
          <w:tcPr>
            <w:tcW w:type="dxa" w:w="2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Remediate by</w:t>
            </w:r>
          </w:p>
        </w:tc>
      </w:tr>
      <w:tr>
        <w:tc>
          <w:tcPr>
            <w:tcW w:type="dxa" w:w="1300"/>
            <w:tcBorders>
              <w:top w:val="none" w:color="FFFFFF" w:sz="0"/>
              <w:left w:val="none" w:color="FFFFFF" w:sz="0"/>
              <w:bottom w:val="none" w:color="FFFFFF" w:sz="0"/>
              <w:right w:val="none" w:color="FFFFFF" w:sz="0"/>
            </w:tcBorders>
            <w:shd w:fill="FFEDD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9A3412"/>
                <w:sz w:val="18"/>
                <w:szCs w:val="18"/>
              </w:rPr>
              <w:t xml:space="preserve">High</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Equipment safety</w:t>
            </w:r>
          </w:p>
        </w:tc>
        <w:tc>
          <w:tcPr>
            <w:tcW w:type="dxa" w:w="3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IronPeak WHS std 3.4; manufacturer maintenance schedule</w:t>
            </w:r>
          </w:p>
        </w:tc>
        <w:tc>
          <w:tcPr>
            <w:tcW w:type="dxa" w:w="23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7 days</w:t>
            </w:r>
          </w:p>
        </w:tc>
      </w:tr>
    </w:tbl>
    <w:p>
      <w:pPr>
        <w:spacing w:after="120"/>
      </w:pPr>
    </w:p>
    <w:p>
      <w:pPr>
        <w:spacing w:after="100"/>
      </w:pPr>
      <w:r>
        <w:rPr>
          <w:rFonts w:ascii="Calibri" w:cs="Calibri" w:eastAsia="Calibri" w:hAnsi="Calibri"/>
          <w:b/>
          <w:bCs/>
          <w:color w:val="07272D"/>
          <w:sz w:val="20"/>
          <w:szCs w:val="20"/>
        </w:rPr>
        <w:t xml:space="preserve">What we found:  </w:t>
      </w:r>
      <w:r>
        <w:rPr>
          <w:rFonts w:ascii="Calibri" w:cs="Calibri" w:eastAsia="Calibri" w:hAnsi="Calibri"/>
          <w:color w:val="1F2D2B"/>
          <w:sz w:val="20"/>
          <w:szCs w:val="20"/>
        </w:rPr>
        <w:t xml:space="preserve">Of 34 resistance and cable machines inspected, 28 had inspection tags dated November 2025 — eight months lapsed against a 6-month inspection cycle. The six-monthly inspection is a network standard requirement and, for cable equipment in particular, a critical safety control. The WH-01 cable fault is consistent with missed inspections.</w:t>
      </w:r>
    </w:p>
    <w:p>
      <w:pPr>
        <w:spacing w:after="100"/>
      </w:pPr>
      <w:r>
        <w:rPr>
          <w:rFonts w:ascii="Calibri" w:cs="Calibri" w:eastAsia="Calibri" w:hAnsi="Calibri"/>
          <w:b/>
          <w:bCs/>
          <w:color w:val="07272D"/>
          <w:sz w:val="20"/>
          <w:szCs w:val="20"/>
        </w:rPr>
        <w:t xml:space="preserve">Evidence:  </w:t>
      </w:r>
      <w:r>
        <w:rPr>
          <w:rFonts w:ascii="Calibri" w:cs="Calibri" w:eastAsia="Calibri" w:hAnsi="Calibri"/>
          <w:color w:val="1F2D2B"/>
          <w:sz w:val="20"/>
          <w:szCs w:val="20"/>
        </w:rPr>
        <w:t xml:space="preserve">Inspection tag audit — all 34 machines photographed; photos 020–053.</w:t>
      </w:r>
    </w:p>
    <w:p>
      <w:pPr>
        <w:spacing w:after="100"/>
      </w:pPr>
      <w:r>
        <w:rPr>
          <w:rFonts w:ascii="Calibri" w:cs="Calibri" w:eastAsia="Calibri" w:hAnsi="Calibri"/>
          <w:b/>
          <w:bCs/>
          <w:color w:val="07272D"/>
          <w:sz w:val="20"/>
          <w:szCs w:val="20"/>
        </w:rPr>
        <w:t xml:space="preserve">Recommended action:  </w:t>
      </w:r>
      <w:r>
        <w:rPr>
          <w:rFonts w:ascii="Calibri" w:cs="Calibri" w:eastAsia="Calibri" w:hAnsi="Calibri"/>
          <w:color w:val="1F2D2B"/>
          <w:sz w:val="20"/>
          <w:szCs w:val="20"/>
        </w:rPr>
        <w:t xml:space="preserve">Book the equipment service provider to complete a full fleet inspection within 7 days and tag accordingly. Establish a calendar reminder for the next inspection due date (6 months forward) and assign responsibility to the club manager.</w:t>
      </w:r>
    </w:p>
    <w:p>
      <w:pPr>
        <w:spacing w:after="100"/>
      </w:pPr>
      <w:r>
        <w:rPr>
          <w:rFonts w:ascii="Calibri" w:cs="Calibri" w:eastAsia="Calibri" w:hAnsi="Calibri"/>
          <w:b/>
          <w:bCs/>
          <w:color w:val="07272D"/>
          <w:sz w:val="20"/>
          <w:szCs w:val="20"/>
        </w:rPr>
        <w:t xml:space="preserve">Responsible:  </w:t>
      </w:r>
      <w:r>
        <w:rPr>
          <w:rFonts w:ascii="Calibri" w:cs="Calibri" w:eastAsia="Calibri" w:hAnsi="Calibri"/>
          <w:color w:val="1F2D2B"/>
          <w:sz w:val="20"/>
          <w:szCs w:val="20"/>
        </w:rPr>
        <w:t xml:space="preserve">Franchisee / club manager</w:t>
      </w:r>
    </w:p>
    <w:p>
      <w:pPr>
        <w:spacing w:after="1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8446"/>
      </w:tblGrid>
      <w:tr>
        <w:tc>
          <w:tcPr>
            <w:tcBorders>
              <w:top w:val="none" w:color="FFFFFF" w:sz="0"/>
              <w:left w:val="none" w:color="FFFFFF" w:sz="0"/>
              <w:bottom w:val="none" w:color="FFFFFF" w:sz="0"/>
              <w:right w:val="none" w:color="FFFFFF" w:sz="0"/>
            </w:tcBorders>
            <w:shd w:fill="FEF9C3" w:color="auto" w:val="clear"/>
            <w:tcMar>
              <w:top w:type="dxa" w:w="90"/>
              <w:left w:type="dxa" w:w="80"/>
              <w:bottom w:type="dxa" w:w="90"/>
              <w:right w:type="dxa" w:w="80"/>
            </w:tcMar>
            <w:vAlign w:val="center"/>
          </w:tcPr>
          <w:p>
            <w:pPr>
              <w:jc w:val="center"/>
            </w:pPr>
            <w:r>
              <w:rPr>
                <w:rFonts w:ascii="Calibri" w:cs="Calibri" w:eastAsia="Calibri" w:hAnsi="Calibri"/>
                <w:b/>
                <w:bCs/>
                <w:color w:val="854D0E"/>
                <w:sz w:val="16"/>
                <w:szCs w:val="16"/>
              </w:rPr>
              <w:t xml:space="preserve">MEDIUM</w:t>
            </w:r>
          </w:p>
        </w:tc>
        <w:tc>
          <w:tcPr>
            <w:tcBorders>
              <w:top w:val="none" w:color="FFFFFF" w:sz="0"/>
              <w:left w:val="single" w:color="06F285" w:sz="14"/>
              <w:bottom w:val="none" w:color="FFFFFF" w:sz="0"/>
              <w:right w:val="none" w:color="FFFFFF" w:sz="0"/>
            </w:tcBorders>
            <w:shd w:fill="EAF7F0" w:color="auto" w:val="clear"/>
            <w:tcMar>
              <w:top w:type="dxa" w:w="90"/>
              <w:left w:type="dxa" w:w="160"/>
              <w:bottom w:type="dxa" w:w="90"/>
              <w:right w:type="dxa" w:w="130"/>
            </w:tcMar>
            <w:vAlign w:val="center"/>
          </w:tcPr>
          <w:p>
            <w:r>
              <w:rPr>
                <w:rFonts w:ascii="Calibri" w:cs="Calibri" w:eastAsia="Calibri" w:hAnsi="Calibri"/>
                <w:b/>
                <w:bCs/>
                <w:color w:val="07272D"/>
                <w:sz w:val="20"/>
                <w:szCs w:val="20"/>
              </w:rPr>
              <w:t xml:space="preserve">WH-04</w:t>
            </w:r>
            <w:r>
              <w:rPr>
                <w:rFonts w:ascii="Calibri" w:cs="Calibri" w:eastAsia="Calibri" w:hAnsi="Calibri"/>
                <w:b/>
                <w:bCs/>
                <w:color w:val="07272D"/>
                <w:sz w:val="20"/>
                <w:szCs w:val="20"/>
              </w:rPr>
              <w:t xml:space="preserve"> — Evacuation diagrams are superseded — show old layout before 2025 refurbishment</w:t>
            </w:r>
          </w:p>
        </w:tc>
      </w:tr>
    </w:tbl>
    <w:p>
      <w:pPr>
        <w:spacing w:after="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2200"/>
        <w:gridCol w:w="3946"/>
        <w:gridCol w:w="2300"/>
      </w:tblGrid>
      <w:tr>
        <w:tc>
          <w:tcPr>
            <w:tcW w:type="dxa" w:w="1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Area</w:t>
            </w:r>
          </w:p>
        </w:tc>
        <w:tc>
          <w:tcPr>
            <w:tcW w:type="dxa" w:w="39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Standard / reference</w:t>
            </w:r>
          </w:p>
        </w:tc>
        <w:tc>
          <w:tcPr>
            <w:tcW w:type="dxa" w:w="2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Remediate by</w:t>
            </w:r>
          </w:p>
        </w:tc>
      </w:tr>
      <w:tr>
        <w:tc>
          <w:tcPr>
            <w:tcW w:type="dxa" w:w="1300"/>
            <w:tcBorders>
              <w:top w:val="none" w:color="FFFFFF" w:sz="0"/>
              <w:left w:val="none" w:color="FFFFFF" w:sz="0"/>
              <w:bottom w:val="none" w:color="FFFFFF" w:sz="0"/>
              <w:right w:val="none" w:color="FFFFFF" w:sz="0"/>
            </w:tcBorders>
            <w:shd w:fill="FEF9C3"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854D0E"/>
                <w:sz w:val="18"/>
                <w:szCs w:val="18"/>
              </w:rPr>
              <w:t xml:space="preserve">Medium</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Emergency preparedness</w:t>
            </w:r>
          </w:p>
        </w:tc>
        <w:tc>
          <w:tcPr>
            <w:tcW w:type="dxa" w:w="3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WHS Act (Vic) 2011; IronPeak WHS std 7.1</w:t>
            </w:r>
          </w:p>
        </w:tc>
        <w:tc>
          <w:tcPr>
            <w:tcW w:type="dxa" w:w="23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30 days</w:t>
            </w:r>
          </w:p>
        </w:tc>
      </w:tr>
    </w:tbl>
    <w:p>
      <w:pPr>
        <w:spacing w:after="120"/>
      </w:pPr>
    </w:p>
    <w:p>
      <w:pPr>
        <w:spacing w:after="100"/>
      </w:pPr>
      <w:r>
        <w:rPr>
          <w:rFonts w:ascii="Calibri" w:cs="Calibri" w:eastAsia="Calibri" w:hAnsi="Calibri"/>
          <w:b/>
          <w:bCs/>
          <w:color w:val="07272D"/>
          <w:sz w:val="20"/>
          <w:szCs w:val="20"/>
        </w:rPr>
        <w:t xml:space="preserve">What we found:  </w:t>
      </w:r>
      <w:r>
        <w:rPr>
          <w:rFonts w:ascii="Calibri" w:cs="Calibri" w:eastAsia="Calibri" w:hAnsi="Calibri"/>
          <w:color w:val="1F2D2B"/>
          <w:sz w:val="20"/>
          <w:szCs w:val="20"/>
        </w:rPr>
        <w:t xml:space="preserve">All posted evacuation diagrams still show the pre-refurbishment floor plan. The 2025 refurbishment moved the assembly point and changed the layout of the functional training zone. Members relying on the diagrams in an emergency would receive incorrect information.</w:t>
      </w:r>
    </w:p>
    <w:p>
      <w:pPr>
        <w:spacing w:after="100"/>
      </w:pPr>
      <w:r>
        <w:rPr>
          <w:rFonts w:ascii="Calibri" w:cs="Calibri" w:eastAsia="Calibri" w:hAnsi="Calibri"/>
          <w:b/>
          <w:bCs/>
          <w:color w:val="07272D"/>
          <w:sz w:val="20"/>
          <w:szCs w:val="20"/>
        </w:rPr>
        <w:t xml:space="preserve">Evidence:  </w:t>
      </w:r>
      <w:r>
        <w:rPr>
          <w:rFonts w:ascii="Calibri" w:cs="Calibri" w:eastAsia="Calibri" w:hAnsi="Calibri"/>
          <w:color w:val="1F2D2B"/>
          <w:sz w:val="20"/>
          <w:szCs w:val="20"/>
        </w:rPr>
        <w:t xml:space="preserve">Photos 058–062 (posted diagrams vs current floor plan).</w:t>
      </w:r>
    </w:p>
    <w:p>
      <w:pPr>
        <w:spacing w:after="100"/>
      </w:pPr>
      <w:r>
        <w:rPr>
          <w:rFonts w:ascii="Calibri" w:cs="Calibri" w:eastAsia="Calibri" w:hAnsi="Calibri"/>
          <w:b/>
          <w:bCs/>
          <w:color w:val="07272D"/>
          <w:sz w:val="20"/>
          <w:szCs w:val="20"/>
        </w:rPr>
        <w:t xml:space="preserve">Recommended action:  </w:t>
      </w:r>
      <w:r>
        <w:rPr>
          <w:rFonts w:ascii="Calibri" w:cs="Calibri" w:eastAsia="Calibri" w:hAnsi="Calibri"/>
          <w:color w:val="1F2D2B"/>
          <w:sz w:val="20"/>
          <w:szCs w:val="20"/>
        </w:rPr>
        <w:t xml:space="preserve">Engage the network's preferred safety supplier to produce updated diagrams reflecting the current layout, and have them posted in all required locations within 30 days. The club manager can obtain the current floor plan from the network facilities team.</w:t>
      </w:r>
    </w:p>
    <w:p>
      <w:pPr>
        <w:spacing w:after="100"/>
      </w:pPr>
      <w:r>
        <w:rPr>
          <w:rFonts w:ascii="Calibri" w:cs="Calibri" w:eastAsia="Calibri" w:hAnsi="Calibri"/>
          <w:b/>
          <w:bCs/>
          <w:color w:val="07272D"/>
          <w:sz w:val="20"/>
          <w:szCs w:val="20"/>
        </w:rPr>
        <w:t xml:space="preserve">Responsible:  </w:t>
      </w:r>
      <w:r>
        <w:rPr>
          <w:rFonts w:ascii="Calibri" w:cs="Calibri" w:eastAsia="Calibri" w:hAnsi="Calibri"/>
          <w:color w:val="1F2D2B"/>
          <w:sz w:val="20"/>
          <w:szCs w:val="20"/>
        </w:rPr>
        <w:t xml:space="preserve">Franchisee / club manager</w:t>
      </w:r>
    </w:p>
    <w:p>
      <w:pPr>
        <w:spacing w:after="1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8446"/>
      </w:tblGrid>
      <w:tr>
        <w:tc>
          <w:tcPr>
            <w:tcBorders>
              <w:top w:val="none" w:color="FFFFFF" w:sz="0"/>
              <w:left w:val="none" w:color="FFFFFF" w:sz="0"/>
              <w:bottom w:val="none" w:color="FFFFFF" w:sz="0"/>
              <w:right w:val="none" w:color="FFFFFF" w:sz="0"/>
            </w:tcBorders>
            <w:shd w:fill="FEF9C3" w:color="auto" w:val="clear"/>
            <w:tcMar>
              <w:top w:type="dxa" w:w="90"/>
              <w:left w:type="dxa" w:w="80"/>
              <w:bottom w:type="dxa" w:w="90"/>
              <w:right w:type="dxa" w:w="80"/>
            </w:tcMar>
            <w:vAlign w:val="center"/>
          </w:tcPr>
          <w:p>
            <w:pPr>
              <w:jc w:val="center"/>
            </w:pPr>
            <w:r>
              <w:rPr>
                <w:rFonts w:ascii="Calibri" w:cs="Calibri" w:eastAsia="Calibri" w:hAnsi="Calibri"/>
                <w:b/>
                <w:bCs/>
                <w:color w:val="854D0E"/>
                <w:sz w:val="16"/>
                <w:szCs w:val="16"/>
              </w:rPr>
              <w:t xml:space="preserve">MEDIUM</w:t>
            </w:r>
          </w:p>
        </w:tc>
        <w:tc>
          <w:tcPr>
            <w:tcBorders>
              <w:top w:val="none" w:color="FFFFFF" w:sz="0"/>
              <w:left w:val="single" w:color="06F285" w:sz="14"/>
              <w:bottom w:val="none" w:color="FFFFFF" w:sz="0"/>
              <w:right w:val="none" w:color="FFFFFF" w:sz="0"/>
            </w:tcBorders>
            <w:shd w:fill="EAF7F0" w:color="auto" w:val="clear"/>
            <w:tcMar>
              <w:top w:type="dxa" w:w="90"/>
              <w:left w:type="dxa" w:w="160"/>
              <w:bottom w:type="dxa" w:w="90"/>
              <w:right w:type="dxa" w:w="130"/>
            </w:tcMar>
            <w:vAlign w:val="center"/>
          </w:tcPr>
          <w:p>
            <w:r>
              <w:rPr>
                <w:rFonts w:ascii="Calibri" w:cs="Calibri" w:eastAsia="Calibri" w:hAnsi="Calibri"/>
                <w:b/>
                <w:bCs/>
                <w:color w:val="07272D"/>
                <w:sz w:val="20"/>
                <w:szCs w:val="20"/>
              </w:rPr>
              <w:t xml:space="preserve">WH-05</w:t>
            </w:r>
            <w:r>
              <w:rPr>
                <w:rFonts w:ascii="Calibri" w:cs="Calibri" w:eastAsia="Calibri" w:hAnsi="Calibri"/>
                <w:b/>
                <w:bCs/>
                <w:color w:val="07272D"/>
                <w:sz w:val="20"/>
                <w:szCs w:val="20"/>
              </w:rPr>
              <w:t xml:space="preserve"> — Chemical bottles in cleaning cupboard unlabelled; no SDS on site</w:t>
            </w:r>
          </w:p>
        </w:tc>
      </w:tr>
    </w:tbl>
    <w:p>
      <w:pPr>
        <w:spacing w:after="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2200"/>
        <w:gridCol w:w="3946"/>
        <w:gridCol w:w="2300"/>
      </w:tblGrid>
      <w:tr>
        <w:tc>
          <w:tcPr>
            <w:tcW w:type="dxa" w:w="1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Area</w:t>
            </w:r>
          </w:p>
        </w:tc>
        <w:tc>
          <w:tcPr>
            <w:tcW w:type="dxa" w:w="39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Standard / reference</w:t>
            </w:r>
          </w:p>
        </w:tc>
        <w:tc>
          <w:tcPr>
            <w:tcW w:type="dxa" w:w="2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Remediate by</w:t>
            </w:r>
          </w:p>
        </w:tc>
      </w:tr>
      <w:tr>
        <w:tc>
          <w:tcPr>
            <w:tcW w:type="dxa" w:w="1300"/>
            <w:tcBorders>
              <w:top w:val="none" w:color="FFFFFF" w:sz="0"/>
              <w:left w:val="none" w:color="FFFFFF" w:sz="0"/>
              <w:bottom w:val="none" w:color="FFFFFF" w:sz="0"/>
              <w:right w:val="none" w:color="FFFFFF" w:sz="0"/>
            </w:tcBorders>
            <w:shd w:fill="FEF9C3"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854D0E"/>
                <w:sz w:val="18"/>
                <w:szCs w:val="18"/>
              </w:rPr>
              <w:t xml:space="preserve">Medium</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Chemical management</w:t>
            </w:r>
          </w:p>
        </w:tc>
        <w:tc>
          <w:tcPr>
            <w:tcW w:type="dxa" w:w="3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Model WHS Regulations 2011 r.341; IronPeak WHS std 5.1</w:t>
            </w:r>
          </w:p>
        </w:tc>
        <w:tc>
          <w:tcPr>
            <w:tcW w:type="dxa" w:w="23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30 days</w:t>
            </w:r>
          </w:p>
        </w:tc>
      </w:tr>
    </w:tbl>
    <w:p>
      <w:pPr>
        <w:spacing w:after="120"/>
      </w:pPr>
    </w:p>
    <w:p>
      <w:pPr>
        <w:spacing w:after="100"/>
      </w:pPr>
      <w:r>
        <w:rPr>
          <w:rFonts w:ascii="Calibri" w:cs="Calibri" w:eastAsia="Calibri" w:hAnsi="Calibri"/>
          <w:b/>
          <w:bCs/>
          <w:color w:val="07272D"/>
          <w:sz w:val="20"/>
          <w:szCs w:val="20"/>
        </w:rPr>
        <w:t xml:space="preserve">What we found:  </w:t>
      </w:r>
      <w:r>
        <w:rPr>
          <w:rFonts w:ascii="Calibri" w:cs="Calibri" w:eastAsia="Calibri" w:hAnsi="Calibri"/>
          <w:color w:val="1F2D2B"/>
          <w:sz w:val="20"/>
          <w:szCs w:val="20"/>
        </w:rPr>
        <w:t xml:space="preserve">Seven of nine chemical bottles in the cleaning cupboard were unlabelled — contents not identifiable without reading the original packaging, which in several cases had been discarded. No Safety Data Sheets were accessible on site or posted in the chemical storage area.</w:t>
      </w:r>
    </w:p>
    <w:p>
      <w:pPr>
        <w:spacing w:after="100"/>
      </w:pPr>
      <w:r>
        <w:rPr>
          <w:rFonts w:ascii="Calibri" w:cs="Calibri" w:eastAsia="Calibri" w:hAnsi="Calibri"/>
          <w:b/>
          <w:bCs/>
          <w:color w:val="07272D"/>
          <w:sz w:val="20"/>
          <w:szCs w:val="20"/>
        </w:rPr>
        <w:t xml:space="preserve">Evidence:  </w:t>
      </w:r>
      <w:r>
        <w:rPr>
          <w:rFonts w:ascii="Calibri" w:cs="Calibri" w:eastAsia="Calibri" w:hAnsi="Calibri"/>
          <w:color w:val="1F2D2B"/>
          <w:sz w:val="20"/>
          <w:szCs w:val="20"/>
        </w:rPr>
        <w:t xml:space="preserve">Photos 071–075; chemical cupboard inventory.</w:t>
      </w:r>
    </w:p>
    <w:p>
      <w:pPr>
        <w:spacing w:after="100"/>
      </w:pPr>
      <w:r>
        <w:rPr>
          <w:rFonts w:ascii="Calibri" w:cs="Calibri" w:eastAsia="Calibri" w:hAnsi="Calibri"/>
          <w:b/>
          <w:bCs/>
          <w:color w:val="07272D"/>
          <w:sz w:val="20"/>
          <w:szCs w:val="20"/>
        </w:rPr>
        <w:t xml:space="preserve">Recommended action:  </w:t>
      </w:r>
      <w:r>
        <w:rPr>
          <w:rFonts w:ascii="Calibri" w:cs="Calibri" w:eastAsia="Calibri" w:hAnsi="Calibri"/>
          <w:color w:val="1F2D2B"/>
          <w:sz w:val="20"/>
          <w:szCs w:val="20"/>
        </w:rPr>
        <w:t xml:space="preserve">Label all containers immediately. Obtain SDS for each product in use (available from the supplier or the network's chemical register on the portal) and post in the storage area. Implement a rule that chemicals are stored only in their original labelled containers.</w:t>
      </w:r>
    </w:p>
    <w:p>
      <w:pPr>
        <w:spacing w:after="100"/>
      </w:pPr>
      <w:r>
        <w:rPr>
          <w:rFonts w:ascii="Calibri" w:cs="Calibri" w:eastAsia="Calibri" w:hAnsi="Calibri"/>
          <w:b/>
          <w:bCs/>
          <w:color w:val="07272D"/>
          <w:sz w:val="20"/>
          <w:szCs w:val="20"/>
        </w:rPr>
        <w:t xml:space="preserve">Responsible:  </w:t>
      </w:r>
      <w:r>
        <w:rPr>
          <w:rFonts w:ascii="Calibri" w:cs="Calibri" w:eastAsia="Calibri" w:hAnsi="Calibri"/>
          <w:color w:val="1F2D2B"/>
          <w:sz w:val="20"/>
          <w:szCs w:val="20"/>
        </w:rPr>
        <w:t xml:space="preserve">Club manager</w:t>
      </w:r>
    </w:p>
    <w:p>
      <w:pPr>
        <w:spacing w:after="1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8446"/>
      </w:tblGrid>
      <w:tr>
        <w:tc>
          <w:tcPr>
            <w:tcBorders>
              <w:top w:val="none" w:color="FFFFFF" w:sz="0"/>
              <w:left w:val="none" w:color="FFFFFF" w:sz="0"/>
              <w:bottom w:val="none" w:color="FFFFFF" w:sz="0"/>
              <w:right w:val="none" w:color="FFFFFF" w:sz="0"/>
            </w:tcBorders>
            <w:shd w:fill="FEF9C3" w:color="auto" w:val="clear"/>
            <w:tcMar>
              <w:top w:type="dxa" w:w="90"/>
              <w:left w:type="dxa" w:w="80"/>
              <w:bottom w:type="dxa" w:w="90"/>
              <w:right w:type="dxa" w:w="80"/>
            </w:tcMar>
            <w:vAlign w:val="center"/>
          </w:tcPr>
          <w:p>
            <w:pPr>
              <w:jc w:val="center"/>
            </w:pPr>
            <w:r>
              <w:rPr>
                <w:rFonts w:ascii="Calibri" w:cs="Calibri" w:eastAsia="Calibri" w:hAnsi="Calibri"/>
                <w:b/>
                <w:bCs/>
                <w:color w:val="854D0E"/>
                <w:sz w:val="16"/>
                <w:szCs w:val="16"/>
              </w:rPr>
              <w:t xml:space="preserve">MEDIUM</w:t>
            </w:r>
          </w:p>
        </w:tc>
        <w:tc>
          <w:tcPr>
            <w:tcBorders>
              <w:top w:val="none" w:color="FFFFFF" w:sz="0"/>
              <w:left w:val="single" w:color="06F285" w:sz="14"/>
              <w:bottom w:val="none" w:color="FFFFFF" w:sz="0"/>
              <w:right w:val="none" w:color="FFFFFF" w:sz="0"/>
            </w:tcBorders>
            <w:shd w:fill="EAF7F0" w:color="auto" w:val="clear"/>
            <w:tcMar>
              <w:top w:type="dxa" w:w="90"/>
              <w:left w:type="dxa" w:w="160"/>
              <w:bottom w:type="dxa" w:w="90"/>
              <w:right w:type="dxa" w:w="130"/>
            </w:tcMar>
            <w:vAlign w:val="center"/>
          </w:tcPr>
          <w:p>
            <w:r>
              <w:rPr>
                <w:rFonts w:ascii="Calibri" w:cs="Calibri" w:eastAsia="Calibri" w:hAnsi="Calibri"/>
                <w:b/>
                <w:bCs/>
                <w:color w:val="07272D"/>
                <w:sz w:val="20"/>
                <w:szCs w:val="20"/>
              </w:rPr>
              <w:t xml:space="preserve">WH-06</w:t>
            </w:r>
            <w:r>
              <w:rPr>
                <w:rFonts w:ascii="Calibri" w:cs="Calibri" w:eastAsia="Calibri" w:hAnsi="Calibri"/>
                <w:b/>
                <w:bCs/>
                <w:color w:val="07272D"/>
                <w:sz w:val="20"/>
                <w:szCs w:val="20"/>
              </w:rPr>
              <w:t xml:space="preserve"> — 2 of 6 coaches have expired first aid certificates</w:t>
            </w:r>
          </w:p>
        </w:tc>
      </w:tr>
    </w:tbl>
    <w:p>
      <w:pPr>
        <w:spacing w:after="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2200"/>
        <w:gridCol w:w="3946"/>
        <w:gridCol w:w="2300"/>
      </w:tblGrid>
      <w:tr>
        <w:tc>
          <w:tcPr>
            <w:tcW w:type="dxa" w:w="1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Area</w:t>
            </w:r>
          </w:p>
        </w:tc>
        <w:tc>
          <w:tcPr>
            <w:tcW w:type="dxa" w:w="39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Standard / reference</w:t>
            </w:r>
          </w:p>
        </w:tc>
        <w:tc>
          <w:tcPr>
            <w:tcW w:type="dxa" w:w="2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Remediate by</w:t>
            </w:r>
          </w:p>
        </w:tc>
      </w:tr>
      <w:tr>
        <w:tc>
          <w:tcPr>
            <w:tcW w:type="dxa" w:w="1300"/>
            <w:tcBorders>
              <w:top w:val="none" w:color="FFFFFF" w:sz="0"/>
              <w:left w:val="none" w:color="FFFFFF" w:sz="0"/>
              <w:bottom w:val="none" w:color="FFFFFF" w:sz="0"/>
              <w:right w:val="none" w:color="FFFFFF" w:sz="0"/>
            </w:tcBorders>
            <w:shd w:fill="FEF9C3"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854D0E"/>
                <w:sz w:val="18"/>
                <w:szCs w:val="18"/>
              </w:rPr>
              <w:t xml:space="preserve">Medium</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Staff qualifications</w:t>
            </w:r>
          </w:p>
        </w:tc>
        <w:tc>
          <w:tcPr>
            <w:tcW w:type="dxa" w:w="3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IronPeak WHS std 8.1; fitness industry standard</w:t>
            </w:r>
          </w:p>
        </w:tc>
        <w:tc>
          <w:tcPr>
            <w:tcW w:type="dxa" w:w="23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30 days</w:t>
            </w:r>
          </w:p>
        </w:tc>
      </w:tr>
    </w:tbl>
    <w:p>
      <w:pPr>
        <w:spacing w:after="120"/>
      </w:pPr>
    </w:p>
    <w:p>
      <w:pPr>
        <w:spacing w:after="100"/>
      </w:pPr>
      <w:r>
        <w:rPr>
          <w:rFonts w:ascii="Calibri" w:cs="Calibri" w:eastAsia="Calibri" w:hAnsi="Calibri"/>
          <w:b/>
          <w:bCs/>
          <w:color w:val="07272D"/>
          <w:sz w:val="20"/>
          <w:szCs w:val="20"/>
        </w:rPr>
        <w:t xml:space="preserve">What we found:  </w:t>
      </w:r>
      <w:r>
        <w:rPr>
          <w:rFonts w:ascii="Calibri" w:cs="Calibri" w:eastAsia="Calibri" w:hAnsi="Calibri"/>
          <w:color w:val="1F2D2B"/>
          <w:sz w:val="20"/>
          <w:szCs w:val="20"/>
        </w:rPr>
        <w:t xml:space="preserve">Two of six coaches on the current roster have first aid certificates that expired in March 2026. The network standard requires all coaches to hold current first aid. The franchisee was aware but had not yet arranged renewals.</w:t>
      </w:r>
    </w:p>
    <w:p>
      <w:pPr>
        <w:spacing w:after="100"/>
      </w:pPr>
      <w:r>
        <w:rPr>
          <w:rFonts w:ascii="Calibri" w:cs="Calibri" w:eastAsia="Calibri" w:hAnsi="Calibri"/>
          <w:b/>
          <w:bCs/>
          <w:color w:val="07272D"/>
          <w:sz w:val="20"/>
          <w:szCs w:val="20"/>
        </w:rPr>
        <w:t xml:space="preserve">Evidence:  </w:t>
      </w:r>
      <w:r>
        <w:rPr>
          <w:rFonts w:ascii="Calibri" w:cs="Calibri" w:eastAsia="Calibri" w:hAnsi="Calibri"/>
          <w:color w:val="1F2D2B"/>
          <w:sz w:val="20"/>
          <w:szCs w:val="20"/>
        </w:rPr>
        <w:t xml:space="preserve">Certificate records reviewed on site; two certificates expired 31 March 2026.</w:t>
      </w:r>
    </w:p>
    <w:p>
      <w:pPr>
        <w:spacing w:after="100"/>
      </w:pPr>
      <w:r>
        <w:rPr>
          <w:rFonts w:ascii="Calibri" w:cs="Calibri" w:eastAsia="Calibri" w:hAnsi="Calibri"/>
          <w:b/>
          <w:bCs/>
          <w:color w:val="07272D"/>
          <w:sz w:val="20"/>
          <w:szCs w:val="20"/>
        </w:rPr>
        <w:t xml:space="preserve">Recommended action:  </w:t>
      </w:r>
      <w:r>
        <w:rPr>
          <w:rFonts w:ascii="Calibri" w:cs="Calibri" w:eastAsia="Calibri" w:hAnsi="Calibri"/>
          <w:color w:val="1F2D2B"/>
          <w:sz w:val="20"/>
          <w:szCs w:val="20"/>
        </w:rPr>
        <w:t xml:space="preserve">Enrol both coaches in the next available first aid renewal course. Until renewed, ensure neither coach is the sole qualified first aider on a shift. The network has a preferred training provider listed on the compliance portal with discounted rates.</w:t>
      </w:r>
    </w:p>
    <w:p>
      <w:pPr>
        <w:spacing w:after="100"/>
      </w:pPr>
      <w:r>
        <w:rPr>
          <w:rFonts w:ascii="Calibri" w:cs="Calibri" w:eastAsia="Calibri" w:hAnsi="Calibri"/>
          <w:b/>
          <w:bCs/>
          <w:color w:val="07272D"/>
          <w:sz w:val="20"/>
          <w:szCs w:val="20"/>
        </w:rPr>
        <w:t xml:space="preserve">Responsible:  </w:t>
      </w:r>
      <w:r>
        <w:rPr>
          <w:rFonts w:ascii="Calibri" w:cs="Calibri" w:eastAsia="Calibri" w:hAnsi="Calibri"/>
          <w:color w:val="1F2D2B"/>
          <w:sz w:val="20"/>
          <w:szCs w:val="20"/>
        </w:rPr>
        <w:t xml:space="preserve">Franchisee</w:t>
      </w:r>
    </w:p>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10"/>
              <w:left w:type="dxa" w:w="180"/>
              <w:bottom w:type="dxa" w:w="110"/>
              <w:right w:type="dxa" w:w="180"/>
            </w:tcMar>
          </w:tcPr>
          <w:p>
            <w:pPr>
              <w:spacing w:after="0" w:before="0"/>
            </w:pPr>
            <w:r>
              <w:rPr>
                <w:rFonts w:ascii="Calibri" w:cs="Calibri" w:eastAsia="Calibri" w:hAnsi="Calibri"/>
                <w:b/>
                <w:bCs/>
                <w:color w:val="06F285"/>
                <w:sz w:val="15"/>
                <w:szCs w:val="15"/>
              </w:rPr>
              <w:t xml:space="preserve">SECTION 5</w:t>
            </w:r>
            <w:r>
              <w:rPr>
                <w:rFonts w:ascii="Calibri" w:cs="Calibri" w:eastAsia="Calibri" w:hAnsi="Calibri"/>
                <w:color w:val="3A6B52"/>
                <w:sz w:val="15"/>
                <w:szCs w:val="15"/>
              </w:rPr>
              <w:t xml:space="preserve">   │   </w:t>
            </w:r>
            <w:r>
              <w:rPr>
                <w:rFonts w:ascii="Calibri" w:cs="Calibri" w:eastAsia="Calibri" w:hAnsi="Calibri"/>
                <w:b/>
                <w:bCs/>
                <w:color w:val="FFFFFF"/>
                <w:sz w:val="20"/>
                <w:szCs w:val="20"/>
              </w:rPr>
              <w:t xml:space="preserve">WHAT'S WORKING WELL</w:t>
            </w:r>
          </w:p>
        </w:tc>
      </w:tr>
    </w:tbl>
    <w:p>
      <w:pPr>
        <w:spacing w:after="160"/>
      </w:pPr>
    </w:p>
    <w:p>
      <w:pPr>
        <w:spacing w:after="160"/>
      </w:pPr>
      <w:r>
        <w:rPr>
          <w:rFonts w:ascii="Calibri" w:cs="Calibri" w:eastAsia="Calibri" w:hAnsi="Calibri"/>
          <w:color w:val="1F2D2B"/>
          <w:sz w:val="20"/>
          <w:szCs w:val="20"/>
        </w:rPr>
        <w:t xml:space="preserve">An audit should recognise strength as clearly as it flags risk. The following practices met or exceeded the network standard:</w:t>
      </w:r>
    </w:p>
    <w:p>
      <w:pPr>
        <w:spacing w:after="80"/>
      </w:pPr>
    </w:p>
    <w:p>
      <w:pPr>
        <w:pStyle w:val="ListParagraph"/>
        <w:numPr>
          <w:ilvl w:val="0"/>
          <w:numId w:val="1"/>
        </w:numPr>
        <w:spacing w:after="80"/>
      </w:pPr>
      <w:r>
        <w:rPr>
          <w:rFonts w:ascii="Calibri" w:cs="Calibri" w:eastAsia="Calibri" w:hAnsi="Calibri"/>
          <w:color w:val="1F2D2B"/>
          <w:sz w:val="20"/>
          <w:szCs w:val="20"/>
        </w:rPr>
        <w:t xml:space="preserve">The franchisee's immediate response to WH-01 — tagging out the machine mid-audit without hesitation — demonstrates appropriate safety culture at the ownership level</w:t>
      </w:r>
    </w:p>
    <w:p>
      <w:pPr>
        <w:pStyle w:val="ListParagraph"/>
        <w:numPr>
          <w:ilvl w:val="0"/>
          <w:numId w:val="1"/>
        </w:numPr>
        <w:spacing w:after="80"/>
      </w:pPr>
      <w:r>
        <w:rPr>
          <w:rFonts w:ascii="Calibri" w:cs="Calibri" w:eastAsia="Calibri" w:hAnsi="Calibri"/>
          <w:color w:val="1F2D2B"/>
          <w:sz w:val="20"/>
          <w:szCs w:val="20"/>
        </w:rPr>
        <w:t xml:space="preserve">AED is present, current, and registered; staff are trained in its use</w:t>
      </w:r>
    </w:p>
    <w:p>
      <w:pPr>
        <w:pStyle w:val="ListParagraph"/>
        <w:numPr>
          <w:ilvl w:val="0"/>
          <w:numId w:val="1"/>
        </w:numPr>
        <w:spacing w:after="80"/>
      </w:pPr>
      <w:r>
        <w:rPr>
          <w:rFonts w:ascii="Calibri" w:cs="Calibri" w:eastAsia="Calibri" w:hAnsi="Calibri"/>
          <w:color w:val="1F2D2B"/>
          <w:sz w:val="20"/>
          <w:szCs w:val="20"/>
        </w:rPr>
        <w:t xml:space="preserve">Cardio equipment (treadmills, bikes, rowers) is in excellent condition with current inspection tags</w:t>
      </w:r>
    </w:p>
    <w:p>
      <w:pPr>
        <w:pStyle w:val="ListParagraph"/>
        <w:numPr>
          <w:ilvl w:val="0"/>
          <w:numId w:val="1"/>
        </w:numPr>
        <w:spacing w:after="80"/>
      </w:pPr>
      <w:r>
        <w:rPr>
          <w:rFonts w:ascii="Calibri" w:cs="Calibri" w:eastAsia="Calibri" w:hAnsi="Calibri"/>
          <w:color w:val="1F2D2B"/>
          <w:sz w:val="20"/>
          <w:szCs w:val="20"/>
        </w:rPr>
        <w:t xml:space="preserve">The gym floor and change rooms were clean and free of slip/trip hazards at audit time</w:t>
      </w:r>
    </w:p>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10"/>
              <w:left w:type="dxa" w:w="180"/>
              <w:bottom w:type="dxa" w:w="110"/>
              <w:right w:type="dxa" w:w="180"/>
            </w:tcMar>
          </w:tcPr>
          <w:p>
            <w:pPr>
              <w:spacing w:after="0" w:before="0"/>
            </w:pPr>
            <w:r>
              <w:rPr>
                <w:rFonts w:ascii="Calibri" w:cs="Calibri" w:eastAsia="Calibri" w:hAnsi="Calibri"/>
                <w:b/>
                <w:bCs/>
                <w:color w:val="06F285"/>
                <w:sz w:val="15"/>
                <w:szCs w:val="15"/>
              </w:rPr>
              <w:t xml:space="preserve">SECTION 6</w:t>
            </w:r>
            <w:r>
              <w:rPr>
                <w:rFonts w:ascii="Calibri" w:cs="Calibri" w:eastAsia="Calibri" w:hAnsi="Calibri"/>
                <w:color w:val="3A6B52"/>
                <w:sz w:val="15"/>
                <w:szCs w:val="15"/>
              </w:rPr>
              <w:t xml:space="preserve">   │   </w:t>
            </w:r>
            <w:r>
              <w:rPr>
                <w:rFonts w:ascii="Calibri" w:cs="Calibri" w:eastAsia="Calibri" w:hAnsi="Calibri"/>
                <w:b/>
                <w:bCs/>
                <w:color w:val="FFFFFF"/>
                <w:sz w:val="20"/>
                <w:szCs w:val="20"/>
              </w:rPr>
              <w:t xml:space="preserve">REMEDIATION ROADMAP</w:t>
            </w:r>
          </w:p>
        </w:tc>
      </w:tr>
    </w:tbl>
    <w:p>
      <w:pPr>
        <w:spacing w:after="160"/>
      </w:pPr>
    </w:p>
    <w:p>
      <w:pPr>
        <w:spacing w:after="160"/>
      </w:pPr>
      <w:r>
        <w:rPr>
          <w:rFonts w:ascii="Calibri" w:cs="Calibri" w:eastAsia="Calibri" w:hAnsi="Calibri"/>
          <w:color w:val="1F2D2B"/>
          <w:sz w:val="20"/>
          <w:szCs w:val="20"/>
        </w:rPr>
        <w:t xml:space="preserve">Actions are sequenced by risk. Maintain Audits can verify closure of each item through a follow-up desktop review or re-inspection.</w:t>
      </w:r>
    </w:p>
    <w:p>
      <w:pPr>
        <w:spacing w:after="12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800"/>
        <w:gridCol w:w="3846"/>
        <w:gridCol w:w="2900"/>
        <w:gridCol w:w="2200"/>
      </w:tblGrid>
      <w:tr>
        <w:tc>
          <w:tcPr>
            <w:tcW w:type="dxa" w:w="8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ID</w:t>
            </w:r>
          </w:p>
        </w:tc>
        <w:tc>
          <w:tcPr>
            <w:tcW w:type="dxa" w:w="38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Action</w:t>
            </w:r>
          </w:p>
        </w:tc>
        <w:tc>
          <w:tcPr>
            <w:tcW w:type="dxa" w:w="29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Owner</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Due</w:t>
            </w:r>
          </w:p>
        </w:tc>
      </w:tr>
      <w:tr>
        <w:tc>
          <w:tcPr>
            <w:tcW w:type="dxa" w:w="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07272D"/>
                <w:sz w:val="18"/>
                <w:szCs w:val="18"/>
              </w:rPr>
              <w:t xml:space="preserve">WH-01</w:t>
            </w:r>
          </w:p>
        </w:tc>
        <w:tc>
          <w:tcPr>
            <w:tcW w:type="dxa" w:w="38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Technician inspection and certification before return to service</w:t>
            </w:r>
          </w:p>
        </w:tc>
        <w:tc>
          <w:tcPr>
            <w:tcW w:type="dxa" w:w="29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Franchisee / service provider</w:t>
            </w:r>
          </w:p>
        </w:tc>
        <w:tc>
          <w:tcPr>
            <w:tcW w:type="dxa" w:w="22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F2D2B"/>
                <w:sz w:val="18"/>
                <w:szCs w:val="18"/>
              </w:rPr>
              <w:t xml:space="preserve">Before return to use</w:t>
            </w:r>
          </w:p>
        </w:tc>
      </w:tr>
      <w:tr>
        <w:tc>
          <w:tcPr>
            <w:tcW w:type="dxa" w:w="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07272D"/>
                <w:sz w:val="18"/>
                <w:szCs w:val="18"/>
              </w:rPr>
              <w:t xml:space="preserve">WH-02</w:t>
            </w:r>
          </w:p>
        </w:tc>
        <w:tc>
          <w:tcPr>
            <w:tcW w:type="dxa" w:w="38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Record three known incidents retrospectively; establish end-of-shift process</w:t>
            </w:r>
          </w:p>
        </w:tc>
        <w:tc>
          <w:tcPr>
            <w:tcW w:type="dxa" w:w="29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Franchisee / club manager</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F2D2B"/>
                <w:sz w:val="18"/>
                <w:szCs w:val="18"/>
              </w:rPr>
              <w:t xml:space="preserve">Within 7 days</w:t>
            </w:r>
          </w:p>
        </w:tc>
      </w:tr>
      <w:tr>
        <w:tc>
          <w:tcPr>
            <w:tcW w:type="dxa" w:w="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07272D"/>
                <w:sz w:val="18"/>
                <w:szCs w:val="18"/>
              </w:rPr>
              <w:t xml:space="preserve">WH-03</w:t>
            </w:r>
          </w:p>
        </w:tc>
        <w:tc>
          <w:tcPr>
            <w:tcW w:type="dxa" w:w="38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Full fleet inspection and tagging; forward calendar reminder</w:t>
            </w:r>
          </w:p>
        </w:tc>
        <w:tc>
          <w:tcPr>
            <w:tcW w:type="dxa" w:w="29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Franchisee / club manager</w:t>
            </w:r>
          </w:p>
        </w:tc>
        <w:tc>
          <w:tcPr>
            <w:tcW w:type="dxa" w:w="22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F2D2B"/>
                <w:sz w:val="18"/>
                <w:szCs w:val="18"/>
              </w:rPr>
              <w:t xml:space="preserve">Within 7 days</w:t>
            </w:r>
          </w:p>
        </w:tc>
      </w:tr>
      <w:tr>
        <w:tc>
          <w:tcPr>
            <w:tcW w:type="dxa" w:w="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07272D"/>
                <w:sz w:val="18"/>
                <w:szCs w:val="18"/>
              </w:rPr>
              <w:t xml:space="preserve">WH-04</w:t>
            </w:r>
          </w:p>
        </w:tc>
        <w:tc>
          <w:tcPr>
            <w:tcW w:type="dxa" w:w="38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Updated evacuation diagrams posted in all locations</w:t>
            </w:r>
          </w:p>
        </w:tc>
        <w:tc>
          <w:tcPr>
            <w:tcW w:type="dxa" w:w="29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Franchisee / club manager</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F2D2B"/>
                <w:sz w:val="18"/>
                <w:szCs w:val="18"/>
              </w:rPr>
              <w:t xml:space="preserve">Within 30 days</w:t>
            </w:r>
          </w:p>
        </w:tc>
      </w:tr>
      <w:tr>
        <w:tc>
          <w:tcPr>
            <w:tcW w:type="dxa" w:w="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07272D"/>
                <w:sz w:val="18"/>
                <w:szCs w:val="18"/>
              </w:rPr>
              <w:t xml:space="preserve">WH-05</w:t>
            </w:r>
          </w:p>
        </w:tc>
        <w:tc>
          <w:tcPr>
            <w:tcW w:type="dxa" w:w="38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Label all containers; post SDS; enforce original-container rule</w:t>
            </w:r>
          </w:p>
        </w:tc>
        <w:tc>
          <w:tcPr>
            <w:tcW w:type="dxa" w:w="29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Club manager</w:t>
            </w:r>
          </w:p>
        </w:tc>
        <w:tc>
          <w:tcPr>
            <w:tcW w:type="dxa" w:w="22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F2D2B"/>
                <w:sz w:val="18"/>
                <w:szCs w:val="18"/>
              </w:rPr>
              <w:t xml:space="preserve">Within 30 days</w:t>
            </w:r>
          </w:p>
        </w:tc>
      </w:tr>
      <w:tr>
        <w:tc>
          <w:tcPr>
            <w:tcW w:type="dxa" w:w="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07272D"/>
                <w:sz w:val="18"/>
                <w:szCs w:val="18"/>
              </w:rPr>
              <w:t xml:space="preserve">WH-06</w:t>
            </w:r>
          </w:p>
        </w:tc>
        <w:tc>
          <w:tcPr>
            <w:tcW w:type="dxa" w:w="38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Renrol two coaches in first aid renewal</w:t>
            </w:r>
          </w:p>
        </w:tc>
        <w:tc>
          <w:tcPr>
            <w:tcW w:type="dxa" w:w="29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Franchisee</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F2D2B"/>
                <w:sz w:val="18"/>
                <w:szCs w:val="18"/>
              </w:rPr>
              <w:t xml:space="preserve">Within 30 days</w:t>
            </w:r>
          </w:p>
        </w:tc>
      </w:tr>
    </w:tbl>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10"/>
              <w:left w:type="dxa" w:w="180"/>
              <w:bottom w:type="dxa" w:w="110"/>
              <w:right w:type="dxa" w:w="180"/>
            </w:tcMar>
          </w:tcPr>
          <w:p>
            <w:pPr>
              <w:spacing w:after="0" w:before="0"/>
            </w:pPr>
            <w:r>
              <w:rPr>
                <w:rFonts w:ascii="Calibri" w:cs="Calibri" w:eastAsia="Calibri" w:hAnsi="Calibri"/>
                <w:b/>
                <w:bCs/>
                <w:color w:val="06F285"/>
                <w:sz w:val="15"/>
                <w:szCs w:val="15"/>
              </w:rPr>
              <w:t xml:space="preserve">SECTION 7</w:t>
            </w:r>
            <w:r>
              <w:rPr>
                <w:rFonts w:ascii="Calibri" w:cs="Calibri" w:eastAsia="Calibri" w:hAnsi="Calibri"/>
                <w:color w:val="3A6B52"/>
                <w:sz w:val="15"/>
                <w:szCs w:val="15"/>
              </w:rPr>
              <w:t xml:space="preserve">   │   </w:t>
            </w:r>
            <w:r>
              <w:rPr>
                <w:rFonts w:ascii="Calibri" w:cs="Calibri" w:eastAsia="Calibri" w:hAnsi="Calibri"/>
                <w:b/>
                <w:bCs/>
                <w:color w:val="FFFFFF"/>
                <w:sz w:val="20"/>
                <w:szCs w:val="20"/>
              </w:rPr>
              <w:t xml:space="preserve">NEXT STEPS &amp; ONGOING MONITORING</w:t>
            </w:r>
          </w:p>
        </w:tc>
      </w:tr>
    </w:tbl>
    <w:p>
      <w:pPr>
        <w:spacing w:after="160"/>
      </w:pPr>
    </w:p>
    <w:p>
      <w:pPr>
        <w:pStyle w:val="ListParagraph"/>
        <w:numPr>
          <w:ilvl w:val="0"/>
          <w:numId w:val="1"/>
        </w:numPr>
        <w:spacing w:after="80"/>
      </w:pPr>
      <w:r>
        <w:rPr>
          <w:rFonts w:ascii="Calibri" w:cs="Calibri" w:eastAsia="Calibri" w:hAnsi="Calibri"/>
          <w:color w:val="1F2D2B"/>
          <w:sz w:val="20"/>
          <w:szCs w:val="20"/>
        </w:rPr>
        <w:t xml:space="preserve">Evidence of WH-01 technician sign-off and WH-02/03 completion within 7 days — desktop review at no charge</w:t>
      </w:r>
    </w:p>
    <w:p>
      <w:pPr>
        <w:pStyle w:val="ListParagraph"/>
        <w:numPr>
          <w:ilvl w:val="0"/>
          <w:numId w:val="1"/>
        </w:numPr>
        <w:spacing w:after="80"/>
      </w:pPr>
      <w:r>
        <w:rPr>
          <w:rFonts w:ascii="Calibri" w:cs="Calibri" w:eastAsia="Calibri" w:hAnsi="Calibri"/>
          <w:color w:val="1F2D2B"/>
          <w:sz w:val="20"/>
          <w:szCs w:val="20"/>
        </w:rPr>
        <w:t xml:space="preserve">Recommend a 6-monthly WHS self-assessment using the network checklist, with results submitted to the support office</w:t>
      </w:r>
    </w:p>
    <w:p>
      <w:pPr>
        <w:pStyle w:val="ListParagraph"/>
        <w:numPr>
          <w:ilvl w:val="0"/>
          <w:numId w:val="1"/>
        </w:numPr>
        <w:spacing w:after="80"/>
      </w:pPr>
      <w:r>
        <w:rPr>
          <w:rFonts w:ascii="Calibri" w:cs="Calibri" w:eastAsia="Calibri" w:hAnsi="Calibri"/>
          <w:color w:val="1F2D2B"/>
          <w:sz w:val="20"/>
          <w:szCs w:val="20"/>
        </w:rPr>
        <w:t xml:space="preserve">Full re-audit recommended at the 12-month mark to confirm sustained compliance</w:t>
      </w:r>
    </w:p>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20"/>
              <w:left w:type="dxa" w:w="180"/>
              <w:bottom w:type="dxa" w:w="120"/>
              <w:right w:type="dxa" w:w="180"/>
            </w:tcMar>
          </w:tcPr>
          <w:p>
            <w:pPr>
              <w:jc w:val="center"/>
            </w:pPr>
            <w:r>
              <w:rPr>
                <w:rFonts w:ascii="Calibri" w:cs="Calibri" w:eastAsia="Calibri" w:hAnsi="Calibri"/>
                <w:b/>
                <w:bCs/>
                <w:color w:val="FFFFFF"/>
                <w:sz w:val="18"/>
                <w:szCs w:val="18"/>
              </w:rPr>
              <w:t xml:space="preserve">Questions about this report:  info@maintainaudits.com.au  ·  +61 414 530 836  ·  maintainaudits.com.au</w:t>
            </w:r>
          </w:p>
        </w:tc>
      </w:tr>
    </w:tbl>
    <w:p>
      <w:pPr>
        <w:spacing w:after="160"/>
      </w:pPr>
    </w:p>
    <w:p>
      <w:pPr>
        <w:spacing w:after="0"/>
        <w:jc w:val="center"/>
      </w:pPr>
      <w:r>
        <w:rPr>
          <w:rFonts w:ascii="Calibri" w:cs="Calibri" w:eastAsia="Calibri" w:hAnsi="Calibri"/>
          <w:color w:val="64748B"/>
          <w:sz w:val="16"/>
          <w:szCs w:val="16"/>
        </w:rPr>
        <w:t xml:space="preserve">This report is a sample document prepared by Maintain Audits, a division of Maintain Technology, for demonstration purposes. All client names, locations, personnel, and findings are fictional. Actual audit reports are prepared under our engagement terms and are confidential to the client. This document does not constitute legal, financial, or professional compliance advice.</w:t>
      </w:r>
    </w:p>
    <w:sectPr>
      <w:headerReference w:type="default" r:id="rId7"/>
      <w:footerReference w:type="default" r:id="rId8"/>
      <w:pgSz w:w="11906" w:h="16838" w:orient="portrait"/>
      <w:pgMar w:top="1080" w:right="1080" w:bottom="1080" w:left="1080" w:header="48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7017"/>
      <w:gridCol w:w="2728"/>
    </w:tblGrid>
    <w:tr>
      <w:tc>
        <w:tcPr>
          <w:tcBorders>
            <w:top w:val="single" w:color="D1D5DB" w:sz="4"/>
            <w:left w:val="none" w:color="FFFFFF" w:sz="0"/>
            <w:bottom w:val="none" w:color="FFFFFF" w:sz="0"/>
            <w:right w:val="none" w:color="FFFFFF" w:sz="0"/>
          </w:tcBorders>
          <w:tcMar>
            <w:top w:type="dxa" w:w="60"/>
            <w:left w:type="dxa" w:w="0"/>
            <w:bottom w:type="dxa" w:w="0"/>
            <w:right w:type="dxa" w:w="0"/>
          </w:tcMar>
        </w:tcPr>
        <w:p>
          <w:r>
            <w:rPr>
              <w:rFonts w:ascii="Calibri" w:cs="Calibri" w:eastAsia="Calibri" w:hAnsi="Calibri"/>
              <w:color w:val="64748B"/>
              <w:sz w:val="15"/>
              <w:szCs w:val="15"/>
            </w:rPr>
            <w:t xml:space="preserve">info@maintainaudits.com.au  ·  +61 414 530 836  ·  Commercial in confidence</w:t>
          </w:r>
        </w:p>
      </w:tc>
      <w:tc>
        <w:tcPr>
          <w:tcBorders>
            <w:top w:val="single" w:color="D1D5DB" w:sz="4"/>
            <w:left w:val="none" w:color="FFFFFF" w:sz="0"/>
            <w:bottom w:val="none" w:color="FFFFFF" w:sz="0"/>
            <w:right w:val="none" w:color="FFFFFF" w:sz="0"/>
          </w:tcBorders>
          <w:tcMar>
            <w:top w:type="dxa" w:w="60"/>
            <w:left w:type="dxa" w:w="0"/>
            <w:bottom w:type="dxa" w:w="0"/>
            <w:right w:type="dxa" w:w="0"/>
          </w:tcMar>
        </w:tcPr>
        <w:p>
          <w:pPr>
            <w:jc w:val="right"/>
          </w:pPr>
          <w:r>
            <w:rPr>
              <w:rFonts w:ascii="Calibri" w:cs="Calibri" w:eastAsia="Calibri" w:hAnsi="Calibri"/>
              <w:color w:val="64748B"/>
              <w:sz w:val="15"/>
              <w:szCs w:val="15"/>
            </w:rPr>
            <w:t xml:space="preserve">Page </w:t>
          </w:r>
          <w:pgNum/>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4873"/>
      <w:gridCol w:w="4873"/>
    </w:tblGrid>
    <w:tr>
      <w:tc>
        <w:tcPr>
          <w:tcBorders>
            <w:top w:val="none" w:color="FFFFFF" w:sz="0"/>
            <w:left w:val="none" w:color="FFFFFF" w:sz="0"/>
            <w:bottom w:val="single" w:color="06F285" w:sz="6"/>
            <w:right w:val="none" w:color="FFFFFF" w:sz="0"/>
          </w:tcBorders>
          <w:tcMar>
            <w:top w:type="dxa" w:w="0"/>
            <w:left w:type="dxa" w:w="0"/>
            <w:bottom w:type="dxa" w:w="60"/>
            <w:right w:type="dxa" w:w="0"/>
          </w:tcMar>
        </w:tcPr>
        <w:p>
          <w:pPr>
            <w:spacing w:after="0" w:before="0"/>
          </w:pPr>
          <w:r>
            <w:drawing>
              <wp:inline distT="0" distB="0" distL="0" distR="0">
                <wp:extent cx="157162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71625" cy="333375"/>
                        </a:xfrm>
                        <a:prstGeom prst="rect">
                          <a:avLst/>
                        </a:prstGeom>
                      </pic:spPr>
                    </pic:pic>
                  </a:graphicData>
                </a:graphic>
              </wp:inline>
            </w:drawing>
          </w:r>
        </w:p>
      </w:tc>
      <w:tc>
        <w:tcPr>
          <w:tcBorders>
            <w:top w:val="none" w:color="FFFFFF" w:sz="0"/>
            <w:left w:val="none" w:color="FFFFFF" w:sz="0"/>
            <w:bottom w:val="single" w:color="06F285" w:sz="6"/>
            <w:right w:val="none" w:color="FFFFFF" w:sz="0"/>
          </w:tcBorders>
          <w:tcMar>
            <w:top w:type="dxa" w:w="0"/>
            <w:left w:type="dxa" w:w="0"/>
            <w:bottom w:type="dxa" w:w="60"/>
            <w:right w:type="dxa" w:w="0"/>
          </w:tcMar>
        </w:tcPr>
        <w:p>
          <w:pPr>
            <w:spacing w:after="0" w:before="0"/>
            <w:jc w:val="right"/>
          </w:pPr>
          <w:r>
            <w:rPr>
              <w:rFonts w:ascii="Calibri" w:cs="Calibri" w:eastAsia="Calibri" w:hAnsi="Calibri"/>
              <w:color w:val="64748B"/>
              <w:sz w:val="16"/>
              <w:szCs w:val="16"/>
            </w:rPr>
            <w:t xml:space="preserve">maintainaudits.com.au</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552a9450fd10217a5937b60f5d4c4e54e54d7a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dfb012c0e5f1fd6ddfd9ec97ae36ee101a2ab7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2026-07-14T02:24:14.972Z</dcterms:created>
  <dcterms:modified xsi:type="dcterms:W3CDTF">2026-07-14T02:24:14.973Z</dcterms:modified>
</cp:coreProperties>
</file>

<file path=docProps/custom.xml><?xml version="1.0" encoding="utf-8"?>
<Properties xmlns="http://schemas.openxmlformats.org/officeDocument/2006/custom-properties" xmlns:vt="http://schemas.openxmlformats.org/officeDocument/2006/docPropsVTypes"/>
</file>