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Client (fictional)</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Urban Trail Outfitters (fictional network)</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Location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Westfield Carindale, QLD</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type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Standards Audit</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conducted</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8 July 2026</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issued</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10 July 2026 (48-hour turnaround)</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Lead auditor</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 Okafor, Brand Auditor — Maintain Audits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reference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MA-2026-BR-0276</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Distribution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head office; franchisee principal — Commercial in confidence</w:t>
            </w:r>
          </w:p>
        </w:tc>
      </w:tr>
    </w:tbl>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F59E0B" w:sz="4"/>
              <w:left w:val="single" w:color="F59E0B" w:sz="12"/>
              <w:bottom w:val="single" w:color="F59E0B" w:sz="4"/>
              <w:right w:val="none" w:color="FFFFFF" w:sz="0"/>
            </w:tcBorders>
            <w:shd w:fill="FEF9C3" w:color="auto" w:val="clear"/>
            <w:tcMar>
              <w:top w:type="dxa" w:w="100"/>
              <w:left w:type="dxa" w:w="160"/>
              <w:bottom w:type="dxa" w:w="100"/>
              <w:right w:type="dxa" w:w="160"/>
            </w:tcMar>
          </w:tcPr>
          <w:p>
            <w:pPr>
              <w:jc w:val="center"/>
            </w:pPr>
            <w:r>
              <w:rPr>
                <w:rFonts w:ascii="Calibri" w:cs="Calibri" w:eastAsia="Calibri" w:hAnsi="Calibri"/>
                <w:b/>
                <w:bCs/>
                <w:color w:val="854D0E"/>
                <w:sz w:val="17"/>
                <w:szCs w:val="17"/>
              </w:rPr>
              <w:t xml:space="preserve">SAMPLE DOCUMENT — all client details and findings are fictional, prepared to demonstrate Maintain Audits' reporting format.</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1</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EXECUTIVE SUMMARY</w:t>
            </w:r>
          </w:p>
        </w:tc>
      </w:tr>
    </w:tbl>
    <w:p>
      <w:pPr>
        <w:spacing w:after="160"/>
      </w:pPr>
    </w:p>
    <w:p>
      <w:pPr>
        <w:spacing w:after="160"/>
      </w:pPr>
      <w:r>
        <w:rPr>
          <w:rFonts w:ascii="Calibri" w:cs="Calibri" w:eastAsia="Calibri" w:hAnsi="Calibri"/>
          <w:color w:val="1F2D2B"/>
          <w:sz w:val="20"/>
          <w:szCs w:val="20"/>
        </w:rPr>
        <w:t xml:space="preserve">Urban Trail Carindale scored 79% against the network brand standard — a store with strong bones and a capable team, drifting from the brand book in ways that individually look small but collectively make the store feel like a discount outlet rather than the premium outdoor brand the network has invested in.</w:t>
      </w:r>
    </w:p>
    <w:p>
      <w:pPr>
        <w:spacing w:after="160"/>
      </w:pPr>
      <w:r>
        <w:rPr>
          <w:rFonts w:ascii="Calibri" w:cs="Calibri" w:eastAsia="Calibri" w:hAnsi="Calibri"/>
          <w:color w:val="1F2D2B"/>
          <w:sz w:val="20"/>
          <w:szCs w:val="20"/>
        </w:rPr>
        <w:t xml:space="preserve">The most visible issues: handwritten sale signage throughout the front-of-store zone, a third-party product range (approximately 8% of displayed SKUs) never approved for range, and uniform compliance at roughly half the team. The campaign window was also mid-transition eleven days after the changeover deadline.</w:t>
      </w:r>
    </w:p>
    <w:p>
      <w:pPr>
        <w:spacing w:after="160"/>
      </w:pPr>
      <w:r>
        <w:rPr>
          <w:rFonts w:ascii="Calibri" w:cs="Calibri" w:eastAsia="Calibri" w:hAnsi="Calibri"/>
          <w:color w:val="1F2D2B"/>
          <w:sz w:val="20"/>
          <w:szCs w:val="20"/>
        </w:rPr>
        <w:t xml:space="preserve">Every finding here is fixable within 30 days at minimal cost. The franchisee acknowledged most items on the day and had corrected two before we left the centre.</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Overall Result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500"/>
        <w:gridCol w:w="6246"/>
      </w:tblGrid>
      <w:tr>
        <w:tc>
          <w:tcPr>
            <w:tcW w:type="dxa" w:w="3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Measure</w:t>
            </w:r>
          </w:p>
        </w:tc>
        <w:tc>
          <w:tcPr>
            <w:tcW w:type="dxa" w:w="6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Result</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compliance score</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79% against network brand standard (target ≥ 90%)</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rating</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Medium</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Findings raised</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Most urgent action due</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Remove unapproved product range (BR-02) — within 7 days</w:t>
            </w:r>
          </w:p>
        </w:tc>
      </w:tr>
    </w:tbl>
    <w:p>
      <w:pPr>
        <w:spacing w:after="160"/>
      </w:pPr>
    </w:p>
    <w:p>
      <w:pPr>
        <w:pBdr>
          <w:bottom w:val="single" w:color="06F285" w:sz="4"/>
        </w:pBdr>
        <w:spacing w:after="100" w:before="240"/>
      </w:pPr>
      <w:r>
        <w:rPr>
          <w:rFonts w:ascii="Calibri" w:cs="Calibri" w:eastAsia="Calibri" w:hAnsi="Calibri"/>
          <w:b/>
          <w:bCs/>
          <w:color w:val="07272D"/>
          <w:sz w:val="22"/>
          <w:szCs w:val="22"/>
        </w:rPr>
        <w:t xml:space="preserve">Findings by Risk Rating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500"/>
        <w:gridCol w:w="7246"/>
      </w:tblGrid>
      <w:tr>
        <w:tc>
          <w:tcPr>
            <w:tcW w:type="dxa" w:w="2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7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Count</w:t>
            </w:r>
          </w:p>
        </w:tc>
      </w:tr>
      <w:tr>
        <w:tc>
          <w:tcPr>
            <w:tcW w:type="dxa" w:w="25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3</w:t>
            </w:r>
          </w:p>
        </w:tc>
      </w:tr>
      <w:tr>
        <w:tc>
          <w:tcPr>
            <w:tcW w:type="dxa" w:w="25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2</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SCOPE &amp; METHODOLOGY</w:t>
            </w:r>
          </w:p>
        </w:tc>
      </w:tr>
    </w:tbl>
    <w:p>
      <w:pPr>
        <w:spacing w:after="160"/>
      </w:pPr>
    </w:p>
    <w:p>
      <w:pPr>
        <w:spacing w:after="160"/>
      </w:pPr>
      <w:r>
        <w:rPr>
          <w:rFonts w:ascii="Calibri" w:cs="Calibri" w:eastAsia="Calibri" w:hAnsi="Calibri"/>
          <w:color w:val="1F2D2B"/>
          <w:sz w:val="20"/>
          <w:szCs w:val="20"/>
        </w:rPr>
        <w:t xml:space="preserve">A full brand-consistency assessment against the Urban Trail Brand Book v6 and current campaign guide, covering everything a customer sees, hears, and takes home.</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In Scope</w:t>
      </w:r>
    </w:p>
    <w:p>
      <w:pPr>
        <w:pStyle w:val="ListParagraph"/>
        <w:numPr>
          <w:ilvl w:val="0"/>
          <w:numId w:val="1"/>
        </w:numPr>
        <w:spacing w:after="80"/>
      </w:pPr>
      <w:r>
        <w:rPr>
          <w:rFonts w:ascii="Calibri" w:cs="Calibri" w:eastAsia="Calibri" w:hAnsi="Calibri"/>
          <w:color w:val="1F2D2B"/>
          <w:sz w:val="20"/>
          <w:szCs w:val="20"/>
        </w:rPr>
        <w:t xml:space="preserve">External presence — signage, façade, window displays, centre directory listing</w:t>
      </w:r>
    </w:p>
    <w:p>
      <w:pPr>
        <w:pStyle w:val="ListParagraph"/>
        <w:numPr>
          <w:ilvl w:val="0"/>
          <w:numId w:val="1"/>
        </w:numPr>
        <w:spacing w:after="80"/>
      </w:pPr>
      <w:r>
        <w:rPr>
          <w:rFonts w:ascii="Calibri" w:cs="Calibri" w:eastAsia="Calibri" w:hAnsi="Calibri"/>
          <w:color w:val="1F2D2B"/>
          <w:sz w:val="20"/>
          <w:szCs w:val="20"/>
        </w:rPr>
        <w:t xml:space="preserve">Visual merchandising — planogram compliance, campaign execution, ticketing and signage</w:t>
      </w:r>
    </w:p>
    <w:p>
      <w:pPr>
        <w:pStyle w:val="ListParagraph"/>
        <w:numPr>
          <w:ilvl w:val="0"/>
          <w:numId w:val="1"/>
        </w:numPr>
        <w:spacing w:after="80"/>
      </w:pPr>
      <w:r>
        <w:rPr>
          <w:rFonts w:ascii="Calibri" w:cs="Calibri" w:eastAsia="Calibri" w:hAnsi="Calibri"/>
          <w:color w:val="1F2D2B"/>
          <w:sz w:val="20"/>
          <w:szCs w:val="20"/>
        </w:rPr>
        <w:t xml:space="preserve">Product range integrity — approved range vs displayed SKUs</w:t>
      </w:r>
    </w:p>
    <w:p>
      <w:pPr>
        <w:pStyle w:val="ListParagraph"/>
        <w:numPr>
          <w:ilvl w:val="0"/>
          <w:numId w:val="1"/>
        </w:numPr>
        <w:spacing w:after="80"/>
      </w:pPr>
      <w:r>
        <w:rPr>
          <w:rFonts w:ascii="Calibri" w:cs="Calibri" w:eastAsia="Calibri" w:hAnsi="Calibri"/>
          <w:color w:val="1F2D2B"/>
          <w:sz w:val="20"/>
          <w:szCs w:val="20"/>
        </w:rPr>
        <w:t xml:space="preserve">Team presentation — uniform, grooming standard, name badges</w:t>
      </w:r>
    </w:p>
    <w:p>
      <w:pPr>
        <w:pStyle w:val="ListParagraph"/>
        <w:numPr>
          <w:ilvl w:val="0"/>
          <w:numId w:val="1"/>
        </w:numPr>
        <w:spacing w:after="80"/>
      </w:pPr>
      <w:r>
        <w:rPr>
          <w:rFonts w:ascii="Calibri" w:cs="Calibri" w:eastAsia="Calibri" w:hAnsi="Calibri"/>
          <w:color w:val="1F2D2B"/>
          <w:sz w:val="20"/>
          <w:szCs w:val="20"/>
        </w:rPr>
        <w:t xml:space="preserve">Customer-facing materials — bags, receipts, loyalty collateral, in-store audio</w:t>
      </w:r>
    </w:p>
    <w:p>
      <w:pPr>
        <w:pStyle w:val="ListParagraph"/>
        <w:numPr>
          <w:ilvl w:val="0"/>
          <w:numId w:val="1"/>
        </w:numPr>
        <w:spacing w:after="80"/>
      </w:pPr>
      <w:r>
        <w:rPr>
          <w:rFonts w:ascii="Calibri" w:cs="Calibri" w:eastAsia="Calibri" w:hAnsi="Calibri"/>
          <w:color w:val="1F2D2B"/>
          <w:sz w:val="20"/>
          <w:szCs w:val="20"/>
        </w:rPr>
        <w:t xml:space="preserve">Digital touchpoints — local social pages and Google Business Profile accuracy</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How the Audit Was Conducted</w:t>
      </w:r>
    </w:p>
    <w:p>
      <w:pPr>
        <w:pStyle w:val="ListParagraph"/>
        <w:numPr>
          <w:ilvl w:val="0"/>
          <w:numId w:val="1"/>
        </w:numPr>
        <w:spacing w:after="80"/>
      </w:pPr>
      <w:r>
        <w:rPr>
          <w:rFonts w:ascii="Calibri" w:cs="Calibri" w:eastAsia="Calibri" w:hAnsi="Calibri"/>
          <w:color w:val="1F2D2B"/>
          <w:sz w:val="20"/>
          <w:szCs w:val="20"/>
        </w:rPr>
        <w:t xml:space="preserve">Unannounced half-day store audit using the 84-point brand checklist</w:t>
      </w:r>
    </w:p>
    <w:p>
      <w:pPr>
        <w:pStyle w:val="ListParagraph"/>
        <w:numPr>
          <w:ilvl w:val="0"/>
          <w:numId w:val="1"/>
        </w:numPr>
        <w:spacing w:after="80"/>
      </w:pPr>
      <w:r>
        <w:rPr>
          <w:rFonts w:ascii="Calibri" w:cs="Calibri" w:eastAsia="Calibri" w:hAnsi="Calibri"/>
          <w:color w:val="1F2D2B"/>
          <w:sz w:val="20"/>
          <w:szCs w:val="20"/>
        </w:rPr>
        <w:t xml:space="preserve">Photo documentation of all zones (188 photos on file)</w:t>
      </w:r>
    </w:p>
    <w:p>
      <w:pPr>
        <w:pStyle w:val="ListParagraph"/>
        <w:numPr>
          <w:ilvl w:val="0"/>
          <w:numId w:val="1"/>
        </w:numPr>
        <w:spacing w:after="80"/>
      </w:pPr>
      <w:r>
        <w:rPr>
          <w:rFonts w:ascii="Calibri" w:cs="Calibri" w:eastAsia="Calibri" w:hAnsi="Calibri"/>
          <w:color w:val="1F2D2B"/>
          <w:sz w:val="20"/>
          <w:szCs w:val="20"/>
        </w:rPr>
        <w:t xml:space="preserve">Displayed-SKU sample check against the approved range file (240 SKUs sampled)</w:t>
      </w:r>
    </w:p>
    <w:p>
      <w:pPr>
        <w:pStyle w:val="ListParagraph"/>
        <w:numPr>
          <w:ilvl w:val="0"/>
          <w:numId w:val="1"/>
        </w:numPr>
        <w:spacing w:after="80"/>
      </w:pPr>
      <w:r>
        <w:rPr>
          <w:rFonts w:ascii="Calibri" w:cs="Calibri" w:eastAsia="Calibri" w:hAnsi="Calibri"/>
          <w:color w:val="1F2D2B"/>
          <w:sz w:val="20"/>
          <w:szCs w:val="20"/>
        </w:rPr>
        <w:t xml:space="preserve">Local digital audit: Google Business Profile, Instagram, Facebook vs brand social guidelines</w:t>
      </w:r>
    </w:p>
    <w:p>
      <w:pPr>
        <w:pStyle w:val="ListParagraph"/>
        <w:numPr>
          <w:ilvl w:val="0"/>
          <w:numId w:val="1"/>
        </w:numPr>
        <w:spacing w:after="80"/>
      </w:pPr>
      <w:r>
        <w:rPr>
          <w:rFonts w:ascii="Calibri" w:cs="Calibri" w:eastAsia="Calibri" w:hAnsi="Calibri"/>
          <w:color w:val="1F2D2B"/>
          <w:sz w:val="20"/>
          <w:szCs w:val="20"/>
        </w:rPr>
        <w:t xml:space="preserve">Debrief with franchisee at close of audit</w:t>
      </w:r>
    </w:p>
    <w:p>
      <w:pPr>
        <w:spacing w:after="160"/>
      </w:pPr>
    </w:p>
    <w:p>
      <w:pPr>
        <w:pBdr>
          <w:bottom w:val="single" w:color="06F285" w:sz="4"/>
        </w:pBdr>
        <w:spacing w:after="100" w:before="240"/>
      </w:pPr>
      <w:r>
        <w:rPr>
          <w:rFonts w:ascii="Calibri" w:cs="Calibri" w:eastAsia="Calibri" w:hAnsi="Calibri"/>
          <w:b/>
          <w:bCs/>
          <w:color w:val="07272D"/>
          <w:sz w:val="22"/>
          <w:szCs w:val="22"/>
        </w:rPr>
        <w:t xml:space="preserve">Risk Rating Scale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00"/>
        <w:gridCol w:w="5546"/>
        <w:gridCol w:w="2800"/>
      </w:tblGrid>
      <w:tr>
        <w:tc>
          <w:tcPr>
            <w:tcW w:type="dxa" w:w="1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55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Meaning</w:t>
            </w:r>
          </w:p>
        </w:tc>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 required</w:t>
            </w:r>
          </w:p>
        </w:tc>
      </w:tr>
      <w:tr>
        <w:tc>
          <w:tcPr>
            <w:tcW w:type="dxa" w:w="14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Immediate threat to safety, legal compliance, or brand integrity.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r>
        <w:tc>
          <w:tcPr>
            <w:tcW w:type="dxa" w:w="14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Material non-compliance likely to cause customer, safety, or financial impact.</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r>
        <w:tc>
          <w:tcPr>
            <w:tcW w:type="dxa" w:w="14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Non-compliance with franchise standards; manageable if addressed promptly.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r>
        <w:tc>
          <w:tcPr>
            <w:tcW w:type="dxa" w:w="14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Minor deviation or housekeeping issue.</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r>
        <w:tc>
          <w:tcPr>
            <w:tcW w:type="dxa" w:w="14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Not a non-compliance; an improvement opportunity worth acting on.</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3</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FINDINGS SUMMARY</w:t>
            </w:r>
          </w:p>
        </w:tc>
      </w:tr>
    </w:tbl>
    <w:p>
      <w:pPr>
        <w:spacing w:after="1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2400"/>
        <w:gridCol w:w="4346"/>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2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43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Finding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FFFFFF"/>
                <w:sz w:val="17"/>
                <w:szCs w:val="17"/>
              </w:rPr>
              <w:t xml:space="preserve">Rating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BR-01</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Signage &amp; ticketing</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Handwritten sale signage across front-of-store</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BR-02</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Range integrity</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Unapproved third-party product range on display</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BR-03</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Campaign execution</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Winter campaign changeover incomplete 11 days after deadline</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BR-04</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Team presentation</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Uniform compliance at 3 of 6 team members</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BR-05</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Digital presence</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Google Business Profile hours wrong; unapproved local Instagram</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BR-06</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Store environment</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In-store audio playing commercial radio</w:t>
            </w:r>
          </w:p>
        </w:tc>
        <w:tc>
          <w:tcPr>
            <w:tcW w:type="dxa" w:w="22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166534"/>
                <w:sz w:val="18"/>
                <w:szCs w:val="18"/>
              </w:rPr>
              <w:t xml:space="preserve">Low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4</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DETAILED FINDINGS</w:t>
            </w:r>
          </w:p>
        </w:tc>
      </w:tr>
    </w:tbl>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BR-01</w:t>
            </w:r>
            <w:r>
              <w:rPr>
                <w:rFonts w:ascii="Calibri" w:cs="Calibri" w:eastAsia="Calibri" w:hAnsi="Calibri"/>
                <w:b/>
                <w:bCs/>
                <w:color w:val="07272D"/>
                <w:sz w:val="20"/>
                <w:szCs w:val="20"/>
              </w:rPr>
              <w:t xml:space="preserve"> — Handwritten sale signage across front-of-store</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Signage &amp; ticketing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Book s.5.3</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Fourteen handwritten fluoro sale cards were displayed in the entry and apparel zones. The brand ticketing suite (available in the portal print kit) was not in use anywhere in store. This is the single largest driver of the store's discount-outlet impression.</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004–019.</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Remove all handwritten signage immediately and reprint from the portal ticket kit. Franchisee removed the entry-zone cards during the audit.</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store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BR-02</w:t>
            </w:r>
            <w:r>
              <w:rPr>
                <w:rFonts w:ascii="Calibri" w:cs="Calibri" w:eastAsia="Calibri" w:hAnsi="Calibri"/>
                <w:b/>
                <w:bCs/>
                <w:color w:val="07272D"/>
                <w:sz w:val="20"/>
                <w:szCs w:val="20"/>
              </w:rPr>
              <w:t xml:space="preserve"> — Unapproved third-party product range on display</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Range integrity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Book s.2.1; FA cl. 9.2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Nineteen of 240 sampled SKUs (7.9%) were from two suppliers not on the approved range file — including a budget hydration brand displayed alongside the network's exclusive-supply line, which breaches the network's supplier agreement terms as well as brand standards.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SKU sample worksheet; photos 095–104; approved range file v2026.2.</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Remove unapproved lines from display within 7 days. If the franchisee believes there is a genuine local range gap, the correct channel is a range submission to head office — we note the hydration category sell-through data may actually support one.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BR-03</w:t>
            </w:r>
            <w:r>
              <w:rPr>
                <w:rFonts w:ascii="Calibri" w:cs="Calibri" w:eastAsia="Calibri" w:hAnsi="Calibri"/>
                <w:b/>
                <w:bCs/>
                <w:color w:val="07272D"/>
                <w:sz w:val="20"/>
                <w:szCs w:val="20"/>
              </w:rPr>
              <w:t xml:space="preserve"> — Winter campaign changeover incomplete 11 days after deadline</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Campaign execution</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Campaign guide W26; Brand Book s.6.2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front window carries the current 'Alpine Ready' campaign, but the rear wall bay and fitting-room zone still display autumn campaign graphics and pricing, including two expired promotional prices still being honoured at the register.</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121–130; POS price check on two promoted lines.</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Complete the changeover, remove expired promotional pricing, and adopt the campaign checklist sign-off (portal) with a photo submission to close each changeover.</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Store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BR-04</w:t>
            </w:r>
            <w:r>
              <w:rPr>
                <w:rFonts w:ascii="Calibri" w:cs="Calibri" w:eastAsia="Calibri" w:hAnsi="Calibri"/>
                <w:b/>
                <w:bCs/>
                <w:color w:val="07272D"/>
                <w:sz w:val="20"/>
                <w:szCs w:val="20"/>
              </w:rPr>
              <w:t xml:space="preserve"> — Uniform compliance at 3 of 6 team members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Team presentation</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Book s.7.1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Three team members observed in non-uniform outerwear (competitor-brand puffer jackets, in an outdoor retailer) and two without name badges. The store's uniform stock cupboard held ample supply in relevant sizes.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141–144 (faces obscured); uniform stock check.</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Reset the uniform standard at the next team meeting. Competitor-branded outerwear on the floor is a direct brand contradiction and should be treated as a hard rule.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Store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BR-05</w:t>
            </w:r>
            <w:r>
              <w:rPr>
                <w:rFonts w:ascii="Calibri" w:cs="Calibri" w:eastAsia="Calibri" w:hAnsi="Calibri"/>
                <w:b/>
                <w:bCs/>
                <w:color w:val="07272D"/>
                <w:sz w:val="20"/>
                <w:szCs w:val="20"/>
              </w:rPr>
              <w:t xml:space="preserve"> — Google Business Profile hours wrong; unapproved local Instagram</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Digital presence</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Social &amp; local digital guidelines s.3</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store's Google profile shows superseded trading hours (customers arriving to a closed store on Thursdays per two recent reviews) and an unofficial store-run Instagram account uses off-brand templates and has run two unapproved giveaway promotions.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Screenshots on file; review extracts.</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Correct trading hours immediately. Transition the local Instagram to the network's local-social template program, which permits store content within brand rails.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Store manager / network marketing</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DCFCE7" w:color="auto" w:val="clear"/>
            <w:tcMar>
              <w:top w:type="dxa" w:w="90"/>
              <w:left w:type="dxa" w:w="80"/>
              <w:bottom w:type="dxa" w:w="90"/>
              <w:right w:type="dxa" w:w="80"/>
            </w:tcMar>
            <w:vAlign w:val="center"/>
          </w:tcPr>
          <w:p>
            <w:pPr>
              <w:jc w:val="center"/>
            </w:pPr>
            <w:r>
              <w:rPr>
                <w:rFonts w:ascii="Calibri" w:cs="Calibri" w:eastAsia="Calibri" w:hAnsi="Calibri"/>
                <w:b/>
                <w:bCs/>
                <w:color w:val="166534"/>
                <w:sz w:val="16"/>
                <w:szCs w:val="16"/>
              </w:rPr>
              <w:t xml:space="preserve">LOW</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BR-06</w:t>
            </w:r>
            <w:r>
              <w:rPr>
                <w:rFonts w:ascii="Calibri" w:cs="Calibri" w:eastAsia="Calibri" w:hAnsi="Calibri"/>
                <w:b/>
                <w:bCs/>
                <w:color w:val="07272D"/>
                <w:sz w:val="20"/>
                <w:szCs w:val="20"/>
              </w:rPr>
              <w:t xml:space="preserve"> — In-store audio playing commercial radio</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Store environment</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Book s.8.4</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Commercial FM radio (including competitor advertising) was playing in-store rather than the licensed brand playlist. The brand audio subscription is active and functional on the store account.</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Noted 10:20am–1:40pm; subscription status verified.</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Return to the brand playlist; add audio to the store's opening checklist.</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Store manager</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5</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WHAT'S WORKING WELL</w:t>
            </w:r>
          </w:p>
        </w:tc>
      </w:tr>
    </w:tbl>
    <w:p>
      <w:pPr>
        <w:spacing w:after="160"/>
      </w:pPr>
    </w:p>
    <w:p>
      <w:pPr>
        <w:spacing w:after="160"/>
      </w:pPr>
      <w:r>
        <w:rPr>
          <w:rFonts w:ascii="Calibri" w:cs="Calibri" w:eastAsia="Calibri" w:hAnsi="Calibri"/>
          <w:color w:val="1F2D2B"/>
          <w:sz w:val="20"/>
          <w:szCs w:val="20"/>
        </w:rPr>
        <w:t xml:space="preserve">An audit should recognise strength as clearly as it flags risk. The following practices met or exceeded the network standard:</w:t>
      </w:r>
    </w:p>
    <w:p>
      <w:pPr>
        <w:spacing w:after="80"/>
      </w:pPr>
    </w:p>
    <w:p>
      <w:pPr>
        <w:pStyle w:val="ListParagraph"/>
        <w:numPr>
          <w:ilvl w:val="0"/>
          <w:numId w:val="1"/>
        </w:numPr>
        <w:spacing w:after="80"/>
      </w:pPr>
      <w:r>
        <w:rPr>
          <w:rFonts w:ascii="Calibri" w:cs="Calibri" w:eastAsia="Calibri" w:hAnsi="Calibri"/>
          <w:color w:val="1F2D2B"/>
          <w:sz w:val="20"/>
          <w:szCs w:val="20"/>
        </w:rPr>
        <w:t xml:space="preserve">Planogram compliance in footwear and pack zones was excellent — among the best executions we've seen in this network</w:t>
      </w:r>
    </w:p>
    <w:p>
      <w:pPr>
        <w:pStyle w:val="ListParagraph"/>
        <w:numPr>
          <w:ilvl w:val="0"/>
          <w:numId w:val="1"/>
        </w:numPr>
        <w:spacing w:after="80"/>
      </w:pPr>
      <w:r>
        <w:rPr>
          <w:rFonts w:ascii="Calibri" w:cs="Calibri" w:eastAsia="Calibri" w:hAnsi="Calibri"/>
          <w:color w:val="1F2D2B"/>
          <w:sz w:val="20"/>
          <w:szCs w:val="20"/>
        </w:rPr>
        <w:t xml:space="preserve">Store cleanliness and product care are of a high standard, including fitting rooms</w:t>
      </w:r>
    </w:p>
    <w:p>
      <w:pPr>
        <w:pStyle w:val="ListParagraph"/>
        <w:numPr>
          <w:ilvl w:val="0"/>
          <w:numId w:val="1"/>
        </w:numPr>
        <w:spacing w:after="80"/>
      </w:pPr>
      <w:r>
        <w:rPr>
          <w:rFonts w:ascii="Calibri" w:cs="Calibri" w:eastAsia="Calibri" w:hAnsi="Calibri"/>
          <w:color w:val="1F2D2B"/>
          <w:sz w:val="20"/>
          <w:szCs w:val="20"/>
        </w:rPr>
        <w:t xml:space="preserve">The team's product knowledge is a genuine brand asset — observed advice on the floor was expert and honest</w:t>
      </w:r>
    </w:p>
    <w:p>
      <w:pPr>
        <w:pStyle w:val="ListParagraph"/>
        <w:numPr>
          <w:ilvl w:val="0"/>
          <w:numId w:val="1"/>
        </w:numPr>
        <w:spacing w:after="80"/>
      </w:pPr>
      <w:r>
        <w:rPr>
          <w:rFonts w:ascii="Calibri" w:cs="Calibri" w:eastAsia="Calibri" w:hAnsi="Calibri"/>
          <w:color w:val="1F2D2B"/>
          <w:sz w:val="20"/>
          <w:szCs w:val="20"/>
        </w:rPr>
        <w:t xml:space="preserve">Loyalty program presentation at the register was consistent and well executed</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6</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REMEDIATION ROADMAP</w:t>
            </w:r>
          </w:p>
        </w:tc>
      </w:tr>
    </w:tbl>
    <w:p>
      <w:pPr>
        <w:spacing w:after="160"/>
      </w:pPr>
    </w:p>
    <w:p>
      <w:pPr>
        <w:spacing w:after="160"/>
      </w:pPr>
      <w:r>
        <w:rPr>
          <w:rFonts w:ascii="Calibri" w:cs="Calibri" w:eastAsia="Calibri" w:hAnsi="Calibri"/>
          <w:color w:val="1F2D2B"/>
          <w:sz w:val="20"/>
          <w:szCs w:val="20"/>
        </w:rPr>
        <w:t xml:space="preserve">Actions are sequenced by risk. Maintain Audits can verify closure of each item through a follow-up desktop review or re-inspection.</w:t>
      </w:r>
    </w:p>
    <w:p>
      <w:pPr>
        <w:spacing w:after="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3846"/>
        <w:gridCol w:w="2900"/>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38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w:t>
            </w:r>
          </w:p>
        </w:tc>
        <w:tc>
          <w:tcPr>
            <w:tcW w:type="dxa" w:w="29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Owner</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Due</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BR-01</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Replace all ticketing with brand print kit</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store manager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BR-02</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Remove unapproved SKUs; lodge range submission if desired</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BR-03</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Complete campaign changeover; adopt photo sign-off process</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Store manager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BR-04</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Team uniform reset; badge reissue</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Store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BR-05</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Fix GBP hours; migrate Instagram to approved template program</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Store manager / network marketing</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BR-06</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Restore brand audio; add to opening checklist</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Store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90 days</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7</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NEXT STEPS &amp; ONGOING MONITORING</w:t>
            </w:r>
          </w:p>
        </w:tc>
      </w:tr>
    </w:tbl>
    <w:p>
      <w:pPr>
        <w:spacing w:after="160"/>
      </w:pPr>
    </w:p>
    <w:p>
      <w:pPr>
        <w:pStyle w:val="ListParagraph"/>
        <w:numPr>
          <w:ilvl w:val="0"/>
          <w:numId w:val="1"/>
        </w:numPr>
        <w:spacing w:after="80"/>
      </w:pPr>
      <w:r>
        <w:rPr>
          <w:rFonts w:ascii="Calibri" w:cs="Calibri" w:eastAsia="Calibri" w:hAnsi="Calibri"/>
          <w:color w:val="1F2D2B"/>
          <w:sz w:val="20"/>
          <w:szCs w:val="20"/>
        </w:rPr>
        <w:t xml:space="preserve">Photo evidence of BR-01, BR-02, BR-03 closure to Maintain Audits within 14 days for desktop verification</w:t>
      </w:r>
    </w:p>
    <w:p>
      <w:pPr>
        <w:pStyle w:val="ListParagraph"/>
        <w:numPr>
          <w:ilvl w:val="0"/>
          <w:numId w:val="1"/>
        </w:numPr>
        <w:spacing w:after="80"/>
      </w:pPr>
      <w:r>
        <w:rPr>
          <w:rFonts w:ascii="Calibri" w:cs="Calibri" w:eastAsia="Calibri" w:hAnsi="Calibri"/>
          <w:color w:val="1F2D2B"/>
          <w:sz w:val="20"/>
          <w:szCs w:val="20"/>
        </w:rPr>
        <w:t xml:space="preserve">Suggested follow-up mystery shop in 60 days to confirm the customer-facing impression has lifted</w:t>
      </w:r>
    </w:p>
    <w:p>
      <w:pPr>
        <w:pStyle w:val="ListParagraph"/>
        <w:numPr>
          <w:ilvl w:val="0"/>
          <w:numId w:val="1"/>
        </w:numPr>
        <w:spacing w:after="80"/>
      </w:pPr>
      <w:r>
        <w:rPr>
          <w:rFonts w:ascii="Calibri" w:cs="Calibri" w:eastAsia="Calibri" w:hAnsi="Calibri"/>
          <w:color w:val="1F2D2B"/>
          <w:sz w:val="20"/>
          <w:szCs w:val="20"/>
        </w:rPr>
        <w:t xml:space="preserve">Range submission channel available if the franchisee wishes to pursue the hydration category gap</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20"/>
              <w:left w:type="dxa" w:w="180"/>
              <w:bottom w:type="dxa" w:w="120"/>
              <w:right w:type="dxa" w:w="180"/>
            </w:tcMar>
          </w:tcPr>
          <w:p>
            <w:pPr>
              <w:jc w:val="center"/>
            </w:pPr>
            <w:r>
              <w:rPr>
                <w:rFonts w:ascii="Calibri" w:cs="Calibri" w:eastAsia="Calibri" w:hAnsi="Calibri"/>
                <w:b/>
                <w:bCs/>
                <w:color w:val="FFFFFF"/>
                <w:sz w:val="18"/>
                <w:szCs w:val="18"/>
              </w:rPr>
              <w:t xml:space="preserve">Questions about this report:  info@maintainaudits.com.au  ·  +61 414 530 836  ·  maintainaudits.com.au</w:t>
            </w:r>
          </w:p>
        </w:tc>
      </w:tr>
    </w:tbl>
    <w:p>
      <w:pPr>
        <w:spacing w:after="160"/>
      </w:pPr>
    </w:p>
    <w:p>
      <w:pPr>
        <w:spacing w:after="0"/>
        <w:jc w:val="center"/>
      </w:pPr>
      <w:r>
        <w:rPr>
          <w:rFonts w:ascii="Calibri" w:cs="Calibri" w:eastAsia="Calibri" w:hAnsi="Calibri"/>
          <w:color w:val="64748B"/>
          <w:sz w:val="16"/>
          <w:szCs w:val="16"/>
        </w:rPr>
        <w:t xml:space="preserve">This report is a sample document prepared by Maintain Audits, a division of Maintain Technology, for demonstration purposes. All client names, locations, personnel, and findings are fictional. Actual audit reports are prepared under our engagement terms and are confidential to the client. This document does not constitute legal, financial, or professional compliance advice.</w:t>
      </w:r>
    </w:p>
    <w:sectPr>
      <w:headerReference w:type="default" r:id="rId7"/>
      <w:footerReference w:type="default" r:id="rId8"/>
      <w:pgSz w:w="11906" w:h="16838"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7017"/>
      <w:gridCol w:w="2728"/>
    </w:tblGrid>
    <w:tr>
      <w:tc>
        <w:tcPr>
          <w:tcBorders>
            <w:top w:val="single" w:color="D1D5DB"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5"/>
              <w:szCs w:val="15"/>
            </w:rPr>
            <w:t xml:space="preserve">info@maintainaudits.com.au  ·  +61 414 530 836  ·  Commercial in confidence</w:t>
          </w:r>
        </w:p>
      </w:tc>
      <w:tc>
        <w:tcPr>
          <w:tcBorders>
            <w:top w:val="single" w:color="D1D5DB"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pPr>
          <w:r>
            <w:drawing>
              <wp:inline distT="0" distB="0" distL="0" distR="0">
                <wp:extent cx="1571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333375"/>
                        </a:xfrm>
                        <a:prstGeom prst="rect">
                          <a:avLst/>
                        </a:prstGeom>
                      </pic:spPr>
                    </pic:pic>
                  </a:graphicData>
                </a:graphic>
              </wp:inline>
            </w:drawing>
          </w:r>
        </w:p>
      </w:tc>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jc w:val="right"/>
          </w:pPr>
          <w:r>
            <w:rPr>
              <w:rFonts w:ascii="Calibri" w:cs="Calibri" w:eastAsia="Calibri" w:hAnsi="Calibri"/>
              <w:color w:val="64748B"/>
              <w:sz w:val="16"/>
              <w:szCs w:val="16"/>
            </w:rPr>
            <w:t xml:space="preserve">maintainaudits.com.au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07068a7a05d12855cc321fb89b42588d38c6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fb012c0e5f1fd6ddfd9ec97ae36ee101a2ab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2026-07-14T02:29:13.703Z</dcterms:created>
  <dcterms:modified xsi:type="dcterms:W3CDTF">2026-07-14T02:29:13.703Z</dcterms:modified>
</cp:coreProperties>
</file>

<file path=docProps/custom.xml><?xml version="1.0" encoding="utf-8"?>
<Properties xmlns="http://schemas.openxmlformats.org/officeDocument/2006/custom-properties" xmlns:vt="http://schemas.openxmlformats.org/officeDocument/2006/docPropsVTypes"/>
</file>