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drawing>
          <wp:inline distT="0" distB="0" distL="0" distR="0">
            <wp:extent cx="7562850" cy="1069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inline>
        </w:drawing>
      </w:r>
    </w:p>
    <w:p>
      <w:pPr>
        <w:sectPr>
          <w:pgSz w:w="11906" w:h="16838" w:orient="portrait"/>
          <w:pgMar w:top="0" w:right="0" w:bottom="0" w:left="0" w:header="0" w:footer="0" w:gutter="0"/>
          <w:pgNumType/>
          <w:docGrid w:linePitch="360"/>
        </w:sectPr>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2800"/>
        <w:gridCol w:w="6946"/>
      </w:tblGrid>
      <w:tr>
        <w:tc>
          <w:tcPr>
            <w:tcW w:type="dxa" w:w="28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8"/>
                <w:szCs w:val="18"/>
              </w:rPr>
              <w:t xml:space="preserve">Client (fictional)</w:t>
            </w:r>
          </w:p>
        </w:tc>
        <w:tc>
          <w:tcPr>
            <w:tcW w:type="dxa" w:w="6946"/>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Glow Wellness Studio (fictional network)</w:t>
            </w:r>
          </w:p>
        </w:tc>
      </w:tr>
      <w:tr>
        <w:tc>
          <w:tcPr>
            <w:tcW w:type="dxa" w:w="2800"/>
            <w:tcBorders>
              <w:top w:val="none" w:color="FFFFFF" w:sz="0"/>
              <w:left w:val="none" w:color="FFFFFF" w:sz="0"/>
              <w:bottom w:val="none" w:color="FFFFFF" w:sz="0"/>
              <w:right w:val="none" w:color="FFFFFF" w:sz="0"/>
            </w:tcBorders>
            <w:shd w:fill="0A3540"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8"/>
                <w:szCs w:val="18"/>
              </w:rPr>
              <w:t xml:space="preserve">Location</w:t>
            </w:r>
          </w:p>
        </w:tc>
        <w:tc>
          <w:tcPr>
            <w:tcW w:type="dxa" w:w="69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Rundle Place, Adelaide, SA</w:t>
            </w:r>
          </w:p>
        </w:tc>
      </w:tr>
      <w:tr>
        <w:tc>
          <w:tcPr>
            <w:tcW w:type="dxa" w:w="28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8"/>
                <w:szCs w:val="18"/>
              </w:rPr>
              <w:t xml:space="preserve">Audit type</w:t>
            </w:r>
          </w:p>
        </w:tc>
        <w:tc>
          <w:tcPr>
            <w:tcW w:type="dxa" w:w="6946"/>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Customer Experience Audit</w:t>
            </w:r>
          </w:p>
        </w:tc>
      </w:tr>
      <w:tr>
        <w:tc>
          <w:tcPr>
            <w:tcW w:type="dxa" w:w="2800"/>
            <w:tcBorders>
              <w:top w:val="none" w:color="FFFFFF" w:sz="0"/>
              <w:left w:val="none" w:color="FFFFFF" w:sz="0"/>
              <w:bottom w:val="none" w:color="FFFFFF" w:sz="0"/>
              <w:right w:val="none" w:color="FFFFFF" w:sz="0"/>
            </w:tcBorders>
            <w:shd w:fill="0A3540"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8"/>
                <w:szCs w:val="18"/>
              </w:rPr>
              <w:t xml:space="preserve">Audit conducted</w:t>
            </w:r>
          </w:p>
        </w:tc>
        <w:tc>
          <w:tcPr>
            <w:tcW w:type="dxa" w:w="69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22 June – 3 July 2026 (3 visits + benchmarking)</w:t>
            </w:r>
          </w:p>
        </w:tc>
      </w:tr>
      <w:tr>
        <w:tc>
          <w:tcPr>
            <w:tcW w:type="dxa" w:w="28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8"/>
                <w:szCs w:val="18"/>
              </w:rPr>
              <w:t xml:space="preserve">Report issued</w:t>
            </w:r>
          </w:p>
        </w:tc>
        <w:tc>
          <w:tcPr>
            <w:tcW w:type="dxa" w:w="6946"/>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6 July 2026 (48-hour turnaround)</w:t>
            </w:r>
          </w:p>
        </w:tc>
      </w:tr>
      <w:tr>
        <w:tc>
          <w:tcPr>
            <w:tcW w:type="dxa" w:w="2800"/>
            <w:tcBorders>
              <w:top w:val="none" w:color="FFFFFF" w:sz="0"/>
              <w:left w:val="none" w:color="FFFFFF" w:sz="0"/>
              <w:bottom w:val="none" w:color="FFFFFF" w:sz="0"/>
              <w:right w:val="none" w:color="FFFFFF" w:sz="0"/>
            </w:tcBorders>
            <w:shd w:fill="0A3540"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8"/>
                <w:szCs w:val="18"/>
              </w:rPr>
              <w:t xml:space="preserve">Lead auditor</w:t>
            </w:r>
          </w:p>
        </w:tc>
        <w:tc>
          <w:tcPr>
            <w:tcW w:type="dxa" w:w="69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T. Nguyen, CX Program Lead — Maintain Audits</w:t>
            </w:r>
          </w:p>
        </w:tc>
      </w:tr>
      <w:tr>
        <w:tc>
          <w:tcPr>
            <w:tcW w:type="dxa" w:w="28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8"/>
                <w:szCs w:val="18"/>
              </w:rPr>
              <w:t xml:space="preserve">Report reference</w:t>
            </w:r>
          </w:p>
        </w:tc>
        <w:tc>
          <w:tcPr>
            <w:tcW w:type="dxa" w:w="6946"/>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MA-2026-CX-0119</w:t>
            </w:r>
          </w:p>
        </w:tc>
      </w:tr>
      <w:tr>
        <w:tc>
          <w:tcPr>
            <w:tcW w:type="dxa" w:w="2800"/>
            <w:tcBorders>
              <w:top w:val="none" w:color="FFFFFF" w:sz="0"/>
              <w:left w:val="none" w:color="FFFFFF" w:sz="0"/>
              <w:bottom w:val="none" w:color="FFFFFF" w:sz="0"/>
              <w:right w:val="none" w:color="FFFFFF" w:sz="0"/>
            </w:tcBorders>
            <w:shd w:fill="0A3540"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8"/>
                <w:szCs w:val="18"/>
              </w:rPr>
              <w:t xml:space="preserve">Distribution</w:t>
            </w:r>
          </w:p>
        </w:tc>
        <w:tc>
          <w:tcPr>
            <w:tcW w:type="dxa" w:w="69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Franchisor head office; franchisee principal — Commercial in confidence</w:t>
            </w:r>
          </w:p>
        </w:tc>
      </w:tr>
    </w:tbl>
    <w:p>
      <w:pPr>
        <w:spacing w:after="20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Borders>
              <w:top w:val="single" w:color="F59E0B" w:sz="4"/>
              <w:left w:val="single" w:color="F59E0B" w:sz="12"/>
              <w:bottom w:val="single" w:color="F59E0B" w:sz="4"/>
              <w:right w:val="none" w:color="FFFFFF" w:sz="0"/>
            </w:tcBorders>
            <w:shd w:fill="FEF9C3" w:color="auto" w:val="clear"/>
            <w:tcMar>
              <w:top w:type="dxa" w:w="100"/>
              <w:left w:type="dxa" w:w="160"/>
              <w:bottom w:type="dxa" w:w="100"/>
              <w:right w:type="dxa" w:w="160"/>
            </w:tcMar>
          </w:tcPr>
          <w:p>
            <w:pPr>
              <w:jc w:val="center"/>
            </w:pPr>
            <w:r>
              <w:rPr>
                <w:rFonts w:ascii="Calibri" w:cs="Calibri" w:eastAsia="Calibri" w:hAnsi="Calibri"/>
                <w:b/>
                <w:bCs/>
                <w:color w:val="854D0E"/>
                <w:sz w:val="17"/>
                <w:szCs w:val="17"/>
              </w:rPr>
              <w:t xml:space="preserve">SAMPLE DOCUMENT — all client details and findings are fictional, prepared to demonstrate Maintain Audits' reporting format.</w:t>
            </w:r>
          </w:p>
        </w:tc>
      </w:tr>
    </w:tbl>
    <w:p>
      <w:pPr>
        <w:spacing w:after="24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07272D" w:color="auto" w:val="clear"/>
            <w:tcMar>
              <w:top w:type="dxa" w:w="110"/>
              <w:left w:type="dxa" w:w="180"/>
              <w:bottom w:type="dxa" w:w="110"/>
              <w:right w:type="dxa" w:w="180"/>
            </w:tcMar>
          </w:tcPr>
          <w:p>
            <w:pPr>
              <w:spacing w:after="0" w:before="0"/>
            </w:pPr>
            <w:r>
              <w:rPr>
                <w:rFonts w:ascii="Calibri" w:cs="Calibri" w:eastAsia="Calibri" w:hAnsi="Calibri"/>
                <w:b/>
                <w:bCs/>
                <w:color w:val="06F285"/>
                <w:sz w:val="15"/>
                <w:szCs w:val="15"/>
              </w:rPr>
              <w:t xml:space="preserve">SECTION 1</w:t>
            </w:r>
            <w:r>
              <w:rPr>
                <w:rFonts w:ascii="Calibri" w:cs="Calibri" w:eastAsia="Calibri" w:hAnsi="Calibri"/>
                <w:color w:val="3A6B52"/>
                <w:sz w:val="15"/>
                <w:szCs w:val="15"/>
              </w:rPr>
              <w:t xml:space="preserve">   │   </w:t>
            </w:r>
            <w:r>
              <w:rPr>
                <w:rFonts w:ascii="Calibri" w:cs="Calibri" w:eastAsia="Calibri" w:hAnsi="Calibri"/>
                <w:b/>
                <w:bCs/>
                <w:color w:val="FFFFFF"/>
                <w:sz w:val="20"/>
                <w:szCs w:val="20"/>
              </w:rPr>
              <w:t xml:space="preserve">EXECUTIVE SUMMARY</w:t>
            </w:r>
          </w:p>
        </w:tc>
      </w:tr>
    </w:tbl>
    <w:p>
      <w:pPr>
        <w:spacing w:after="160"/>
      </w:pPr>
    </w:p>
    <w:p>
      <w:pPr>
        <w:spacing w:after="160"/>
      </w:pPr>
      <w:r>
        <w:rPr>
          <w:rFonts w:ascii="Calibri" w:cs="Calibri" w:eastAsia="Calibri" w:hAnsi="Calibri"/>
          <w:color w:val="1F2D2B"/>
          <w:sz w:val="20"/>
          <w:szCs w:val="20"/>
        </w:rPr>
        <w:t xml:space="preserve">Three mystery evaluations (two in-studio treatments, one phone/online booking journey) and an NPS benchmark were conducted at Glow Adelaide over a two-week window. The studio delivers genuinely excellent in-treatment experiences — both therapists scored in the network's top decile for treatment quality — but is losing customers before and after the treatment itself.</w:t>
      </w:r>
    </w:p>
    <w:p>
      <w:pPr>
        <w:spacing w:after="160"/>
      </w:pPr>
      <w:r>
        <w:rPr>
          <w:rFonts w:ascii="Calibri" w:cs="Calibri" w:eastAsia="Calibri" w:hAnsi="Calibri"/>
          <w:color w:val="1F2D2B"/>
          <w:sz w:val="20"/>
          <w:szCs w:val="20"/>
        </w:rPr>
        <w:t xml:space="preserve">The booking journey is the standout problem: our evaluator's first call went to voicemail and was never returned (a lost booking in a real scenario), the online booking system offered no availability for 9 days while walk-in slots existed the same afternoon, and no shopper received any post-visit follow-up or rebooking prompt.</w:t>
      </w:r>
    </w:p>
    <w:p>
      <w:pPr>
        <w:spacing w:after="160"/>
      </w:pPr>
      <w:r>
        <w:rPr>
          <w:rFonts w:ascii="Calibri" w:cs="Calibri" w:eastAsia="Calibri" w:hAnsi="Calibri"/>
          <w:color w:val="1F2D2B"/>
          <w:sz w:val="20"/>
          <w:szCs w:val="20"/>
        </w:rPr>
        <w:t xml:space="preserve">Overall CX score: 72% against the network standard of 85%. The studio's NPS of +31 sits below the network median of +44 — a gap fully explained by the pre- and post-treatment journey, not the service itself. This is an encouraging finding: the hard part (the treatment) is excellent; the fixable part (the journey around it) is process.</w:t>
      </w:r>
    </w:p>
    <w:p>
      <w:pPr>
        <w:spacing w:after="80"/>
      </w:pPr>
    </w:p>
    <w:p>
      <w:pPr>
        <w:pBdr>
          <w:bottom w:val="single" w:color="06F285" w:sz="4"/>
        </w:pBdr>
        <w:spacing w:after="100" w:before="240"/>
      </w:pPr>
      <w:r>
        <w:rPr>
          <w:rFonts w:ascii="Calibri" w:cs="Calibri" w:eastAsia="Calibri" w:hAnsi="Calibri"/>
          <w:b/>
          <w:bCs/>
          <w:color w:val="07272D"/>
          <w:sz w:val="22"/>
          <w:szCs w:val="22"/>
        </w:rPr>
        <w:t xml:space="preserve">Overall Result</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3500"/>
        <w:gridCol w:w="6246"/>
      </w:tblGrid>
      <w:tr>
        <w:tc>
          <w:tcPr>
            <w:tcW w:type="dxa" w:w="35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Measure</w:t>
            </w:r>
          </w:p>
        </w:tc>
        <w:tc>
          <w:tcPr>
            <w:tcW w:type="dxa" w:w="6246"/>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Result</w:t>
            </w:r>
          </w:p>
        </w:tc>
      </w:tr>
      <w:tr>
        <w:tc>
          <w:tcPr>
            <w:tcW w:type="dxa" w:w="3500"/>
            <w:tcBorders>
              <w:top w:val="none" w:color="FFFFFF" w:sz="0"/>
              <w:left w:val="none" w:color="FFFFFF" w:sz="0"/>
              <w:bottom w:val="none" w:color="FFFFFF" w:sz="0"/>
              <w:right w:val="none" w:color="FFFFFF" w:sz="0"/>
            </w:tcBorders>
            <w:shd w:fill="0D3D48"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FFFFFF"/>
                <w:sz w:val="18"/>
                <w:szCs w:val="18"/>
              </w:rPr>
              <w:t xml:space="preserve">Overall compliance score</w:t>
            </w:r>
          </w:p>
        </w:tc>
        <w:tc>
          <w:tcPr>
            <w:tcW w:type="dxa" w:w="62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72% composite CX score (network standard ≥ 85%); NPS +31 vs network median +44</w:t>
            </w:r>
          </w:p>
        </w:tc>
      </w:tr>
      <w:tr>
        <w:tc>
          <w:tcPr>
            <w:tcW w:type="dxa" w:w="3500"/>
            <w:tcBorders>
              <w:top w:val="none" w:color="FFFFFF" w:sz="0"/>
              <w:left w:val="none" w:color="FFFFFF" w:sz="0"/>
              <w:bottom w:val="none" w:color="FFFFFF" w:sz="0"/>
              <w:right w:val="none" w:color="FFFFFF" w:sz="0"/>
            </w:tcBorders>
            <w:shd w:fill="0A354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FFFFFF"/>
                <w:sz w:val="18"/>
                <w:szCs w:val="18"/>
              </w:rPr>
              <w:t xml:space="preserve">Overall rating</w:t>
            </w:r>
          </w:p>
        </w:tc>
        <w:tc>
          <w:tcPr>
            <w:tcW w:type="dxa" w:w="6246"/>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Medium</w:t>
            </w:r>
          </w:p>
        </w:tc>
      </w:tr>
      <w:tr>
        <w:tc>
          <w:tcPr>
            <w:tcW w:type="dxa" w:w="3500"/>
            <w:tcBorders>
              <w:top w:val="none" w:color="FFFFFF" w:sz="0"/>
              <w:left w:val="none" w:color="FFFFFF" w:sz="0"/>
              <w:bottom w:val="none" w:color="FFFFFF" w:sz="0"/>
              <w:right w:val="none" w:color="FFFFFF" w:sz="0"/>
            </w:tcBorders>
            <w:shd w:fill="0D3D48"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FFFFFF"/>
                <w:sz w:val="18"/>
                <w:szCs w:val="18"/>
              </w:rPr>
              <w:t xml:space="preserve">Findings raised</w:t>
            </w:r>
          </w:p>
        </w:tc>
        <w:tc>
          <w:tcPr>
            <w:tcW w:type="dxa" w:w="62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6</w:t>
            </w:r>
          </w:p>
        </w:tc>
      </w:tr>
      <w:tr>
        <w:tc>
          <w:tcPr>
            <w:tcW w:type="dxa" w:w="3500"/>
            <w:tcBorders>
              <w:top w:val="none" w:color="FFFFFF" w:sz="0"/>
              <w:left w:val="none" w:color="FFFFFF" w:sz="0"/>
              <w:bottom w:val="none" w:color="FFFFFF" w:sz="0"/>
              <w:right w:val="none" w:color="FFFFFF" w:sz="0"/>
            </w:tcBorders>
            <w:shd w:fill="0A354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FFFFFF"/>
                <w:sz w:val="18"/>
                <w:szCs w:val="18"/>
              </w:rPr>
              <w:t xml:space="preserve">Most urgent action due</w:t>
            </w:r>
          </w:p>
        </w:tc>
        <w:tc>
          <w:tcPr>
            <w:tcW w:type="dxa" w:w="6246"/>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Voicemail/missed-call handling (CX-01) — within 7 days</w:t>
            </w:r>
          </w:p>
        </w:tc>
      </w:tr>
    </w:tbl>
    <w:p>
      <w:pPr>
        <w:spacing w:after="160"/>
      </w:pPr>
    </w:p>
    <w:p>
      <w:pPr>
        <w:pBdr>
          <w:bottom w:val="single" w:color="06F285" w:sz="4"/>
        </w:pBdr>
        <w:spacing w:after="100" w:before="240"/>
      </w:pPr>
      <w:r>
        <w:rPr>
          <w:rFonts w:ascii="Calibri" w:cs="Calibri" w:eastAsia="Calibri" w:hAnsi="Calibri"/>
          <w:b/>
          <w:bCs/>
          <w:color w:val="07272D"/>
          <w:sz w:val="22"/>
          <w:szCs w:val="22"/>
        </w:rPr>
        <w:t xml:space="preserve">Findings by Risk Rating</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2500"/>
        <w:gridCol w:w="7246"/>
      </w:tblGrid>
      <w:tr>
        <w:tc>
          <w:tcPr>
            <w:tcW w:type="dxa" w:w="25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Rating</w:t>
            </w:r>
          </w:p>
        </w:tc>
        <w:tc>
          <w:tcPr>
            <w:tcW w:type="dxa" w:w="7246"/>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Count</w:t>
            </w:r>
          </w:p>
        </w:tc>
      </w:tr>
      <w:tr>
        <w:tc>
          <w:tcPr>
            <w:tcW w:type="dxa" w:w="2500"/>
            <w:tcBorders>
              <w:top w:val="none" w:color="FFFFFF" w:sz="0"/>
              <w:left w:val="none" w:color="FFFFFF" w:sz="0"/>
              <w:bottom w:val="none" w:color="FFFFFF" w:sz="0"/>
              <w:right w:val="none" w:color="FFFFFF" w:sz="0"/>
            </w:tcBorders>
            <w:shd w:fill="FFEDD5"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9A3412"/>
                <w:sz w:val="18"/>
                <w:szCs w:val="18"/>
              </w:rPr>
              <w:t xml:space="preserve">High</w:t>
            </w:r>
          </w:p>
        </w:tc>
        <w:tc>
          <w:tcPr>
            <w:tcW w:type="dxa" w:w="7246"/>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3</w:t>
            </w:r>
          </w:p>
        </w:tc>
      </w:tr>
      <w:tr>
        <w:tc>
          <w:tcPr>
            <w:tcW w:type="dxa" w:w="2500"/>
            <w:tcBorders>
              <w:top w:val="none" w:color="FFFFFF" w:sz="0"/>
              <w:left w:val="none" w:color="FFFFFF" w:sz="0"/>
              <w:bottom w:val="none" w:color="FFFFFF" w:sz="0"/>
              <w:right w:val="none" w:color="FFFFFF" w:sz="0"/>
            </w:tcBorders>
            <w:shd w:fill="FEF9C3"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854D0E"/>
                <w:sz w:val="18"/>
                <w:szCs w:val="18"/>
              </w:rPr>
              <w:t xml:space="preserve">Medium</w:t>
            </w:r>
          </w:p>
        </w:tc>
        <w:tc>
          <w:tcPr>
            <w:tcW w:type="dxa" w:w="72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2</w:t>
            </w:r>
          </w:p>
        </w:tc>
      </w:tr>
      <w:tr>
        <w:tc>
          <w:tcPr>
            <w:tcW w:type="dxa" w:w="2500"/>
            <w:tcBorders>
              <w:top w:val="none" w:color="FFFFFF" w:sz="0"/>
              <w:left w:val="none" w:color="FFFFFF" w:sz="0"/>
              <w:bottom w:val="none" w:color="FFFFFF" w:sz="0"/>
              <w:right w:val="none" w:color="FFFFFF" w:sz="0"/>
            </w:tcBorders>
            <w:shd w:fill="DBEAFE"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1E40AF"/>
                <w:sz w:val="18"/>
                <w:szCs w:val="18"/>
              </w:rPr>
              <w:t xml:space="preserve">Observation</w:t>
            </w:r>
          </w:p>
        </w:tc>
        <w:tc>
          <w:tcPr>
            <w:tcW w:type="dxa" w:w="7246"/>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1</w:t>
            </w:r>
          </w:p>
        </w:tc>
      </w:tr>
    </w:tbl>
    <w:p>
      <w:pPr>
        <w:spacing w:after="24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07272D" w:color="auto" w:val="clear"/>
            <w:tcMar>
              <w:top w:type="dxa" w:w="110"/>
              <w:left w:type="dxa" w:w="180"/>
              <w:bottom w:type="dxa" w:w="110"/>
              <w:right w:type="dxa" w:w="180"/>
            </w:tcMar>
          </w:tcPr>
          <w:p>
            <w:pPr>
              <w:spacing w:after="0" w:before="0"/>
            </w:pPr>
            <w:r>
              <w:rPr>
                <w:rFonts w:ascii="Calibri" w:cs="Calibri" w:eastAsia="Calibri" w:hAnsi="Calibri"/>
                <w:b/>
                <w:bCs/>
                <w:color w:val="06F285"/>
                <w:sz w:val="15"/>
                <w:szCs w:val="15"/>
              </w:rPr>
              <w:t xml:space="preserve">SECTION 2</w:t>
            </w:r>
            <w:r>
              <w:rPr>
                <w:rFonts w:ascii="Calibri" w:cs="Calibri" w:eastAsia="Calibri" w:hAnsi="Calibri"/>
                <w:color w:val="3A6B52"/>
                <w:sz w:val="15"/>
                <w:szCs w:val="15"/>
              </w:rPr>
              <w:t xml:space="preserve">   │   </w:t>
            </w:r>
            <w:r>
              <w:rPr>
                <w:rFonts w:ascii="Calibri" w:cs="Calibri" w:eastAsia="Calibri" w:hAnsi="Calibri"/>
                <w:b/>
                <w:bCs/>
                <w:color w:val="FFFFFF"/>
                <w:sz w:val="20"/>
                <w:szCs w:val="20"/>
              </w:rPr>
              <w:t xml:space="preserve">SCOPE &amp; METHODOLOGY</w:t>
            </w:r>
          </w:p>
        </w:tc>
      </w:tr>
    </w:tbl>
    <w:p>
      <w:pPr>
        <w:spacing w:after="160"/>
      </w:pPr>
    </w:p>
    <w:p>
      <w:pPr>
        <w:spacing w:after="160"/>
      </w:pPr>
      <w:r>
        <w:rPr>
          <w:rFonts w:ascii="Calibri" w:cs="Calibri" w:eastAsia="Calibri" w:hAnsi="Calibri"/>
          <w:color w:val="1F2D2B"/>
          <w:sz w:val="20"/>
          <w:szCs w:val="20"/>
        </w:rPr>
        <w:t xml:space="preserve">A customer experience assessment combining structured mystery evaluations, booking-journey testing, and NPS benchmarking against the Glow network CX standard v2.</w:t>
      </w:r>
    </w:p>
    <w:p>
      <w:pPr>
        <w:spacing w:after="80"/>
      </w:pPr>
    </w:p>
    <w:p>
      <w:pPr>
        <w:pBdr>
          <w:bottom w:val="single" w:color="06F285" w:sz="4"/>
        </w:pBdr>
        <w:spacing w:after="100" w:before="240"/>
      </w:pPr>
      <w:r>
        <w:rPr>
          <w:rFonts w:ascii="Calibri" w:cs="Calibri" w:eastAsia="Calibri" w:hAnsi="Calibri"/>
          <w:b/>
          <w:bCs/>
          <w:color w:val="07272D"/>
          <w:sz w:val="22"/>
          <w:szCs w:val="22"/>
        </w:rPr>
        <w:t xml:space="preserve">In Scope</w:t>
      </w:r>
    </w:p>
    <w:p>
      <w:pPr>
        <w:pStyle w:val="ListParagraph"/>
        <w:numPr>
          <w:ilvl w:val="0"/>
          <w:numId w:val="1"/>
        </w:numPr>
        <w:spacing w:after="80"/>
      </w:pPr>
      <w:r>
        <w:rPr>
          <w:rFonts w:ascii="Calibri" w:cs="Calibri" w:eastAsia="Calibri" w:hAnsi="Calibri"/>
          <w:color w:val="1F2D2B"/>
          <w:sz w:val="20"/>
          <w:szCs w:val="20"/>
        </w:rPr>
        <w:t xml:space="preserve">Booking journey — phone, online, and walk-in enquiry handling</w:t>
      </w:r>
    </w:p>
    <w:p>
      <w:pPr>
        <w:pStyle w:val="ListParagraph"/>
        <w:numPr>
          <w:ilvl w:val="0"/>
          <w:numId w:val="1"/>
        </w:numPr>
        <w:spacing w:after="80"/>
      </w:pPr>
      <w:r>
        <w:rPr>
          <w:rFonts w:ascii="Calibri" w:cs="Calibri" w:eastAsia="Calibri" w:hAnsi="Calibri"/>
          <w:color w:val="1F2D2B"/>
          <w:sz w:val="20"/>
          <w:szCs w:val="20"/>
        </w:rPr>
        <w:t xml:space="preserve">Arrival and welcome experience, consultation quality, treatment delivery</w:t>
      </w:r>
    </w:p>
    <w:p>
      <w:pPr>
        <w:pStyle w:val="ListParagraph"/>
        <w:numPr>
          <w:ilvl w:val="0"/>
          <w:numId w:val="1"/>
        </w:numPr>
        <w:spacing w:after="80"/>
      </w:pPr>
      <w:r>
        <w:rPr>
          <w:rFonts w:ascii="Calibri" w:cs="Calibri" w:eastAsia="Calibri" w:hAnsi="Calibri"/>
          <w:color w:val="1F2D2B"/>
          <w:sz w:val="20"/>
          <w:szCs w:val="20"/>
        </w:rPr>
        <w:t xml:space="preserve">Retail recommendation and checkout experience</w:t>
      </w:r>
    </w:p>
    <w:p>
      <w:pPr>
        <w:pStyle w:val="ListParagraph"/>
        <w:numPr>
          <w:ilvl w:val="0"/>
          <w:numId w:val="1"/>
        </w:numPr>
        <w:spacing w:after="80"/>
      </w:pPr>
      <w:r>
        <w:rPr>
          <w:rFonts w:ascii="Calibri" w:cs="Calibri" w:eastAsia="Calibri" w:hAnsi="Calibri"/>
          <w:color w:val="1F2D2B"/>
          <w:sz w:val="20"/>
          <w:szCs w:val="20"/>
        </w:rPr>
        <w:t xml:space="preserve">Post-visit follow-up, rebooking prompts, and complaint handling responsiveness</w:t>
      </w:r>
    </w:p>
    <w:p>
      <w:pPr>
        <w:pStyle w:val="ListParagraph"/>
        <w:numPr>
          <w:ilvl w:val="0"/>
          <w:numId w:val="1"/>
        </w:numPr>
        <w:spacing w:after="80"/>
      </w:pPr>
      <w:r>
        <w:rPr>
          <w:rFonts w:ascii="Calibri" w:cs="Calibri" w:eastAsia="Calibri" w:hAnsi="Calibri"/>
          <w:color w:val="1F2D2B"/>
          <w:sz w:val="20"/>
          <w:szCs w:val="20"/>
        </w:rPr>
        <w:t xml:space="preserve">NPS benchmarking against network and category</w:t>
      </w:r>
    </w:p>
    <w:p>
      <w:pPr>
        <w:spacing w:after="80"/>
      </w:pPr>
    </w:p>
    <w:p>
      <w:pPr>
        <w:pBdr>
          <w:bottom w:val="single" w:color="06F285" w:sz="4"/>
        </w:pBdr>
        <w:spacing w:after="100" w:before="240"/>
      </w:pPr>
      <w:r>
        <w:rPr>
          <w:rFonts w:ascii="Calibri" w:cs="Calibri" w:eastAsia="Calibri" w:hAnsi="Calibri"/>
          <w:b/>
          <w:bCs/>
          <w:color w:val="07272D"/>
          <w:sz w:val="22"/>
          <w:szCs w:val="22"/>
        </w:rPr>
        <w:t xml:space="preserve">How the Audit Was Conducted</w:t>
      </w:r>
    </w:p>
    <w:p>
      <w:pPr>
        <w:pStyle w:val="ListParagraph"/>
        <w:numPr>
          <w:ilvl w:val="0"/>
          <w:numId w:val="1"/>
        </w:numPr>
        <w:spacing w:after="80"/>
      </w:pPr>
      <w:r>
        <w:rPr>
          <w:rFonts w:ascii="Calibri" w:cs="Calibri" w:eastAsia="Calibri" w:hAnsi="Calibri"/>
          <w:color w:val="1F2D2B"/>
          <w:sz w:val="20"/>
          <w:szCs w:val="20"/>
        </w:rPr>
        <w:t xml:space="preserve">Two full mystery treatment evaluations by trained evaluators (different services, different weekdays)</w:t>
      </w:r>
    </w:p>
    <w:p>
      <w:pPr>
        <w:pStyle w:val="ListParagraph"/>
        <w:numPr>
          <w:ilvl w:val="0"/>
          <w:numId w:val="1"/>
        </w:numPr>
        <w:spacing w:after="80"/>
      </w:pPr>
      <w:r>
        <w:rPr>
          <w:rFonts w:ascii="Calibri" w:cs="Calibri" w:eastAsia="Calibri" w:hAnsi="Calibri"/>
          <w:color w:val="1F2D2B"/>
          <w:sz w:val="20"/>
          <w:szCs w:val="20"/>
        </w:rPr>
        <w:t xml:space="preserve">One complete booking-journey test: phone, online system, and email enquiry</w:t>
      </w:r>
    </w:p>
    <w:p>
      <w:pPr>
        <w:pStyle w:val="ListParagraph"/>
        <w:numPr>
          <w:ilvl w:val="0"/>
          <w:numId w:val="1"/>
        </w:numPr>
        <w:spacing w:after="80"/>
      </w:pPr>
      <w:r>
        <w:rPr>
          <w:rFonts w:ascii="Calibri" w:cs="Calibri" w:eastAsia="Calibri" w:hAnsi="Calibri"/>
          <w:color w:val="1F2D2B"/>
          <w:sz w:val="20"/>
          <w:szCs w:val="20"/>
        </w:rPr>
        <w:t xml:space="preserve">Post-visit follow-up monitored for 10 days after each visit</w:t>
      </w:r>
    </w:p>
    <w:p>
      <w:pPr>
        <w:pStyle w:val="ListParagraph"/>
        <w:numPr>
          <w:ilvl w:val="0"/>
          <w:numId w:val="1"/>
        </w:numPr>
        <w:spacing w:after="80"/>
      </w:pPr>
      <w:r>
        <w:rPr>
          <w:rFonts w:ascii="Calibri" w:cs="Calibri" w:eastAsia="Calibri" w:hAnsi="Calibri"/>
          <w:color w:val="1F2D2B"/>
          <w:sz w:val="20"/>
          <w:szCs w:val="20"/>
        </w:rPr>
        <w:t xml:space="preserve">NPS pulse survey to the studio's opted-in client list (n=214, 38% response) benchmarked against network data</w:t>
      </w:r>
    </w:p>
    <w:p>
      <w:pPr>
        <w:pStyle w:val="ListParagraph"/>
        <w:numPr>
          <w:ilvl w:val="0"/>
          <w:numId w:val="1"/>
        </w:numPr>
        <w:spacing w:after="80"/>
      </w:pPr>
      <w:r>
        <w:rPr>
          <w:rFonts w:ascii="Calibri" w:cs="Calibri" w:eastAsia="Calibri" w:hAnsi="Calibri"/>
          <w:color w:val="1F2D2B"/>
          <w:sz w:val="20"/>
          <w:szCs w:val="20"/>
        </w:rPr>
        <w:t xml:space="preserve">Scoring against the network's 60-point CX standard</w:t>
      </w:r>
    </w:p>
    <w:p>
      <w:pPr>
        <w:spacing w:after="160"/>
      </w:pPr>
    </w:p>
    <w:p>
      <w:pPr>
        <w:pBdr>
          <w:bottom w:val="single" w:color="06F285" w:sz="4"/>
        </w:pBdr>
        <w:spacing w:after="100" w:before="240"/>
      </w:pPr>
      <w:r>
        <w:rPr>
          <w:rFonts w:ascii="Calibri" w:cs="Calibri" w:eastAsia="Calibri" w:hAnsi="Calibri"/>
          <w:b/>
          <w:bCs/>
          <w:color w:val="07272D"/>
          <w:sz w:val="22"/>
          <w:szCs w:val="22"/>
        </w:rPr>
        <w:t xml:space="preserve">Risk Rating Scale</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1400"/>
        <w:gridCol w:w="5546"/>
        <w:gridCol w:w="2800"/>
      </w:tblGrid>
      <w:tr>
        <w:tc>
          <w:tcPr>
            <w:tcW w:type="dxa" w:w="14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Rating</w:t>
            </w:r>
          </w:p>
        </w:tc>
        <w:tc>
          <w:tcPr>
            <w:tcW w:type="dxa" w:w="5546"/>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Meaning</w:t>
            </w:r>
          </w:p>
        </w:tc>
        <w:tc>
          <w:tcPr>
            <w:tcW w:type="dxa" w:w="28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Action required</w:t>
            </w:r>
          </w:p>
        </w:tc>
      </w:tr>
      <w:tr>
        <w:tc>
          <w:tcPr>
            <w:tcW w:type="dxa" w:w="1400"/>
            <w:tcBorders>
              <w:top w:val="none" w:color="FFFFFF" w:sz="0"/>
              <w:left w:val="none" w:color="FFFFFF" w:sz="0"/>
              <w:bottom w:val="none" w:color="FFFFFF" w:sz="0"/>
              <w:right w:val="none" w:color="FFFFFF" w:sz="0"/>
            </w:tcBorders>
            <w:shd w:fill="FEE2E2"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991B1B"/>
                <w:sz w:val="18"/>
                <w:szCs w:val="18"/>
              </w:rPr>
              <w:t xml:space="preserve">Critical</w:t>
            </w:r>
          </w:p>
        </w:tc>
        <w:tc>
          <w:tcPr>
            <w:tcW w:type="dxa" w:w="5546"/>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Immediate threat to safety, legal compliance, or brand integrity.</w:t>
            </w:r>
          </w:p>
        </w:tc>
        <w:tc>
          <w:tcPr>
            <w:tcW w:type="dxa" w:w="28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Within 48 hours</w:t>
            </w:r>
          </w:p>
        </w:tc>
      </w:tr>
      <w:tr>
        <w:tc>
          <w:tcPr>
            <w:tcW w:type="dxa" w:w="1400"/>
            <w:tcBorders>
              <w:top w:val="none" w:color="FFFFFF" w:sz="0"/>
              <w:left w:val="none" w:color="FFFFFF" w:sz="0"/>
              <w:bottom w:val="none" w:color="FFFFFF" w:sz="0"/>
              <w:right w:val="none" w:color="FFFFFF" w:sz="0"/>
            </w:tcBorders>
            <w:shd w:fill="FFEDD5"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9A3412"/>
                <w:sz w:val="18"/>
                <w:szCs w:val="18"/>
              </w:rPr>
              <w:t xml:space="preserve">High</w:t>
            </w:r>
          </w:p>
        </w:tc>
        <w:tc>
          <w:tcPr>
            <w:tcW w:type="dxa" w:w="55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Material non-compliance likely to cause customer, safety, or financial impact.</w:t>
            </w:r>
          </w:p>
        </w:tc>
        <w:tc>
          <w:tcPr>
            <w:tcW w:type="dxa" w:w="28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Within 7 days</w:t>
            </w:r>
          </w:p>
        </w:tc>
      </w:tr>
      <w:tr>
        <w:tc>
          <w:tcPr>
            <w:tcW w:type="dxa" w:w="1400"/>
            <w:tcBorders>
              <w:top w:val="none" w:color="FFFFFF" w:sz="0"/>
              <w:left w:val="none" w:color="FFFFFF" w:sz="0"/>
              <w:bottom w:val="none" w:color="FFFFFF" w:sz="0"/>
              <w:right w:val="none" w:color="FFFFFF" w:sz="0"/>
            </w:tcBorders>
            <w:shd w:fill="FEF9C3"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854D0E"/>
                <w:sz w:val="18"/>
                <w:szCs w:val="18"/>
              </w:rPr>
              <w:t xml:space="preserve">Medium</w:t>
            </w:r>
          </w:p>
        </w:tc>
        <w:tc>
          <w:tcPr>
            <w:tcW w:type="dxa" w:w="5546"/>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Non-compliance with franchise standards; manageable if addressed promptly.</w:t>
            </w:r>
          </w:p>
        </w:tc>
        <w:tc>
          <w:tcPr>
            <w:tcW w:type="dxa" w:w="28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Within 30 days</w:t>
            </w:r>
          </w:p>
        </w:tc>
      </w:tr>
      <w:tr>
        <w:tc>
          <w:tcPr>
            <w:tcW w:type="dxa" w:w="1400"/>
            <w:tcBorders>
              <w:top w:val="none" w:color="FFFFFF" w:sz="0"/>
              <w:left w:val="none" w:color="FFFFFF" w:sz="0"/>
              <w:bottom w:val="none" w:color="FFFFFF" w:sz="0"/>
              <w:right w:val="none" w:color="FFFFFF" w:sz="0"/>
            </w:tcBorders>
            <w:shd w:fill="DCFCE7"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166534"/>
                <w:sz w:val="18"/>
                <w:szCs w:val="18"/>
              </w:rPr>
              <w:t xml:space="preserve">Low</w:t>
            </w:r>
          </w:p>
        </w:tc>
        <w:tc>
          <w:tcPr>
            <w:tcW w:type="dxa" w:w="55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Minor deviation or housekeeping issue.</w:t>
            </w:r>
          </w:p>
        </w:tc>
        <w:tc>
          <w:tcPr>
            <w:tcW w:type="dxa" w:w="28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Within 90 days</w:t>
            </w:r>
          </w:p>
        </w:tc>
      </w:tr>
      <w:tr>
        <w:tc>
          <w:tcPr>
            <w:tcW w:type="dxa" w:w="1400"/>
            <w:tcBorders>
              <w:top w:val="none" w:color="FFFFFF" w:sz="0"/>
              <w:left w:val="none" w:color="FFFFFF" w:sz="0"/>
              <w:bottom w:val="none" w:color="FFFFFF" w:sz="0"/>
              <w:right w:val="none" w:color="FFFFFF" w:sz="0"/>
            </w:tcBorders>
            <w:shd w:fill="DBEAFE"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1E40AF"/>
                <w:sz w:val="18"/>
                <w:szCs w:val="18"/>
              </w:rPr>
              <w:t xml:space="preserve">Observation</w:t>
            </w:r>
          </w:p>
        </w:tc>
        <w:tc>
          <w:tcPr>
            <w:tcW w:type="dxa" w:w="5546"/>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Not a non-compliance; an improvement opportunity worth acting on.</w:t>
            </w:r>
          </w:p>
        </w:tc>
        <w:tc>
          <w:tcPr>
            <w:tcW w:type="dxa" w:w="28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At next review</w:t>
            </w:r>
          </w:p>
        </w:tc>
      </w:tr>
    </w:tbl>
    <w:p>
      <w:pPr>
        <w:spacing w:after="24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07272D" w:color="auto" w:val="clear"/>
            <w:tcMar>
              <w:top w:type="dxa" w:w="110"/>
              <w:left w:type="dxa" w:w="180"/>
              <w:bottom w:type="dxa" w:w="110"/>
              <w:right w:type="dxa" w:w="180"/>
            </w:tcMar>
          </w:tcPr>
          <w:p>
            <w:pPr>
              <w:spacing w:after="0" w:before="0"/>
            </w:pPr>
            <w:r>
              <w:rPr>
                <w:rFonts w:ascii="Calibri" w:cs="Calibri" w:eastAsia="Calibri" w:hAnsi="Calibri"/>
                <w:b/>
                <w:bCs/>
                <w:color w:val="06F285"/>
                <w:sz w:val="15"/>
                <w:szCs w:val="15"/>
              </w:rPr>
              <w:t xml:space="preserve">SECTION 3</w:t>
            </w:r>
            <w:r>
              <w:rPr>
                <w:rFonts w:ascii="Calibri" w:cs="Calibri" w:eastAsia="Calibri" w:hAnsi="Calibri"/>
                <w:color w:val="3A6B52"/>
                <w:sz w:val="15"/>
                <w:szCs w:val="15"/>
              </w:rPr>
              <w:t xml:space="preserve">   │   </w:t>
            </w:r>
            <w:r>
              <w:rPr>
                <w:rFonts w:ascii="Calibri" w:cs="Calibri" w:eastAsia="Calibri" w:hAnsi="Calibri"/>
                <w:b/>
                <w:bCs/>
                <w:color w:val="FFFFFF"/>
                <w:sz w:val="20"/>
                <w:szCs w:val="20"/>
              </w:rPr>
              <w:t xml:space="preserve">FINDINGS SUMMARY</w:t>
            </w:r>
          </w:p>
        </w:tc>
      </w:tr>
    </w:tbl>
    <w:p>
      <w:pPr>
        <w:spacing w:after="16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800"/>
        <w:gridCol w:w="2400"/>
        <w:gridCol w:w="4346"/>
        <w:gridCol w:w="2200"/>
      </w:tblGrid>
      <w:tr>
        <w:tc>
          <w:tcPr>
            <w:tcW w:type="dxa" w:w="8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ID</w:t>
            </w:r>
          </w:p>
        </w:tc>
        <w:tc>
          <w:tcPr>
            <w:tcW w:type="dxa" w:w="24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Area</w:t>
            </w:r>
          </w:p>
        </w:tc>
        <w:tc>
          <w:tcPr>
            <w:tcW w:type="dxa" w:w="4346"/>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Finding</w:t>
            </w:r>
          </w:p>
        </w:tc>
        <w:tc>
          <w:tcPr>
            <w:tcW w:type="dxa" w:w="22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center"/>
            </w:pPr>
            <w:r>
              <w:rPr>
                <w:rFonts w:ascii="Calibri" w:cs="Calibri" w:eastAsia="Calibri" w:hAnsi="Calibri"/>
                <w:b/>
                <w:bCs/>
                <w:color w:val="FFFFFF"/>
                <w:sz w:val="17"/>
                <w:szCs w:val="17"/>
              </w:rPr>
              <w:t xml:space="preserve">Rating</w:t>
            </w:r>
          </w:p>
        </w:tc>
      </w:tr>
      <w:tr>
        <w:tc>
          <w:tcPr>
            <w:tcW w:type="dxa" w:w="8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CX-01</w:t>
            </w:r>
          </w:p>
        </w:tc>
        <w:tc>
          <w:tcPr>
            <w:tcW w:type="dxa" w:w="24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Booking journey</w:t>
            </w:r>
          </w:p>
        </w:tc>
        <w:tc>
          <w:tcPr>
            <w:tcW w:type="dxa" w:w="4346"/>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Missed call never returned — a lost booking</w:t>
            </w:r>
          </w:p>
        </w:tc>
        <w:tc>
          <w:tcPr>
            <w:tcW w:type="dxa" w:w="2200"/>
            <w:tcBorders>
              <w:top w:val="none" w:color="FFFFFF" w:sz="0"/>
              <w:left w:val="none" w:color="FFFFFF" w:sz="0"/>
              <w:bottom w:val="none" w:color="FFFFFF" w:sz="0"/>
              <w:right w:val="none" w:color="FFFFFF" w:sz="0"/>
            </w:tcBorders>
            <w:shd w:fill="FFEDD5" w:color="auto" w:val="clear"/>
            <w:tcMar>
              <w:top w:type="dxa" w:w="80"/>
              <w:left w:type="dxa" w:w="130"/>
              <w:bottom w:type="dxa" w:w="80"/>
              <w:right w:type="dxa" w:w="130"/>
            </w:tcMar>
            <w:vAlign w:val="center"/>
          </w:tcPr>
          <w:p>
            <w:pPr>
              <w:spacing w:after="0" w:before="0"/>
              <w:jc w:val="center"/>
            </w:pPr>
            <w:r>
              <w:rPr>
                <w:rFonts w:ascii="Calibri" w:cs="Calibri" w:eastAsia="Calibri" w:hAnsi="Calibri"/>
                <w:b/>
                <w:bCs/>
                <w:color w:val="9A3412"/>
                <w:sz w:val="18"/>
                <w:szCs w:val="18"/>
              </w:rPr>
              <w:t xml:space="preserve">High</w:t>
            </w:r>
          </w:p>
        </w:tc>
      </w:tr>
      <w:tr>
        <w:tc>
          <w:tcPr>
            <w:tcW w:type="dxa" w:w="8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CX-02</w:t>
            </w:r>
          </w:p>
        </w:tc>
        <w:tc>
          <w:tcPr>
            <w:tcW w:type="dxa" w:w="24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Online booking</w:t>
            </w:r>
          </w:p>
        </w:tc>
        <w:tc>
          <w:tcPr>
            <w:tcW w:type="dxa" w:w="43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Online system hid same-day availability that existed in-studio</w:t>
            </w:r>
          </w:p>
        </w:tc>
        <w:tc>
          <w:tcPr>
            <w:tcW w:type="dxa" w:w="2200"/>
            <w:tcBorders>
              <w:top w:val="none" w:color="FFFFFF" w:sz="0"/>
              <w:left w:val="none" w:color="FFFFFF" w:sz="0"/>
              <w:bottom w:val="none" w:color="FFFFFF" w:sz="0"/>
              <w:right w:val="none" w:color="FFFFFF" w:sz="0"/>
            </w:tcBorders>
            <w:shd w:fill="FFEDD5" w:color="auto" w:val="clear"/>
            <w:tcMar>
              <w:top w:type="dxa" w:w="80"/>
              <w:left w:type="dxa" w:w="130"/>
              <w:bottom w:type="dxa" w:w="80"/>
              <w:right w:type="dxa" w:w="130"/>
            </w:tcMar>
            <w:vAlign w:val="center"/>
          </w:tcPr>
          <w:p>
            <w:pPr>
              <w:spacing w:after="0" w:before="0"/>
              <w:jc w:val="center"/>
            </w:pPr>
            <w:r>
              <w:rPr>
                <w:rFonts w:ascii="Calibri" w:cs="Calibri" w:eastAsia="Calibri" w:hAnsi="Calibri"/>
                <w:b/>
                <w:bCs/>
                <w:color w:val="9A3412"/>
                <w:sz w:val="18"/>
                <w:szCs w:val="18"/>
              </w:rPr>
              <w:t xml:space="preserve">High</w:t>
            </w:r>
          </w:p>
        </w:tc>
      </w:tr>
      <w:tr>
        <w:tc>
          <w:tcPr>
            <w:tcW w:type="dxa" w:w="8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CX-03</w:t>
            </w:r>
          </w:p>
        </w:tc>
        <w:tc>
          <w:tcPr>
            <w:tcW w:type="dxa" w:w="24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Post-visit journey</w:t>
            </w:r>
          </w:p>
        </w:tc>
        <w:tc>
          <w:tcPr>
            <w:tcW w:type="dxa" w:w="4346"/>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No follow-up or rebooking prompt after either visit</w:t>
            </w:r>
          </w:p>
        </w:tc>
        <w:tc>
          <w:tcPr>
            <w:tcW w:type="dxa" w:w="2200"/>
            <w:tcBorders>
              <w:top w:val="none" w:color="FFFFFF" w:sz="0"/>
              <w:left w:val="none" w:color="FFFFFF" w:sz="0"/>
              <w:bottom w:val="none" w:color="FFFFFF" w:sz="0"/>
              <w:right w:val="none" w:color="FFFFFF" w:sz="0"/>
            </w:tcBorders>
            <w:shd w:fill="FFEDD5" w:color="auto" w:val="clear"/>
            <w:tcMar>
              <w:top w:type="dxa" w:w="80"/>
              <w:left w:type="dxa" w:w="130"/>
              <w:bottom w:type="dxa" w:w="80"/>
              <w:right w:type="dxa" w:w="130"/>
            </w:tcMar>
            <w:vAlign w:val="center"/>
          </w:tcPr>
          <w:p>
            <w:pPr>
              <w:spacing w:after="0" w:before="0"/>
              <w:jc w:val="center"/>
            </w:pPr>
            <w:r>
              <w:rPr>
                <w:rFonts w:ascii="Calibri" w:cs="Calibri" w:eastAsia="Calibri" w:hAnsi="Calibri"/>
                <w:b/>
                <w:bCs/>
                <w:color w:val="9A3412"/>
                <w:sz w:val="18"/>
                <w:szCs w:val="18"/>
              </w:rPr>
              <w:t xml:space="preserve">High</w:t>
            </w:r>
          </w:p>
        </w:tc>
      </w:tr>
      <w:tr>
        <w:tc>
          <w:tcPr>
            <w:tcW w:type="dxa" w:w="8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CX-04</w:t>
            </w:r>
          </w:p>
        </w:tc>
        <w:tc>
          <w:tcPr>
            <w:tcW w:type="dxa" w:w="24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Consultation</w:t>
            </w:r>
          </w:p>
        </w:tc>
        <w:tc>
          <w:tcPr>
            <w:tcW w:type="dxa" w:w="43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Consultation skipped for a first-visit client</w:t>
            </w:r>
          </w:p>
        </w:tc>
        <w:tc>
          <w:tcPr>
            <w:tcW w:type="dxa" w:w="2200"/>
            <w:tcBorders>
              <w:top w:val="none" w:color="FFFFFF" w:sz="0"/>
              <w:left w:val="none" w:color="FFFFFF" w:sz="0"/>
              <w:bottom w:val="none" w:color="FFFFFF" w:sz="0"/>
              <w:right w:val="none" w:color="FFFFFF" w:sz="0"/>
            </w:tcBorders>
            <w:shd w:fill="FEF9C3" w:color="auto" w:val="clear"/>
            <w:tcMar>
              <w:top w:type="dxa" w:w="80"/>
              <w:left w:type="dxa" w:w="130"/>
              <w:bottom w:type="dxa" w:w="80"/>
              <w:right w:type="dxa" w:w="130"/>
            </w:tcMar>
            <w:vAlign w:val="center"/>
          </w:tcPr>
          <w:p>
            <w:pPr>
              <w:spacing w:after="0" w:before="0"/>
              <w:jc w:val="center"/>
            </w:pPr>
            <w:r>
              <w:rPr>
                <w:rFonts w:ascii="Calibri" w:cs="Calibri" w:eastAsia="Calibri" w:hAnsi="Calibri"/>
                <w:b/>
                <w:bCs/>
                <w:color w:val="854D0E"/>
                <w:sz w:val="18"/>
                <w:szCs w:val="18"/>
              </w:rPr>
              <w:t xml:space="preserve">Medium</w:t>
            </w:r>
          </w:p>
        </w:tc>
      </w:tr>
      <w:tr>
        <w:tc>
          <w:tcPr>
            <w:tcW w:type="dxa" w:w="8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CX-05</w:t>
            </w:r>
          </w:p>
        </w:tc>
        <w:tc>
          <w:tcPr>
            <w:tcW w:type="dxa" w:w="24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Retail &amp; checkout</w:t>
            </w:r>
          </w:p>
        </w:tc>
        <w:tc>
          <w:tcPr>
            <w:tcW w:type="dxa" w:w="4346"/>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No aftercare or retail recommendation at either checkout</w:t>
            </w:r>
          </w:p>
        </w:tc>
        <w:tc>
          <w:tcPr>
            <w:tcW w:type="dxa" w:w="2200"/>
            <w:tcBorders>
              <w:top w:val="none" w:color="FFFFFF" w:sz="0"/>
              <w:left w:val="none" w:color="FFFFFF" w:sz="0"/>
              <w:bottom w:val="none" w:color="FFFFFF" w:sz="0"/>
              <w:right w:val="none" w:color="FFFFFF" w:sz="0"/>
            </w:tcBorders>
            <w:shd w:fill="FEF9C3" w:color="auto" w:val="clear"/>
            <w:tcMar>
              <w:top w:type="dxa" w:w="80"/>
              <w:left w:type="dxa" w:w="130"/>
              <w:bottom w:type="dxa" w:w="80"/>
              <w:right w:type="dxa" w:w="130"/>
            </w:tcMar>
            <w:vAlign w:val="center"/>
          </w:tcPr>
          <w:p>
            <w:pPr>
              <w:spacing w:after="0" w:before="0"/>
              <w:jc w:val="center"/>
            </w:pPr>
            <w:r>
              <w:rPr>
                <w:rFonts w:ascii="Calibri" w:cs="Calibri" w:eastAsia="Calibri" w:hAnsi="Calibri"/>
                <w:b/>
                <w:bCs/>
                <w:color w:val="854D0E"/>
                <w:sz w:val="18"/>
                <w:szCs w:val="18"/>
              </w:rPr>
              <w:t xml:space="preserve">Medium</w:t>
            </w:r>
          </w:p>
        </w:tc>
      </w:tr>
      <w:tr>
        <w:tc>
          <w:tcPr>
            <w:tcW w:type="dxa" w:w="8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CX-06</w:t>
            </w:r>
          </w:p>
        </w:tc>
        <w:tc>
          <w:tcPr>
            <w:tcW w:type="dxa" w:w="24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Environment</w:t>
            </w:r>
          </w:p>
        </w:tc>
        <w:tc>
          <w:tcPr>
            <w:tcW w:type="dxa" w:w="43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Relaxation-area noise intrusion from adjacent retail tenancy</w:t>
            </w:r>
          </w:p>
        </w:tc>
        <w:tc>
          <w:tcPr>
            <w:tcW w:type="dxa" w:w="2200"/>
            <w:tcBorders>
              <w:top w:val="none" w:color="FFFFFF" w:sz="0"/>
              <w:left w:val="none" w:color="FFFFFF" w:sz="0"/>
              <w:bottom w:val="none" w:color="FFFFFF" w:sz="0"/>
              <w:right w:val="none" w:color="FFFFFF" w:sz="0"/>
            </w:tcBorders>
            <w:shd w:fill="DBEAFE" w:color="auto" w:val="clear"/>
            <w:tcMar>
              <w:top w:type="dxa" w:w="80"/>
              <w:left w:type="dxa" w:w="130"/>
              <w:bottom w:type="dxa" w:w="80"/>
              <w:right w:type="dxa" w:w="130"/>
            </w:tcMar>
            <w:vAlign w:val="center"/>
          </w:tcPr>
          <w:p>
            <w:pPr>
              <w:spacing w:after="0" w:before="0"/>
              <w:jc w:val="center"/>
            </w:pPr>
            <w:r>
              <w:rPr>
                <w:rFonts w:ascii="Calibri" w:cs="Calibri" w:eastAsia="Calibri" w:hAnsi="Calibri"/>
                <w:b/>
                <w:bCs/>
                <w:color w:val="1E40AF"/>
                <w:sz w:val="18"/>
                <w:szCs w:val="18"/>
              </w:rPr>
              <w:t xml:space="preserve">Observation</w:t>
            </w:r>
          </w:p>
        </w:tc>
      </w:tr>
    </w:tbl>
    <w:p>
      <w:pPr>
        <w:spacing w:after="24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07272D" w:color="auto" w:val="clear"/>
            <w:tcMar>
              <w:top w:type="dxa" w:w="110"/>
              <w:left w:type="dxa" w:w="180"/>
              <w:bottom w:type="dxa" w:w="110"/>
              <w:right w:type="dxa" w:w="180"/>
            </w:tcMar>
          </w:tcPr>
          <w:p>
            <w:pPr>
              <w:spacing w:after="0" w:before="0"/>
            </w:pPr>
            <w:r>
              <w:rPr>
                <w:rFonts w:ascii="Calibri" w:cs="Calibri" w:eastAsia="Calibri" w:hAnsi="Calibri"/>
                <w:b/>
                <w:bCs/>
                <w:color w:val="06F285"/>
                <w:sz w:val="15"/>
                <w:szCs w:val="15"/>
              </w:rPr>
              <w:t xml:space="preserve">SECTION 4</w:t>
            </w:r>
            <w:r>
              <w:rPr>
                <w:rFonts w:ascii="Calibri" w:cs="Calibri" w:eastAsia="Calibri" w:hAnsi="Calibri"/>
                <w:color w:val="3A6B52"/>
                <w:sz w:val="15"/>
                <w:szCs w:val="15"/>
              </w:rPr>
              <w:t xml:space="preserve">   │   </w:t>
            </w:r>
            <w:r>
              <w:rPr>
                <w:rFonts w:ascii="Calibri" w:cs="Calibri" w:eastAsia="Calibri" w:hAnsi="Calibri"/>
                <w:b/>
                <w:bCs/>
                <w:color w:val="FFFFFF"/>
                <w:sz w:val="20"/>
                <w:szCs w:val="20"/>
              </w:rPr>
              <w:t xml:space="preserve">DETAILED FINDINGS</w:t>
            </w:r>
          </w:p>
        </w:tc>
      </w:tr>
    </w:tbl>
    <w:p>
      <w:pPr>
        <w:spacing w:after="18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1300"/>
        <w:gridCol w:w="8446"/>
      </w:tblGrid>
      <w:tr>
        <w:tc>
          <w:tcPr>
            <w:tcBorders>
              <w:top w:val="none" w:color="FFFFFF" w:sz="0"/>
              <w:left w:val="none" w:color="FFFFFF" w:sz="0"/>
              <w:bottom w:val="none" w:color="FFFFFF" w:sz="0"/>
              <w:right w:val="none" w:color="FFFFFF" w:sz="0"/>
            </w:tcBorders>
            <w:shd w:fill="FFEDD5" w:color="auto" w:val="clear"/>
            <w:tcMar>
              <w:top w:type="dxa" w:w="90"/>
              <w:left w:type="dxa" w:w="80"/>
              <w:bottom w:type="dxa" w:w="90"/>
              <w:right w:type="dxa" w:w="80"/>
            </w:tcMar>
            <w:vAlign w:val="center"/>
          </w:tcPr>
          <w:p>
            <w:pPr>
              <w:jc w:val="center"/>
            </w:pPr>
            <w:r>
              <w:rPr>
                <w:rFonts w:ascii="Calibri" w:cs="Calibri" w:eastAsia="Calibri" w:hAnsi="Calibri"/>
                <w:b/>
                <w:bCs/>
                <w:color w:val="9A3412"/>
                <w:sz w:val="16"/>
                <w:szCs w:val="16"/>
              </w:rPr>
              <w:t xml:space="preserve">HIGH</w:t>
            </w:r>
          </w:p>
        </w:tc>
        <w:tc>
          <w:tcPr>
            <w:tcBorders>
              <w:top w:val="none" w:color="FFFFFF" w:sz="0"/>
              <w:left w:val="single" w:color="06F285" w:sz="14"/>
              <w:bottom w:val="none" w:color="FFFFFF" w:sz="0"/>
              <w:right w:val="none" w:color="FFFFFF" w:sz="0"/>
            </w:tcBorders>
            <w:shd w:fill="EAF7F0" w:color="auto" w:val="clear"/>
            <w:tcMar>
              <w:top w:type="dxa" w:w="90"/>
              <w:left w:type="dxa" w:w="160"/>
              <w:bottom w:type="dxa" w:w="90"/>
              <w:right w:type="dxa" w:w="130"/>
            </w:tcMar>
            <w:vAlign w:val="center"/>
          </w:tcPr>
          <w:p>
            <w:r>
              <w:rPr>
                <w:rFonts w:ascii="Calibri" w:cs="Calibri" w:eastAsia="Calibri" w:hAnsi="Calibri"/>
                <w:b/>
                <w:bCs/>
                <w:color w:val="07272D"/>
                <w:sz w:val="20"/>
                <w:szCs w:val="20"/>
              </w:rPr>
              <w:t xml:space="preserve">CX-01</w:t>
            </w:r>
            <w:r>
              <w:rPr>
                <w:rFonts w:ascii="Calibri" w:cs="Calibri" w:eastAsia="Calibri" w:hAnsi="Calibri"/>
                <w:b/>
                <w:bCs/>
                <w:color w:val="07272D"/>
                <w:sz w:val="20"/>
                <w:szCs w:val="20"/>
              </w:rPr>
              <w:t xml:space="preserve"> — Missed call never returned — a lost booking</w:t>
            </w:r>
          </w:p>
        </w:tc>
      </w:tr>
    </w:tbl>
    <w:p>
      <w:pPr>
        <w:spacing w:after="8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1300"/>
        <w:gridCol w:w="2200"/>
        <w:gridCol w:w="3946"/>
        <w:gridCol w:w="2300"/>
      </w:tblGrid>
      <w:tr>
        <w:tc>
          <w:tcPr>
            <w:tcW w:type="dxa" w:w="13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Rating</w:t>
            </w:r>
          </w:p>
        </w:tc>
        <w:tc>
          <w:tcPr>
            <w:tcW w:type="dxa" w:w="22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Area</w:t>
            </w:r>
          </w:p>
        </w:tc>
        <w:tc>
          <w:tcPr>
            <w:tcW w:type="dxa" w:w="3946"/>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Standard / reference</w:t>
            </w:r>
          </w:p>
        </w:tc>
        <w:tc>
          <w:tcPr>
            <w:tcW w:type="dxa" w:w="23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Remediate by</w:t>
            </w:r>
          </w:p>
        </w:tc>
      </w:tr>
      <w:tr>
        <w:tc>
          <w:tcPr>
            <w:tcW w:type="dxa" w:w="1300"/>
            <w:tcBorders>
              <w:top w:val="none" w:color="FFFFFF" w:sz="0"/>
              <w:left w:val="none" w:color="FFFFFF" w:sz="0"/>
              <w:bottom w:val="none" w:color="FFFFFF" w:sz="0"/>
              <w:right w:val="none" w:color="FFFFFF" w:sz="0"/>
            </w:tcBorders>
            <w:shd w:fill="FFEDD5"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9A3412"/>
                <w:sz w:val="18"/>
                <w:szCs w:val="18"/>
              </w:rPr>
              <w:t xml:space="preserve">High</w:t>
            </w:r>
          </w:p>
        </w:tc>
        <w:tc>
          <w:tcPr>
            <w:tcW w:type="dxa" w:w="22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Booking journey</w:t>
            </w:r>
          </w:p>
        </w:tc>
        <w:tc>
          <w:tcPr>
            <w:tcW w:type="dxa" w:w="39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CX standard s.1.2</w:t>
            </w:r>
          </w:p>
        </w:tc>
        <w:tc>
          <w:tcPr>
            <w:tcW w:type="dxa" w:w="23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Within 7 days</w:t>
            </w:r>
          </w:p>
        </w:tc>
      </w:tr>
    </w:tbl>
    <w:p>
      <w:pPr>
        <w:spacing w:after="120"/>
      </w:pPr>
    </w:p>
    <w:p>
      <w:pPr>
        <w:spacing w:after="100"/>
      </w:pPr>
      <w:r>
        <w:rPr>
          <w:rFonts w:ascii="Calibri" w:cs="Calibri" w:eastAsia="Calibri" w:hAnsi="Calibri"/>
          <w:b/>
          <w:bCs/>
          <w:color w:val="07272D"/>
          <w:sz w:val="20"/>
          <w:szCs w:val="20"/>
        </w:rPr>
        <w:t xml:space="preserve">What we found:  </w:t>
      </w:r>
      <w:r>
        <w:rPr>
          <w:rFonts w:ascii="Calibri" w:cs="Calibri" w:eastAsia="Calibri" w:hAnsi="Calibri"/>
          <w:color w:val="1F2D2B"/>
          <w:sz w:val="20"/>
          <w:szCs w:val="20"/>
        </w:rPr>
        <w:t xml:space="preserve">Our evaluator's first booking call (Tuesday 11:04am, during staffed hours) rang out to voicemail. A message requesting a callback was left; no return call was received in the 10-day monitoring window. In a real scenario this is a silently lost client — and the studio has no way of knowing how often it happens.</w:t>
      </w:r>
    </w:p>
    <w:p>
      <w:pPr>
        <w:spacing w:after="100"/>
      </w:pPr>
      <w:r>
        <w:rPr>
          <w:rFonts w:ascii="Calibri" w:cs="Calibri" w:eastAsia="Calibri" w:hAnsi="Calibri"/>
          <w:b/>
          <w:bCs/>
          <w:color w:val="07272D"/>
          <w:sz w:val="20"/>
          <w:szCs w:val="20"/>
        </w:rPr>
        <w:t xml:space="preserve">Evidence:  </w:t>
      </w:r>
      <w:r>
        <w:rPr>
          <w:rFonts w:ascii="Calibri" w:cs="Calibri" w:eastAsia="Calibri" w:hAnsi="Calibri"/>
          <w:color w:val="1F2D2B"/>
          <w:sz w:val="20"/>
          <w:szCs w:val="20"/>
        </w:rPr>
        <w:t xml:space="preserve">Call log and recording reference MA-CX-0119-C1; voicemail transcript.</w:t>
      </w:r>
    </w:p>
    <w:p>
      <w:pPr>
        <w:spacing w:after="100"/>
      </w:pPr>
      <w:r>
        <w:rPr>
          <w:rFonts w:ascii="Calibri" w:cs="Calibri" w:eastAsia="Calibri" w:hAnsi="Calibri"/>
          <w:b/>
          <w:bCs/>
          <w:color w:val="07272D"/>
          <w:sz w:val="20"/>
          <w:szCs w:val="20"/>
        </w:rPr>
        <w:t xml:space="preserve">Recommended action:  </w:t>
      </w:r>
      <w:r>
        <w:rPr>
          <w:rFonts w:ascii="Calibri" w:cs="Calibri" w:eastAsia="Calibri" w:hAnsi="Calibri"/>
          <w:color w:val="1F2D2B"/>
          <w:sz w:val="20"/>
          <w:szCs w:val="20"/>
        </w:rPr>
        <w:t xml:space="preserve">Introduce a missed-call protocol: voicemail checked and returned at set times daily, with the front-desk tablet showing missed-call alerts. The network's phone system supports missed-call SMS auto-reply ('Sorry we missed you — book here') which is unused at this studio.</w:t>
      </w:r>
    </w:p>
    <w:p>
      <w:pPr>
        <w:spacing w:after="100"/>
      </w:pPr>
      <w:r>
        <w:rPr>
          <w:rFonts w:ascii="Calibri" w:cs="Calibri" w:eastAsia="Calibri" w:hAnsi="Calibri"/>
          <w:b/>
          <w:bCs/>
          <w:color w:val="07272D"/>
          <w:sz w:val="20"/>
          <w:szCs w:val="20"/>
        </w:rPr>
        <w:t xml:space="preserve">Responsible:  </w:t>
      </w:r>
      <w:r>
        <w:rPr>
          <w:rFonts w:ascii="Calibri" w:cs="Calibri" w:eastAsia="Calibri" w:hAnsi="Calibri"/>
          <w:color w:val="1F2D2B"/>
          <w:sz w:val="20"/>
          <w:szCs w:val="20"/>
        </w:rPr>
        <w:t xml:space="preserve">Studio manager</w:t>
      </w:r>
    </w:p>
    <w:p>
      <w:pPr>
        <w:spacing w:after="18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1300"/>
        <w:gridCol w:w="8446"/>
      </w:tblGrid>
      <w:tr>
        <w:tc>
          <w:tcPr>
            <w:tcBorders>
              <w:top w:val="none" w:color="FFFFFF" w:sz="0"/>
              <w:left w:val="none" w:color="FFFFFF" w:sz="0"/>
              <w:bottom w:val="none" w:color="FFFFFF" w:sz="0"/>
              <w:right w:val="none" w:color="FFFFFF" w:sz="0"/>
            </w:tcBorders>
            <w:shd w:fill="FFEDD5" w:color="auto" w:val="clear"/>
            <w:tcMar>
              <w:top w:type="dxa" w:w="90"/>
              <w:left w:type="dxa" w:w="80"/>
              <w:bottom w:type="dxa" w:w="90"/>
              <w:right w:type="dxa" w:w="80"/>
            </w:tcMar>
            <w:vAlign w:val="center"/>
          </w:tcPr>
          <w:p>
            <w:pPr>
              <w:jc w:val="center"/>
            </w:pPr>
            <w:r>
              <w:rPr>
                <w:rFonts w:ascii="Calibri" w:cs="Calibri" w:eastAsia="Calibri" w:hAnsi="Calibri"/>
                <w:b/>
                <w:bCs/>
                <w:color w:val="9A3412"/>
                <w:sz w:val="16"/>
                <w:szCs w:val="16"/>
              </w:rPr>
              <w:t xml:space="preserve">HIGH</w:t>
            </w:r>
          </w:p>
        </w:tc>
        <w:tc>
          <w:tcPr>
            <w:tcBorders>
              <w:top w:val="none" w:color="FFFFFF" w:sz="0"/>
              <w:left w:val="single" w:color="06F285" w:sz="14"/>
              <w:bottom w:val="none" w:color="FFFFFF" w:sz="0"/>
              <w:right w:val="none" w:color="FFFFFF" w:sz="0"/>
            </w:tcBorders>
            <w:shd w:fill="EAF7F0" w:color="auto" w:val="clear"/>
            <w:tcMar>
              <w:top w:type="dxa" w:w="90"/>
              <w:left w:type="dxa" w:w="160"/>
              <w:bottom w:type="dxa" w:w="90"/>
              <w:right w:type="dxa" w:w="130"/>
            </w:tcMar>
            <w:vAlign w:val="center"/>
          </w:tcPr>
          <w:p>
            <w:r>
              <w:rPr>
                <w:rFonts w:ascii="Calibri" w:cs="Calibri" w:eastAsia="Calibri" w:hAnsi="Calibri"/>
                <w:b/>
                <w:bCs/>
                <w:color w:val="07272D"/>
                <w:sz w:val="20"/>
                <w:szCs w:val="20"/>
              </w:rPr>
              <w:t xml:space="preserve">CX-02</w:t>
            </w:r>
            <w:r>
              <w:rPr>
                <w:rFonts w:ascii="Calibri" w:cs="Calibri" w:eastAsia="Calibri" w:hAnsi="Calibri"/>
                <w:b/>
                <w:bCs/>
                <w:color w:val="07272D"/>
                <w:sz w:val="20"/>
                <w:szCs w:val="20"/>
              </w:rPr>
              <w:t xml:space="preserve"> — Online system hid same-day availability that existed in-studio</w:t>
            </w:r>
          </w:p>
        </w:tc>
      </w:tr>
    </w:tbl>
    <w:p>
      <w:pPr>
        <w:spacing w:after="8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1300"/>
        <w:gridCol w:w="2200"/>
        <w:gridCol w:w="3946"/>
        <w:gridCol w:w="2300"/>
      </w:tblGrid>
      <w:tr>
        <w:tc>
          <w:tcPr>
            <w:tcW w:type="dxa" w:w="13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Rating</w:t>
            </w:r>
          </w:p>
        </w:tc>
        <w:tc>
          <w:tcPr>
            <w:tcW w:type="dxa" w:w="22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Area</w:t>
            </w:r>
          </w:p>
        </w:tc>
        <w:tc>
          <w:tcPr>
            <w:tcW w:type="dxa" w:w="3946"/>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Standard / reference</w:t>
            </w:r>
          </w:p>
        </w:tc>
        <w:tc>
          <w:tcPr>
            <w:tcW w:type="dxa" w:w="23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Remediate by</w:t>
            </w:r>
          </w:p>
        </w:tc>
      </w:tr>
      <w:tr>
        <w:tc>
          <w:tcPr>
            <w:tcW w:type="dxa" w:w="1300"/>
            <w:tcBorders>
              <w:top w:val="none" w:color="FFFFFF" w:sz="0"/>
              <w:left w:val="none" w:color="FFFFFF" w:sz="0"/>
              <w:bottom w:val="none" w:color="FFFFFF" w:sz="0"/>
              <w:right w:val="none" w:color="FFFFFF" w:sz="0"/>
            </w:tcBorders>
            <w:shd w:fill="FFEDD5"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9A3412"/>
                <w:sz w:val="18"/>
                <w:szCs w:val="18"/>
              </w:rPr>
              <w:t xml:space="preserve">High</w:t>
            </w:r>
          </w:p>
        </w:tc>
        <w:tc>
          <w:tcPr>
            <w:tcW w:type="dxa" w:w="22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Online booking</w:t>
            </w:r>
          </w:p>
        </w:tc>
        <w:tc>
          <w:tcPr>
            <w:tcW w:type="dxa" w:w="39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CX standard s.1.4</w:t>
            </w:r>
          </w:p>
        </w:tc>
        <w:tc>
          <w:tcPr>
            <w:tcW w:type="dxa" w:w="23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Within 7 days</w:t>
            </w:r>
          </w:p>
        </w:tc>
      </w:tr>
    </w:tbl>
    <w:p>
      <w:pPr>
        <w:spacing w:after="120"/>
      </w:pPr>
    </w:p>
    <w:p>
      <w:pPr>
        <w:spacing w:after="100"/>
      </w:pPr>
      <w:r>
        <w:rPr>
          <w:rFonts w:ascii="Calibri" w:cs="Calibri" w:eastAsia="Calibri" w:hAnsi="Calibri"/>
          <w:b/>
          <w:bCs/>
          <w:color w:val="07272D"/>
          <w:sz w:val="20"/>
          <w:szCs w:val="20"/>
        </w:rPr>
        <w:t xml:space="preserve">What we found:  </w:t>
      </w:r>
      <w:r>
        <w:rPr>
          <w:rFonts w:ascii="Calibri" w:cs="Calibri" w:eastAsia="Calibri" w:hAnsi="Calibri"/>
          <w:color w:val="1F2D2B"/>
          <w:sz w:val="20"/>
          <w:szCs w:val="20"/>
        </w:rPr>
        <w:t xml:space="preserve">The online booking system showed no availability for 9 days, yet a walk-in enquiry the same afternoon was offered two slots that day. Staff confirmed therapist columns are routinely blocked out in the booking system 'to keep flexibility'. The studio is invisibly full online while actually having capacity.</w:t>
      </w:r>
    </w:p>
    <w:p>
      <w:pPr>
        <w:spacing w:after="100"/>
      </w:pPr>
      <w:r>
        <w:rPr>
          <w:rFonts w:ascii="Calibri" w:cs="Calibri" w:eastAsia="Calibri" w:hAnsi="Calibri"/>
          <w:b/>
          <w:bCs/>
          <w:color w:val="07272D"/>
          <w:sz w:val="20"/>
          <w:szCs w:val="20"/>
        </w:rPr>
        <w:t xml:space="preserve">Evidence:  </w:t>
      </w:r>
      <w:r>
        <w:rPr>
          <w:rFonts w:ascii="Calibri" w:cs="Calibri" w:eastAsia="Calibri" w:hAnsi="Calibri"/>
          <w:color w:val="1F2D2B"/>
          <w:sz w:val="20"/>
          <w:szCs w:val="20"/>
        </w:rPr>
        <w:t xml:space="preserve">Booking system screenshots; walk-in evaluation notes.</w:t>
      </w:r>
    </w:p>
    <w:p>
      <w:pPr>
        <w:spacing w:after="100"/>
      </w:pPr>
      <w:r>
        <w:rPr>
          <w:rFonts w:ascii="Calibri" w:cs="Calibri" w:eastAsia="Calibri" w:hAnsi="Calibri"/>
          <w:b/>
          <w:bCs/>
          <w:color w:val="07272D"/>
          <w:sz w:val="20"/>
          <w:szCs w:val="20"/>
        </w:rPr>
        <w:t xml:space="preserve">Recommended action:  </w:t>
      </w:r>
      <w:r>
        <w:rPr>
          <w:rFonts w:ascii="Calibri" w:cs="Calibri" w:eastAsia="Calibri" w:hAnsi="Calibri"/>
          <w:color w:val="1F2D2B"/>
          <w:sz w:val="20"/>
          <w:szCs w:val="20"/>
        </w:rPr>
        <w:t xml:space="preserve">Unblock therapist columns and manage flexibility through the system's buffer rules instead. Review online-vs-actual utilisation weekly for a month to confirm the fix.</w:t>
      </w:r>
    </w:p>
    <w:p>
      <w:pPr>
        <w:spacing w:after="100"/>
      </w:pPr>
      <w:r>
        <w:rPr>
          <w:rFonts w:ascii="Calibri" w:cs="Calibri" w:eastAsia="Calibri" w:hAnsi="Calibri"/>
          <w:b/>
          <w:bCs/>
          <w:color w:val="07272D"/>
          <w:sz w:val="20"/>
          <w:szCs w:val="20"/>
        </w:rPr>
        <w:t xml:space="preserve">Responsible:  </w:t>
      </w:r>
      <w:r>
        <w:rPr>
          <w:rFonts w:ascii="Calibri" w:cs="Calibri" w:eastAsia="Calibri" w:hAnsi="Calibri"/>
          <w:color w:val="1F2D2B"/>
          <w:sz w:val="20"/>
          <w:szCs w:val="20"/>
        </w:rPr>
        <w:t xml:space="preserve">Studio manager</w:t>
      </w:r>
    </w:p>
    <w:p>
      <w:pPr>
        <w:spacing w:after="18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1300"/>
        <w:gridCol w:w="8446"/>
      </w:tblGrid>
      <w:tr>
        <w:tc>
          <w:tcPr>
            <w:tcBorders>
              <w:top w:val="none" w:color="FFFFFF" w:sz="0"/>
              <w:left w:val="none" w:color="FFFFFF" w:sz="0"/>
              <w:bottom w:val="none" w:color="FFFFFF" w:sz="0"/>
              <w:right w:val="none" w:color="FFFFFF" w:sz="0"/>
            </w:tcBorders>
            <w:shd w:fill="FFEDD5" w:color="auto" w:val="clear"/>
            <w:tcMar>
              <w:top w:type="dxa" w:w="90"/>
              <w:left w:type="dxa" w:w="80"/>
              <w:bottom w:type="dxa" w:w="90"/>
              <w:right w:type="dxa" w:w="80"/>
            </w:tcMar>
            <w:vAlign w:val="center"/>
          </w:tcPr>
          <w:p>
            <w:pPr>
              <w:jc w:val="center"/>
            </w:pPr>
            <w:r>
              <w:rPr>
                <w:rFonts w:ascii="Calibri" w:cs="Calibri" w:eastAsia="Calibri" w:hAnsi="Calibri"/>
                <w:b/>
                <w:bCs/>
                <w:color w:val="9A3412"/>
                <w:sz w:val="16"/>
                <w:szCs w:val="16"/>
              </w:rPr>
              <w:t xml:space="preserve">HIGH</w:t>
            </w:r>
          </w:p>
        </w:tc>
        <w:tc>
          <w:tcPr>
            <w:tcBorders>
              <w:top w:val="none" w:color="FFFFFF" w:sz="0"/>
              <w:left w:val="single" w:color="06F285" w:sz="14"/>
              <w:bottom w:val="none" w:color="FFFFFF" w:sz="0"/>
              <w:right w:val="none" w:color="FFFFFF" w:sz="0"/>
            </w:tcBorders>
            <w:shd w:fill="EAF7F0" w:color="auto" w:val="clear"/>
            <w:tcMar>
              <w:top w:type="dxa" w:w="90"/>
              <w:left w:type="dxa" w:w="160"/>
              <w:bottom w:type="dxa" w:w="90"/>
              <w:right w:type="dxa" w:w="130"/>
            </w:tcMar>
            <w:vAlign w:val="center"/>
          </w:tcPr>
          <w:p>
            <w:r>
              <w:rPr>
                <w:rFonts w:ascii="Calibri" w:cs="Calibri" w:eastAsia="Calibri" w:hAnsi="Calibri"/>
                <w:b/>
                <w:bCs/>
                <w:color w:val="07272D"/>
                <w:sz w:val="20"/>
                <w:szCs w:val="20"/>
              </w:rPr>
              <w:t xml:space="preserve">CX-03</w:t>
            </w:r>
            <w:r>
              <w:rPr>
                <w:rFonts w:ascii="Calibri" w:cs="Calibri" w:eastAsia="Calibri" w:hAnsi="Calibri"/>
                <w:b/>
                <w:bCs/>
                <w:color w:val="07272D"/>
                <w:sz w:val="20"/>
                <w:szCs w:val="20"/>
              </w:rPr>
              <w:t xml:space="preserve"> — No follow-up or rebooking prompt after either visit</w:t>
            </w:r>
          </w:p>
        </w:tc>
      </w:tr>
    </w:tbl>
    <w:p>
      <w:pPr>
        <w:spacing w:after="8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1300"/>
        <w:gridCol w:w="2200"/>
        <w:gridCol w:w="3946"/>
        <w:gridCol w:w="2300"/>
      </w:tblGrid>
      <w:tr>
        <w:tc>
          <w:tcPr>
            <w:tcW w:type="dxa" w:w="13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Rating</w:t>
            </w:r>
          </w:p>
        </w:tc>
        <w:tc>
          <w:tcPr>
            <w:tcW w:type="dxa" w:w="22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Area</w:t>
            </w:r>
          </w:p>
        </w:tc>
        <w:tc>
          <w:tcPr>
            <w:tcW w:type="dxa" w:w="3946"/>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Standard / reference</w:t>
            </w:r>
          </w:p>
        </w:tc>
        <w:tc>
          <w:tcPr>
            <w:tcW w:type="dxa" w:w="23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Remediate by</w:t>
            </w:r>
          </w:p>
        </w:tc>
      </w:tr>
      <w:tr>
        <w:tc>
          <w:tcPr>
            <w:tcW w:type="dxa" w:w="1300"/>
            <w:tcBorders>
              <w:top w:val="none" w:color="FFFFFF" w:sz="0"/>
              <w:left w:val="none" w:color="FFFFFF" w:sz="0"/>
              <w:bottom w:val="none" w:color="FFFFFF" w:sz="0"/>
              <w:right w:val="none" w:color="FFFFFF" w:sz="0"/>
            </w:tcBorders>
            <w:shd w:fill="FFEDD5"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9A3412"/>
                <w:sz w:val="18"/>
                <w:szCs w:val="18"/>
              </w:rPr>
              <w:t xml:space="preserve">High</w:t>
            </w:r>
          </w:p>
        </w:tc>
        <w:tc>
          <w:tcPr>
            <w:tcW w:type="dxa" w:w="22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Post-visit journey</w:t>
            </w:r>
          </w:p>
        </w:tc>
        <w:tc>
          <w:tcPr>
            <w:tcW w:type="dxa" w:w="39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CX standard s.4.1</w:t>
            </w:r>
          </w:p>
        </w:tc>
        <w:tc>
          <w:tcPr>
            <w:tcW w:type="dxa" w:w="23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Within 7 days</w:t>
            </w:r>
          </w:p>
        </w:tc>
      </w:tr>
    </w:tbl>
    <w:p>
      <w:pPr>
        <w:spacing w:after="120"/>
      </w:pPr>
    </w:p>
    <w:p>
      <w:pPr>
        <w:spacing w:after="100"/>
      </w:pPr>
      <w:r>
        <w:rPr>
          <w:rFonts w:ascii="Calibri" w:cs="Calibri" w:eastAsia="Calibri" w:hAnsi="Calibri"/>
          <w:b/>
          <w:bCs/>
          <w:color w:val="07272D"/>
          <w:sz w:val="20"/>
          <w:szCs w:val="20"/>
        </w:rPr>
        <w:t xml:space="preserve">What we found:  </w:t>
      </w:r>
      <w:r>
        <w:rPr>
          <w:rFonts w:ascii="Calibri" w:cs="Calibri" w:eastAsia="Calibri" w:hAnsi="Calibri"/>
          <w:color w:val="1F2D2B"/>
          <w:sz w:val="20"/>
          <w:szCs w:val="20"/>
        </w:rPr>
        <w:t xml:space="preserve">Neither evaluator received any post-visit contact — no thank-you, no aftercare message, no rebooking prompt — in 10 days of monitoring. Neither was invited to rebook at checkout. The network's automated journey (aftercare message day 1, rebooking prompt day 7) is switched off at this studio.</w:t>
      </w:r>
    </w:p>
    <w:p>
      <w:pPr>
        <w:spacing w:after="100"/>
      </w:pPr>
      <w:r>
        <w:rPr>
          <w:rFonts w:ascii="Calibri" w:cs="Calibri" w:eastAsia="Calibri" w:hAnsi="Calibri"/>
          <w:b/>
          <w:bCs/>
          <w:color w:val="07272D"/>
          <w:sz w:val="20"/>
          <w:szCs w:val="20"/>
        </w:rPr>
        <w:t xml:space="preserve">Evidence:  </w:t>
      </w:r>
      <w:r>
        <w:rPr>
          <w:rFonts w:ascii="Calibri" w:cs="Calibri" w:eastAsia="Calibri" w:hAnsi="Calibri"/>
          <w:color w:val="1F2D2B"/>
          <w:sz w:val="20"/>
          <w:szCs w:val="20"/>
        </w:rPr>
        <w:t xml:space="preserve">Monitoring logs both visits; checkout observation notes; journey configuration check with network support.</w:t>
      </w:r>
    </w:p>
    <w:p>
      <w:pPr>
        <w:spacing w:after="100"/>
      </w:pPr>
      <w:r>
        <w:rPr>
          <w:rFonts w:ascii="Calibri" w:cs="Calibri" w:eastAsia="Calibri" w:hAnsi="Calibri"/>
          <w:b/>
          <w:bCs/>
          <w:color w:val="07272D"/>
          <w:sz w:val="20"/>
          <w:szCs w:val="20"/>
        </w:rPr>
        <w:t xml:space="preserve">Recommended action:  </w:t>
      </w:r>
      <w:r>
        <w:rPr>
          <w:rFonts w:ascii="Calibri" w:cs="Calibri" w:eastAsia="Calibri" w:hAnsi="Calibri"/>
          <w:color w:val="1F2D2B"/>
          <w:sz w:val="20"/>
          <w:szCs w:val="20"/>
        </w:rPr>
        <w:t xml:space="preserve">Re-enable the automated post-visit journey and train the front desk on the checkout rebooking ask. Network data attributes roughly 20% of rebookings to these two touchpoints.</w:t>
      </w:r>
    </w:p>
    <w:p>
      <w:pPr>
        <w:spacing w:after="100"/>
      </w:pPr>
      <w:r>
        <w:rPr>
          <w:rFonts w:ascii="Calibri" w:cs="Calibri" w:eastAsia="Calibri" w:hAnsi="Calibri"/>
          <w:b/>
          <w:bCs/>
          <w:color w:val="07272D"/>
          <w:sz w:val="20"/>
          <w:szCs w:val="20"/>
        </w:rPr>
        <w:t xml:space="preserve">Responsible:  </w:t>
      </w:r>
      <w:r>
        <w:rPr>
          <w:rFonts w:ascii="Calibri" w:cs="Calibri" w:eastAsia="Calibri" w:hAnsi="Calibri"/>
          <w:color w:val="1F2D2B"/>
          <w:sz w:val="20"/>
          <w:szCs w:val="20"/>
        </w:rPr>
        <w:t xml:space="preserve">Studio manager / network support</w:t>
      </w:r>
    </w:p>
    <w:p>
      <w:pPr>
        <w:spacing w:after="18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1300"/>
        <w:gridCol w:w="8446"/>
      </w:tblGrid>
      <w:tr>
        <w:tc>
          <w:tcPr>
            <w:tcBorders>
              <w:top w:val="none" w:color="FFFFFF" w:sz="0"/>
              <w:left w:val="none" w:color="FFFFFF" w:sz="0"/>
              <w:bottom w:val="none" w:color="FFFFFF" w:sz="0"/>
              <w:right w:val="none" w:color="FFFFFF" w:sz="0"/>
            </w:tcBorders>
            <w:shd w:fill="FEF9C3" w:color="auto" w:val="clear"/>
            <w:tcMar>
              <w:top w:type="dxa" w:w="90"/>
              <w:left w:type="dxa" w:w="80"/>
              <w:bottom w:type="dxa" w:w="90"/>
              <w:right w:type="dxa" w:w="80"/>
            </w:tcMar>
            <w:vAlign w:val="center"/>
          </w:tcPr>
          <w:p>
            <w:pPr>
              <w:jc w:val="center"/>
            </w:pPr>
            <w:r>
              <w:rPr>
                <w:rFonts w:ascii="Calibri" w:cs="Calibri" w:eastAsia="Calibri" w:hAnsi="Calibri"/>
                <w:b/>
                <w:bCs/>
                <w:color w:val="854D0E"/>
                <w:sz w:val="16"/>
                <w:szCs w:val="16"/>
              </w:rPr>
              <w:t xml:space="preserve">MEDIUM</w:t>
            </w:r>
          </w:p>
        </w:tc>
        <w:tc>
          <w:tcPr>
            <w:tcBorders>
              <w:top w:val="none" w:color="FFFFFF" w:sz="0"/>
              <w:left w:val="single" w:color="06F285" w:sz="14"/>
              <w:bottom w:val="none" w:color="FFFFFF" w:sz="0"/>
              <w:right w:val="none" w:color="FFFFFF" w:sz="0"/>
            </w:tcBorders>
            <w:shd w:fill="EAF7F0" w:color="auto" w:val="clear"/>
            <w:tcMar>
              <w:top w:type="dxa" w:w="90"/>
              <w:left w:type="dxa" w:w="160"/>
              <w:bottom w:type="dxa" w:w="90"/>
              <w:right w:type="dxa" w:w="130"/>
            </w:tcMar>
            <w:vAlign w:val="center"/>
          </w:tcPr>
          <w:p>
            <w:r>
              <w:rPr>
                <w:rFonts w:ascii="Calibri" w:cs="Calibri" w:eastAsia="Calibri" w:hAnsi="Calibri"/>
                <w:b/>
                <w:bCs/>
                <w:color w:val="07272D"/>
                <w:sz w:val="20"/>
                <w:szCs w:val="20"/>
              </w:rPr>
              <w:t xml:space="preserve">CX-04</w:t>
            </w:r>
            <w:r>
              <w:rPr>
                <w:rFonts w:ascii="Calibri" w:cs="Calibri" w:eastAsia="Calibri" w:hAnsi="Calibri"/>
                <w:b/>
                <w:bCs/>
                <w:color w:val="07272D"/>
                <w:sz w:val="20"/>
                <w:szCs w:val="20"/>
              </w:rPr>
              <w:t xml:space="preserve"> — Consultation skipped for a first-visit client</w:t>
            </w:r>
          </w:p>
        </w:tc>
      </w:tr>
    </w:tbl>
    <w:p>
      <w:pPr>
        <w:spacing w:after="8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1300"/>
        <w:gridCol w:w="2200"/>
        <w:gridCol w:w="3946"/>
        <w:gridCol w:w="2300"/>
      </w:tblGrid>
      <w:tr>
        <w:tc>
          <w:tcPr>
            <w:tcW w:type="dxa" w:w="13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Rating</w:t>
            </w:r>
          </w:p>
        </w:tc>
        <w:tc>
          <w:tcPr>
            <w:tcW w:type="dxa" w:w="22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Area</w:t>
            </w:r>
          </w:p>
        </w:tc>
        <w:tc>
          <w:tcPr>
            <w:tcW w:type="dxa" w:w="3946"/>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Standard / reference</w:t>
            </w:r>
          </w:p>
        </w:tc>
        <w:tc>
          <w:tcPr>
            <w:tcW w:type="dxa" w:w="23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Remediate by</w:t>
            </w:r>
          </w:p>
        </w:tc>
      </w:tr>
      <w:tr>
        <w:tc>
          <w:tcPr>
            <w:tcW w:type="dxa" w:w="1300"/>
            <w:tcBorders>
              <w:top w:val="none" w:color="FFFFFF" w:sz="0"/>
              <w:left w:val="none" w:color="FFFFFF" w:sz="0"/>
              <w:bottom w:val="none" w:color="FFFFFF" w:sz="0"/>
              <w:right w:val="none" w:color="FFFFFF" w:sz="0"/>
            </w:tcBorders>
            <w:shd w:fill="FEF9C3"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854D0E"/>
                <w:sz w:val="18"/>
                <w:szCs w:val="18"/>
              </w:rPr>
              <w:t xml:space="preserve">Medium</w:t>
            </w:r>
          </w:p>
        </w:tc>
        <w:tc>
          <w:tcPr>
            <w:tcW w:type="dxa" w:w="22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Consultation</w:t>
            </w:r>
          </w:p>
        </w:tc>
        <w:tc>
          <w:tcPr>
            <w:tcW w:type="dxa" w:w="39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CX standard s.2.3; treatment protocol</w:t>
            </w:r>
          </w:p>
        </w:tc>
        <w:tc>
          <w:tcPr>
            <w:tcW w:type="dxa" w:w="23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Within 30 days</w:t>
            </w:r>
          </w:p>
        </w:tc>
      </w:tr>
    </w:tbl>
    <w:p>
      <w:pPr>
        <w:spacing w:after="120"/>
      </w:pPr>
    </w:p>
    <w:p>
      <w:pPr>
        <w:spacing w:after="100"/>
      </w:pPr>
      <w:r>
        <w:rPr>
          <w:rFonts w:ascii="Calibri" w:cs="Calibri" w:eastAsia="Calibri" w:hAnsi="Calibri"/>
          <w:b/>
          <w:bCs/>
          <w:color w:val="07272D"/>
          <w:sz w:val="20"/>
          <w:szCs w:val="20"/>
        </w:rPr>
        <w:t xml:space="preserve">What we found:  </w:t>
      </w:r>
      <w:r>
        <w:rPr>
          <w:rFonts w:ascii="Calibri" w:cs="Calibri" w:eastAsia="Calibri" w:hAnsi="Calibri"/>
          <w:color w:val="1F2D2B"/>
          <w:sz w:val="20"/>
          <w:szCs w:val="20"/>
        </w:rPr>
        <w:t xml:space="preserve">Evaluator 2 (presenting as a first-time client) was taken straight to treatment with no consultation form, contraindication check, or preference discussion. Beyond the experience gap, skipping contraindication screening is a clinical-governance issue.</w:t>
      </w:r>
    </w:p>
    <w:p>
      <w:pPr>
        <w:spacing w:after="100"/>
      </w:pPr>
      <w:r>
        <w:rPr>
          <w:rFonts w:ascii="Calibri" w:cs="Calibri" w:eastAsia="Calibri" w:hAnsi="Calibri"/>
          <w:b/>
          <w:bCs/>
          <w:color w:val="07272D"/>
          <w:sz w:val="20"/>
          <w:szCs w:val="20"/>
        </w:rPr>
        <w:t xml:space="preserve">Evidence:  </w:t>
      </w:r>
      <w:r>
        <w:rPr>
          <w:rFonts w:ascii="Calibri" w:cs="Calibri" w:eastAsia="Calibri" w:hAnsi="Calibri"/>
          <w:color w:val="1F2D2B"/>
          <w:sz w:val="20"/>
          <w:szCs w:val="20"/>
        </w:rPr>
        <w:t xml:space="preserve">Evaluation report 2, items 14–19.</w:t>
      </w:r>
    </w:p>
    <w:p>
      <w:pPr>
        <w:spacing w:after="100"/>
      </w:pPr>
      <w:r>
        <w:rPr>
          <w:rFonts w:ascii="Calibri" w:cs="Calibri" w:eastAsia="Calibri" w:hAnsi="Calibri"/>
          <w:b/>
          <w:bCs/>
          <w:color w:val="07272D"/>
          <w:sz w:val="20"/>
          <w:szCs w:val="20"/>
        </w:rPr>
        <w:t xml:space="preserve">Recommended action:  </w:t>
      </w:r>
      <w:r>
        <w:rPr>
          <w:rFonts w:ascii="Calibri" w:cs="Calibri" w:eastAsia="Calibri" w:hAnsi="Calibri"/>
          <w:color w:val="1F2D2B"/>
          <w:sz w:val="20"/>
          <w:szCs w:val="20"/>
        </w:rPr>
        <w:t xml:space="preserve">Reinstate the mandatory first-visit consultation. The digital intake form (sent at booking) reduces the in-studio time cost to under three minutes.</w:t>
      </w:r>
    </w:p>
    <w:p>
      <w:pPr>
        <w:spacing w:after="100"/>
      </w:pPr>
      <w:r>
        <w:rPr>
          <w:rFonts w:ascii="Calibri" w:cs="Calibri" w:eastAsia="Calibri" w:hAnsi="Calibri"/>
          <w:b/>
          <w:bCs/>
          <w:color w:val="07272D"/>
          <w:sz w:val="20"/>
          <w:szCs w:val="20"/>
        </w:rPr>
        <w:t xml:space="preserve">Responsible:  </w:t>
      </w:r>
      <w:r>
        <w:rPr>
          <w:rFonts w:ascii="Calibri" w:cs="Calibri" w:eastAsia="Calibri" w:hAnsi="Calibri"/>
          <w:color w:val="1F2D2B"/>
          <w:sz w:val="20"/>
          <w:szCs w:val="20"/>
        </w:rPr>
        <w:t xml:space="preserve">Studio manager / senior therapist</w:t>
      </w:r>
    </w:p>
    <w:p>
      <w:pPr>
        <w:spacing w:after="18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1300"/>
        <w:gridCol w:w="8446"/>
      </w:tblGrid>
      <w:tr>
        <w:tc>
          <w:tcPr>
            <w:tcBorders>
              <w:top w:val="none" w:color="FFFFFF" w:sz="0"/>
              <w:left w:val="none" w:color="FFFFFF" w:sz="0"/>
              <w:bottom w:val="none" w:color="FFFFFF" w:sz="0"/>
              <w:right w:val="none" w:color="FFFFFF" w:sz="0"/>
            </w:tcBorders>
            <w:shd w:fill="FEF9C3" w:color="auto" w:val="clear"/>
            <w:tcMar>
              <w:top w:type="dxa" w:w="90"/>
              <w:left w:type="dxa" w:w="80"/>
              <w:bottom w:type="dxa" w:w="90"/>
              <w:right w:type="dxa" w:w="80"/>
            </w:tcMar>
            <w:vAlign w:val="center"/>
          </w:tcPr>
          <w:p>
            <w:pPr>
              <w:jc w:val="center"/>
            </w:pPr>
            <w:r>
              <w:rPr>
                <w:rFonts w:ascii="Calibri" w:cs="Calibri" w:eastAsia="Calibri" w:hAnsi="Calibri"/>
                <w:b/>
                <w:bCs/>
                <w:color w:val="854D0E"/>
                <w:sz w:val="16"/>
                <w:szCs w:val="16"/>
              </w:rPr>
              <w:t xml:space="preserve">MEDIUM</w:t>
            </w:r>
          </w:p>
        </w:tc>
        <w:tc>
          <w:tcPr>
            <w:tcBorders>
              <w:top w:val="none" w:color="FFFFFF" w:sz="0"/>
              <w:left w:val="single" w:color="06F285" w:sz="14"/>
              <w:bottom w:val="none" w:color="FFFFFF" w:sz="0"/>
              <w:right w:val="none" w:color="FFFFFF" w:sz="0"/>
            </w:tcBorders>
            <w:shd w:fill="EAF7F0" w:color="auto" w:val="clear"/>
            <w:tcMar>
              <w:top w:type="dxa" w:w="90"/>
              <w:left w:type="dxa" w:w="160"/>
              <w:bottom w:type="dxa" w:w="90"/>
              <w:right w:type="dxa" w:w="130"/>
            </w:tcMar>
            <w:vAlign w:val="center"/>
          </w:tcPr>
          <w:p>
            <w:r>
              <w:rPr>
                <w:rFonts w:ascii="Calibri" w:cs="Calibri" w:eastAsia="Calibri" w:hAnsi="Calibri"/>
                <w:b/>
                <w:bCs/>
                <w:color w:val="07272D"/>
                <w:sz w:val="20"/>
                <w:szCs w:val="20"/>
              </w:rPr>
              <w:t xml:space="preserve">CX-05</w:t>
            </w:r>
            <w:r>
              <w:rPr>
                <w:rFonts w:ascii="Calibri" w:cs="Calibri" w:eastAsia="Calibri" w:hAnsi="Calibri"/>
                <w:b/>
                <w:bCs/>
                <w:color w:val="07272D"/>
                <w:sz w:val="20"/>
                <w:szCs w:val="20"/>
              </w:rPr>
              <w:t xml:space="preserve"> — No aftercare or retail recommendation at either checkout</w:t>
            </w:r>
          </w:p>
        </w:tc>
      </w:tr>
    </w:tbl>
    <w:p>
      <w:pPr>
        <w:spacing w:after="8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1300"/>
        <w:gridCol w:w="2200"/>
        <w:gridCol w:w="3946"/>
        <w:gridCol w:w="2300"/>
      </w:tblGrid>
      <w:tr>
        <w:tc>
          <w:tcPr>
            <w:tcW w:type="dxa" w:w="13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Rating</w:t>
            </w:r>
          </w:p>
        </w:tc>
        <w:tc>
          <w:tcPr>
            <w:tcW w:type="dxa" w:w="22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Area</w:t>
            </w:r>
          </w:p>
        </w:tc>
        <w:tc>
          <w:tcPr>
            <w:tcW w:type="dxa" w:w="3946"/>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Standard / reference</w:t>
            </w:r>
          </w:p>
        </w:tc>
        <w:tc>
          <w:tcPr>
            <w:tcW w:type="dxa" w:w="23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Remediate by</w:t>
            </w:r>
          </w:p>
        </w:tc>
      </w:tr>
      <w:tr>
        <w:tc>
          <w:tcPr>
            <w:tcW w:type="dxa" w:w="1300"/>
            <w:tcBorders>
              <w:top w:val="none" w:color="FFFFFF" w:sz="0"/>
              <w:left w:val="none" w:color="FFFFFF" w:sz="0"/>
              <w:bottom w:val="none" w:color="FFFFFF" w:sz="0"/>
              <w:right w:val="none" w:color="FFFFFF" w:sz="0"/>
            </w:tcBorders>
            <w:shd w:fill="FEF9C3"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854D0E"/>
                <w:sz w:val="18"/>
                <w:szCs w:val="18"/>
              </w:rPr>
              <w:t xml:space="preserve">Medium</w:t>
            </w:r>
          </w:p>
        </w:tc>
        <w:tc>
          <w:tcPr>
            <w:tcW w:type="dxa" w:w="22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Retail &amp; checkout</w:t>
            </w:r>
          </w:p>
        </w:tc>
        <w:tc>
          <w:tcPr>
            <w:tcW w:type="dxa" w:w="39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CX standard s.3.2</w:t>
            </w:r>
          </w:p>
        </w:tc>
        <w:tc>
          <w:tcPr>
            <w:tcW w:type="dxa" w:w="23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Within 30 days</w:t>
            </w:r>
          </w:p>
        </w:tc>
      </w:tr>
    </w:tbl>
    <w:p>
      <w:pPr>
        <w:spacing w:after="120"/>
      </w:pPr>
    </w:p>
    <w:p>
      <w:pPr>
        <w:spacing w:after="100"/>
      </w:pPr>
      <w:r>
        <w:rPr>
          <w:rFonts w:ascii="Calibri" w:cs="Calibri" w:eastAsia="Calibri" w:hAnsi="Calibri"/>
          <w:b/>
          <w:bCs/>
          <w:color w:val="07272D"/>
          <w:sz w:val="20"/>
          <w:szCs w:val="20"/>
        </w:rPr>
        <w:t xml:space="preserve">What we found:  </w:t>
      </w:r>
      <w:r>
        <w:rPr>
          <w:rFonts w:ascii="Calibri" w:cs="Calibri" w:eastAsia="Calibri" w:hAnsi="Calibri"/>
          <w:color w:val="1F2D2B"/>
          <w:sz w:val="20"/>
          <w:szCs w:val="20"/>
        </w:rPr>
        <w:t xml:space="preserve">Neither evaluator received an aftercare recommendation despite both treatments having a natural product follow-on. The studio's retail attach rate (11%) is under half the network median (26%) — consistent with what we observed.</w:t>
      </w:r>
    </w:p>
    <w:p>
      <w:pPr>
        <w:spacing w:after="100"/>
      </w:pPr>
      <w:r>
        <w:rPr>
          <w:rFonts w:ascii="Calibri" w:cs="Calibri" w:eastAsia="Calibri" w:hAnsi="Calibri"/>
          <w:b/>
          <w:bCs/>
          <w:color w:val="07272D"/>
          <w:sz w:val="20"/>
          <w:szCs w:val="20"/>
        </w:rPr>
        <w:t xml:space="preserve">Evidence:  </w:t>
      </w:r>
      <w:r>
        <w:rPr>
          <w:rFonts w:ascii="Calibri" w:cs="Calibri" w:eastAsia="Calibri" w:hAnsi="Calibri"/>
          <w:color w:val="1F2D2B"/>
          <w:sz w:val="20"/>
          <w:szCs w:val="20"/>
        </w:rPr>
        <w:t xml:space="preserve">Checkout observations both visits; network retail benchmarking data.</w:t>
      </w:r>
    </w:p>
    <w:p>
      <w:pPr>
        <w:spacing w:after="100"/>
      </w:pPr>
      <w:r>
        <w:rPr>
          <w:rFonts w:ascii="Calibri" w:cs="Calibri" w:eastAsia="Calibri" w:hAnsi="Calibri"/>
          <w:b/>
          <w:bCs/>
          <w:color w:val="07272D"/>
          <w:sz w:val="20"/>
          <w:szCs w:val="20"/>
        </w:rPr>
        <w:t xml:space="preserve">Recommended action:  </w:t>
      </w:r>
      <w:r>
        <w:rPr>
          <w:rFonts w:ascii="Calibri" w:cs="Calibri" w:eastAsia="Calibri" w:hAnsi="Calibri"/>
          <w:color w:val="1F2D2B"/>
          <w:sz w:val="20"/>
          <w:szCs w:val="20"/>
        </w:rPr>
        <w:t xml:space="preserve">Introduce the network's 'prescription pad' aftercare recommendation at checkout — positioned as care advice, not selling, which also matches how the studio's team naturally communicates.</w:t>
      </w:r>
    </w:p>
    <w:p>
      <w:pPr>
        <w:spacing w:after="100"/>
      </w:pPr>
      <w:r>
        <w:rPr>
          <w:rFonts w:ascii="Calibri" w:cs="Calibri" w:eastAsia="Calibri" w:hAnsi="Calibri"/>
          <w:b/>
          <w:bCs/>
          <w:color w:val="07272D"/>
          <w:sz w:val="20"/>
          <w:szCs w:val="20"/>
        </w:rPr>
        <w:t xml:space="preserve">Responsible:  </w:t>
      </w:r>
      <w:r>
        <w:rPr>
          <w:rFonts w:ascii="Calibri" w:cs="Calibri" w:eastAsia="Calibri" w:hAnsi="Calibri"/>
          <w:color w:val="1F2D2B"/>
          <w:sz w:val="20"/>
          <w:szCs w:val="20"/>
        </w:rPr>
        <w:t xml:space="preserve">Studio manager</w:t>
      </w:r>
    </w:p>
    <w:p>
      <w:pPr>
        <w:spacing w:after="18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1300"/>
        <w:gridCol w:w="8446"/>
      </w:tblGrid>
      <w:tr>
        <w:tc>
          <w:tcPr>
            <w:tcBorders>
              <w:top w:val="none" w:color="FFFFFF" w:sz="0"/>
              <w:left w:val="none" w:color="FFFFFF" w:sz="0"/>
              <w:bottom w:val="none" w:color="FFFFFF" w:sz="0"/>
              <w:right w:val="none" w:color="FFFFFF" w:sz="0"/>
            </w:tcBorders>
            <w:shd w:fill="DBEAFE" w:color="auto" w:val="clear"/>
            <w:tcMar>
              <w:top w:type="dxa" w:w="90"/>
              <w:left w:type="dxa" w:w="80"/>
              <w:bottom w:type="dxa" w:w="90"/>
              <w:right w:type="dxa" w:w="80"/>
            </w:tcMar>
            <w:vAlign w:val="center"/>
          </w:tcPr>
          <w:p>
            <w:pPr>
              <w:jc w:val="center"/>
            </w:pPr>
            <w:r>
              <w:rPr>
                <w:rFonts w:ascii="Calibri" w:cs="Calibri" w:eastAsia="Calibri" w:hAnsi="Calibri"/>
                <w:b/>
                <w:bCs/>
                <w:color w:val="1E40AF"/>
                <w:sz w:val="16"/>
                <w:szCs w:val="16"/>
              </w:rPr>
              <w:t xml:space="preserve">OBSERVATION</w:t>
            </w:r>
          </w:p>
        </w:tc>
        <w:tc>
          <w:tcPr>
            <w:tcBorders>
              <w:top w:val="none" w:color="FFFFFF" w:sz="0"/>
              <w:left w:val="single" w:color="06F285" w:sz="14"/>
              <w:bottom w:val="none" w:color="FFFFFF" w:sz="0"/>
              <w:right w:val="none" w:color="FFFFFF" w:sz="0"/>
            </w:tcBorders>
            <w:shd w:fill="EAF7F0" w:color="auto" w:val="clear"/>
            <w:tcMar>
              <w:top w:type="dxa" w:w="90"/>
              <w:left w:type="dxa" w:w="160"/>
              <w:bottom w:type="dxa" w:w="90"/>
              <w:right w:type="dxa" w:w="130"/>
            </w:tcMar>
            <w:vAlign w:val="center"/>
          </w:tcPr>
          <w:p>
            <w:r>
              <w:rPr>
                <w:rFonts w:ascii="Calibri" w:cs="Calibri" w:eastAsia="Calibri" w:hAnsi="Calibri"/>
                <w:b/>
                <w:bCs/>
                <w:color w:val="07272D"/>
                <w:sz w:val="20"/>
                <w:szCs w:val="20"/>
              </w:rPr>
              <w:t xml:space="preserve">CX-06</w:t>
            </w:r>
            <w:r>
              <w:rPr>
                <w:rFonts w:ascii="Calibri" w:cs="Calibri" w:eastAsia="Calibri" w:hAnsi="Calibri"/>
                <w:b/>
                <w:bCs/>
                <w:color w:val="07272D"/>
                <w:sz w:val="20"/>
                <w:szCs w:val="20"/>
              </w:rPr>
              <w:t xml:space="preserve"> — Relaxation-area noise intrusion from adjacent retail tenancy</w:t>
            </w:r>
          </w:p>
        </w:tc>
      </w:tr>
    </w:tbl>
    <w:p>
      <w:pPr>
        <w:spacing w:after="8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1300"/>
        <w:gridCol w:w="2200"/>
        <w:gridCol w:w="3946"/>
        <w:gridCol w:w="2300"/>
      </w:tblGrid>
      <w:tr>
        <w:tc>
          <w:tcPr>
            <w:tcW w:type="dxa" w:w="13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Rating</w:t>
            </w:r>
          </w:p>
        </w:tc>
        <w:tc>
          <w:tcPr>
            <w:tcW w:type="dxa" w:w="22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Area</w:t>
            </w:r>
          </w:p>
        </w:tc>
        <w:tc>
          <w:tcPr>
            <w:tcW w:type="dxa" w:w="3946"/>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Standard / reference</w:t>
            </w:r>
          </w:p>
        </w:tc>
        <w:tc>
          <w:tcPr>
            <w:tcW w:type="dxa" w:w="23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Remediate by</w:t>
            </w:r>
          </w:p>
        </w:tc>
      </w:tr>
      <w:tr>
        <w:tc>
          <w:tcPr>
            <w:tcW w:type="dxa" w:w="1300"/>
            <w:tcBorders>
              <w:top w:val="none" w:color="FFFFFF" w:sz="0"/>
              <w:left w:val="none" w:color="FFFFFF" w:sz="0"/>
              <w:bottom w:val="none" w:color="FFFFFF" w:sz="0"/>
              <w:right w:val="none" w:color="FFFFFF" w:sz="0"/>
            </w:tcBorders>
            <w:shd w:fill="DBEAFE"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1E40AF"/>
                <w:sz w:val="18"/>
                <w:szCs w:val="18"/>
              </w:rPr>
              <w:t xml:space="preserve">Observation</w:t>
            </w:r>
          </w:p>
        </w:tc>
        <w:tc>
          <w:tcPr>
            <w:tcW w:type="dxa" w:w="22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Environment</w:t>
            </w:r>
          </w:p>
        </w:tc>
        <w:tc>
          <w:tcPr>
            <w:tcW w:type="dxa" w:w="39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CX standard s.2.1</w:t>
            </w:r>
          </w:p>
        </w:tc>
        <w:tc>
          <w:tcPr>
            <w:tcW w:type="dxa" w:w="23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At next review</w:t>
            </w:r>
          </w:p>
        </w:tc>
      </w:tr>
    </w:tbl>
    <w:p>
      <w:pPr>
        <w:spacing w:after="120"/>
      </w:pPr>
    </w:p>
    <w:p>
      <w:pPr>
        <w:spacing w:after="100"/>
      </w:pPr>
      <w:r>
        <w:rPr>
          <w:rFonts w:ascii="Calibri" w:cs="Calibri" w:eastAsia="Calibri" w:hAnsi="Calibri"/>
          <w:b/>
          <w:bCs/>
          <w:color w:val="07272D"/>
          <w:sz w:val="20"/>
          <w:szCs w:val="20"/>
        </w:rPr>
        <w:t xml:space="preserve">What we found:  </w:t>
      </w:r>
      <w:r>
        <w:rPr>
          <w:rFonts w:ascii="Calibri" w:cs="Calibri" w:eastAsia="Calibri" w:hAnsi="Calibri"/>
          <w:color w:val="1F2D2B"/>
          <w:sz w:val="20"/>
          <w:szCs w:val="20"/>
        </w:rPr>
        <w:t xml:space="preserve">Both evaluators noted clearly audible music and voice noise from the adjacent tenancy in the relaxation area during treatments — outside the studio's direct control but material to the premium experience.</w:t>
      </w:r>
    </w:p>
    <w:p>
      <w:pPr>
        <w:spacing w:after="100"/>
      </w:pPr>
      <w:r>
        <w:rPr>
          <w:rFonts w:ascii="Calibri" w:cs="Calibri" w:eastAsia="Calibri" w:hAnsi="Calibri"/>
          <w:b/>
          <w:bCs/>
          <w:color w:val="07272D"/>
          <w:sz w:val="20"/>
          <w:szCs w:val="20"/>
        </w:rPr>
        <w:t xml:space="preserve">Evidence:  </w:t>
      </w:r>
      <w:r>
        <w:rPr>
          <w:rFonts w:ascii="Calibri" w:cs="Calibri" w:eastAsia="Calibri" w:hAnsi="Calibri"/>
          <w:color w:val="1F2D2B"/>
          <w:sz w:val="20"/>
          <w:szCs w:val="20"/>
        </w:rPr>
        <w:t xml:space="preserve">Evaluation reports 1 and 2; decibel spot readings.</w:t>
      </w:r>
    </w:p>
    <w:p>
      <w:pPr>
        <w:spacing w:after="100"/>
      </w:pPr>
      <w:r>
        <w:rPr>
          <w:rFonts w:ascii="Calibri" w:cs="Calibri" w:eastAsia="Calibri" w:hAnsi="Calibri"/>
          <w:b/>
          <w:bCs/>
          <w:color w:val="07272D"/>
          <w:sz w:val="20"/>
          <w:szCs w:val="20"/>
        </w:rPr>
        <w:t xml:space="preserve">Recommended action:  </w:t>
      </w:r>
      <w:r>
        <w:rPr>
          <w:rFonts w:ascii="Calibri" w:cs="Calibri" w:eastAsia="Calibri" w:hAnsi="Calibri"/>
          <w:color w:val="1F2D2B"/>
          <w:sz w:val="20"/>
          <w:szCs w:val="20"/>
        </w:rPr>
        <w:t xml:space="preserve">Raise with centre management (lease quiet-enjoyment provisions may assist); interim mitigation via ambient sound masking in the relaxation area.</w:t>
      </w:r>
    </w:p>
    <w:p>
      <w:pPr>
        <w:spacing w:after="100"/>
      </w:pPr>
      <w:r>
        <w:rPr>
          <w:rFonts w:ascii="Calibri" w:cs="Calibri" w:eastAsia="Calibri" w:hAnsi="Calibri"/>
          <w:b/>
          <w:bCs/>
          <w:color w:val="07272D"/>
          <w:sz w:val="20"/>
          <w:szCs w:val="20"/>
        </w:rPr>
        <w:t xml:space="preserve">Responsible:  </w:t>
      </w:r>
      <w:r>
        <w:rPr>
          <w:rFonts w:ascii="Calibri" w:cs="Calibri" w:eastAsia="Calibri" w:hAnsi="Calibri"/>
          <w:color w:val="1F2D2B"/>
          <w:sz w:val="20"/>
          <w:szCs w:val="20"/>
        </w:rPr>
        <w:t xml:space="preserve">Franchisee</w:t>
      </w:r>
    </w:p>
    <w:p>
      <w:pPr>
        <w:spacing w:after="24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07272D" w:color="auto" w:val="clear"/>
            <w:tcMar>
              <w:top w:type="dxa" w:w="110"/>
              <w:left w:type="dxa" w:w="180"/>
              <w:bottom w:type="dxa" w:w="110"/>
              <w:right w:type="dxa" w:w="180"/>
            </w:tcMar>
          </w:tcPr>
          <w:p>
            <w:pPr>
              <w:spacing w:after="0" w:before="0"/>
            </w:pPr>
            <w:r>
              <w:rPr>
                <w:rFonts w:ascii="Calibri" w:cs="Calibri" w:eastAsia="Calibri" w:hAnsi="Calibri"/>
                <w:b/>
                <w:bCs/>
                <w:color w:val="06F285"/>
                <w:sz w:val="15"/>
                <w:szCs w:val="15"/>
              </w:rPr>
              <w:t xml:space="preserve">SECTION 5</w:t>
            </w:r>
            <w:r>
              <w:rPr>
                <w:rFonts w:ascii="Calibri" w:cs="Calibri" w:eastAsia="Calibri" w:hAnsi="Calibri"/>
                <w:color w:val="3A6B52"/>
                <w:sz w:val="15"/>
                <w:szCs w:val="15"/>
              </w:rPr>
              <w:t xml:space="preserve">   │   </w:t>
            </w:r>
            <w:r>
              <w:rPr>
                <w:rFonts w:ascii="Calibri" w:cs="Calibri" w:eastAsia="Calibri" w:hAnsi="Calibri"/>
                <w:b/>
                <w:bCs/>
                <w:color w:val="FFFFFF"/>
                <w:sz w:val="20"/>
                <w:szCs w:val="20"/>
              </w:rPr>
              <w:t xml:space="preserve">WHAT'S WORKING WELL</w:t>
            </w:r>
          </w:p>
        </w:tc>
      </w:tr>
    </w:tbl>
    <w:p>
      <w:pPr>
        <w:spacing w:after="160"/>
      </w:pPr>
    </w:p>
    <w:p>
      <w:pPr>
        <w:spacing w:after="160"/>
      </w:pPr>
      <w:r>
        <w:rPr>
          <w:rFonts w:ascii="Calibri" w:cs="Calibri" w:eastAsia="Calibri" w:hAnsi="Calibri"/>
          <w:color w:val="1F2D2B"/>
          <w:sz w:val="20"/>
          <w:szCs w:val="20"/>
        </w:rPr>
        <w:t xml:space="preserve">An audit should recognise strength as clearly as it flags risk. The following practices met or exceeded the network standard:</w:t>
      </w:r>
    </w:p>
    <w:p>
      <w:pPr>
        <w:spacing w:after="80"/>
      </w:pPr>
    </w:p>
    <w:p>
      <w:pPr>
        <w:pStyle w:val="ListParagraph"/>
        <w:numPr>
          <w:ilvl w:val="0"/>
          <w:numId w:val="1"/>
        </w:numPr>
        <w:spacing w:after="80"/>
      </w:pPr>
      <w:r>
        <w:rPr>
          <w:rFonts w:ascii="Calibri" w:cs="Calibri" w:eastAsia="Calibri" w:hAnsi="Calibri"/>
          <w:color w:val="1F2D2B"/>
          <w:sz w:val="20"/>
          <w:szCs w:val="20"/>
        </w:rPr>
        <w:t xml:space="preserve">Treatment quality is outstanding — both evaluations scored 95%+ in-treatment, top decile for the network</w:t>
      </w:r>
    </w:p>
    <w:p>
      <w:pPr>
        <w:pStyle w:val="ListParagraph"/>
        <w:numPr>
          <w:ilvl w:val="0"/>
          <w:numId w:val="1"/>
        </w:numPr>
        <w:spacing w:after="80"/>
      </w:pPr>
      <w:r>
        <w:rPr>
          <w:rFonts w:ascii="Calibri" w:cs="Calibri" w:eastAsia="Calibri" w:hAnsi="Calibri"/>
          <w:color w:val="1F2D2B"/>
          <w:sz w:val="20"/>
          <w:szCs w:val="20"/>
        </w:rPr>
        <w:t xml:space="preserve">Studio presentation, hygiene, and treatment-room standards were immaculate on both visits</w:t>
      </w:r>
    </w:p>
    <w:p>
      <w:pPr>
        <w:pStyle w:val="ListParagraph"/>
        <w:numPr>
          <w:ilvl w:val="0"/>
          <w:numId w:val="1"/>
        </w:numPr>
        <w:spacing w:after="80"/>
      </w:pPr>
      <w:r>
        <w:rPr>
          <w:rFonts w:ascii="Calibri" w:cs="Calibri" w:eastAsia="Calibri" w:hAnsi="Calibri"/>
          <w:color w:val="1F2D2B"/>
          <w:sz w:val="20"/>
          <w:szCs w:val="20"/>
        </w:rPr>
        <w:t xml:space="preserve">The welcome on arrival (when clients get there) is warm, personal, and unhurried</w:t>
      </w:r>
    </w:p>
    <w:p>
      <w:pPr>
        <w:pStyle w:val="ListParagraph"/>
        <w:numPr>
          <w:ilvl w:val="0"/>
          <w:numId w:val="1"/>
        </w:numPr>
        <w:spacing w:after="80"/>
      </w:pPr>
      <w:r>
        <w:rPr>
          <w:rFonts w:ascii="Calibri" w:cs="Calibri" w:eastAsia="Calibri" w:hAnsi="Calibri"/>
          <w:color w:val="1F2D2B"/>
          <w:sz w:val="20"/>
          <w:szCs w:val="20"/>
        </w:rPr>
        <w:t xml:space="preserve">NPS verbatims are strikingly loyal to individual therapists — a retention asset most studios would envy</w:t>
      </w:r>
    </w:p>
    <w:p>
      <w:pPr>
        <w:spacing w:after="24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07272D" w:color="auto" w:val="clear"/>
            <w:tcMar>
              <w:top w:type="dxa" w:w="110"/>
              <w:left w:type="dxa" w:w="180"/>
              <w:bottom w:type="dxa" w:w="110"/>
              <w:right w:type="dxa" w:w="180"/>
            </w:tcMar>
          </w:tcPr>
          <w:p>
            <w:pPr>
              <w:spacing w:after="0" w:before="0"/>
            </w:pPr>
            <w:r>
              <w:rPr>
                <w:rFonts w:ascii="Calibri" w:cs="Calibri" w:eastAsia="Calibri" w:hAnsi="Calibri"/>
                <w:b/>
                <w:bCs/>
                <w:color w:val="06F285"/>
                <w:sz w:val="15"/>
                <w:szCs w:val="15"/>
              </w:rPr>
              <w:t xml:space="preserve">SECTION 6</w:t>
            </w:r>
            <w:r>
              <w:rPr>
                <w:rFonts w:ascii="Calibri" w:cs="Calibri" w:eastAsia="Calibri" w:hAnsi="Calibri"/>
                <w:color w:val="3A6B52"/>
                <w:sz w:val="15"/>
                <w:szCs w:val="15"/>
              </w:rPr>
              <w:t xml:space="preserve">   │   </w:t>
            </w:r>
            <w:r>
              <w:rPr>
                <w:rFonts w:ascii="Calibri" w:cs="Calibri" w:eastAsia="Calibri" w:hAnsi="Calibri"/>
                <w:b/>
                <w:bCs/>
                <w:color w:val="FFFFFF"/>
                <w:sz w:val="20"/>
                <w:szCs w:val="20"/>
              </w:rPr>
              <w:t xml:space="preserve">REMEDIATION ROADMAP</w:t>
            </w:r>
          </w:p>
        </w:tc>
      </w:tr>
    </w:tbl>
    <w:p>
      <w:pPr>
        <w:spacing w:after="160"/>
      </w:pPr>
    </w:p>
    <w:p>
      <w:pPr>
        <w:spacing w:after="160"/>
      </w:pPr>
      <w:r>
        <w:rPr>
          <w:rFonts w:ascii="Calibri" w:cs="Calibri" w:eastAsia="Calibri" w:hAnsi="Calibri"/>
          <w:color w:val="1F2D2B"/>
          <w:sz w:val="20"/>
          <w:szCs w:val="20"/>
        </w:rPr>
        <w:t xml:space="preserve">Actions are sequenced by risk. Maintain Audits can verify closure of each item through a follow-up desktop review or re-inspection.</w:t>
      </w:r>
    </w:p>
    <w:p>
      <w:pPr>
        <w:spacing w:after="12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800"/>
        <w:gridCol w:w="3846"/>
        <w:gridCol w:w="2900"/>
        <w:gridCol w:w="2200"/>
      </w:tblGrid>
      <w:tr>
        <w:tc>
          <w:tcPr>
            <w:tcW w:type="dxa" w:w="8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ID</w:t>
            </w:r>
          </w:p>
        </w:tc>
        <w:tc>
          <w:tcPr>
            <w:tcW w:type="dxa" w:w="3846"/>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Action</w:t>
            </w:r>
          </w:p>
        </w:tc>
        <w:tc>
          <w:tcPr>
            <w:tcW w:type="dxa" w:w="29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Owner</w:t>
            </w:r>
          </w:p>
        </w:tc>
        <w:tc>
          <w:tcPr>
            <w:tcW w:type="dxa" w:w="22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Due</w:t>
            </w:r>
          </w:p>
        </w:tc>
      </w:tr>
      <w:tr>
        <w:tc>
          <w:tcPr>
            <w:tcW w:type="dxa" w:w="8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07272D"/>
                <w:sz w:val="18"/>
                <w:szCs w:val="18"/>
              </w:rPr>
              <w:t xml:space="preserve">CX-01</w:t>
            </w:r>
          </w:p>
        </w:tc>
        <w:tc>
          <w:tcPr>
            <w:tcW w:type="dxa" w:w="3846"/>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Implement missed-call protocol and enable SMS auto-reply</w:t>
            </w:r>
          </w:p>
        </w:tc>
        <w:tc>
          <w:tcPr>
            <w:tcW w:type="dxa" w:w="29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Studio manager</w:t>
            </w:r>
          </w:p>
        </w:tc>
        <w:tc>
          <w:tcPr>
            <w:tcW w:type="dxa" w:w="22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1F2D2B"/>
                <w:sz w:val="18"/>
                <w:szCs w:val="18"/>
              </w:rPr>
              <w:t xml:space="preserve">Within 7 days</w:t>
            </w:r>
          </w:p>
        </w:tc>
      </w:tr>
      <w:tr>
        <w:tc>
          <w:tcPr>
            <w:tcW w:type="dxa" w:w="8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07272D"/>
                <w:sz w:val="18"/>
                <w:szCs w:val="18"/>
              </w:rPr>
              <w:t xml:space="preserve">CX-02</w:t>
            </w:r>
          </w:p>
        </w:tc>
        <w:tc>
          <w:tcPr>
            <w:tcW w:type="dxa" w:w="38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Unblock online availability; manage buffers through system rules</w:t>
            </w:r>
          </w:p>
        </w:tc>
        <w:tc>
          <w:tcPr>
            <w:tcW w:type="dxa" w:w="29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Studio manager</w:t>
            </w:r>
          </w:p>
        </w:tc>
        <w:tc>
          <w:tcPr>
            <w:tcW w:type="dxa" w:w="22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1F2D2B"/>
                <w:sz w:val="18"/>
                <w:szCs w:val="18"/>
              </w:rPr>
              <w:t xml:space="preserve">Within 7 days</w:t>
            </w:r>
          </w:p>
        </w:tc>
      </w:tr>
      <w:tr>
        <w:tc>
          <w:tcPr>
            <w:tcW w:type="dxa" w:w="8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07272D"/>
                <w:sz w:val="18"/>
                <w:szCs w:val="18"/>
              </w:rPr>
              <w:t xml:space="preserve">CX-03</w:t>
            </w:r>
          </w:p>
        </w:tc>
        <w:tc>
          <w:tcPr>
            <w:tcW w:type="dxa" w:w="3846"/>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Re-enable automated post-visit journey; checkout rebooking training</w:t>
            </w:r>
          </w:p>
        </w:tc>
        <w:tc>
          <w:tcPr>
            <w:tcW w:type="dxa" w:w="29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Studio manager / network support</w:t>
            </w:r>
          </w:p>
        </w:tc>
        <w:tc>
          <w:tcPr>
            <w:tcW w:type="dxa" w:w="22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1F2D2B"/>
                <w:sz w:val="18"/>
                <w:szCs w:val="18"/>
              </w:rPr>
              <w:t xml:space="preserve">Within 7 days</w:t>
            </w:r>
          </w:p>
        </w:tc>
      </w:tr>
      <w:tr>
        <w:tc>
          <w:tcPr>
            <w:tcW w:type="dxa" w:w="8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07272D"/>
                <w:sz w:val="18"/>
                <w:szCs w:val="18"/>
              </w:rPr>
              <w:t xml:space="preserve">CX-04</w:t>
            </w:r>
          </w:p>
        </w:tc>
        <w:tc>
          <w:tcPr>
            <w:tcW w:type="dxa" w:w="38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Reinstate first-visit consultation with digital intake</w:t>
            </w:r>
          </w:p>
        </w:tc>
        <w:tc>
          <w:tcPr>
            <w:tcW w:type="dxa" w:w="29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Studio manager / senior therapist</w:t>
            </w:r>
          </w:p>
        </w:tc>
        <w:tc>
          <w:tcPr>
            <w:tcW w:type="dxa" w:w="22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1F2D2B"/>
                <w:sz w:val="18"/>
                <w:szCs w:val="18"/>
              </w:rPr>
              <w:t xml:space="preserve">Within 30 days</w:t>
            </w:r>
          </w:p>
        </w:tc>
      </w:tr>
      <w:tr>
        <w:tc>
          <w:tcPr>
            <w:tcW w:type="dxa" w:w="8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07272D"/>
                <w:sz w:val="18"/>
                <w:szCs w:val="18"/>
              </w:rPr>
              <w:t xml:space="preserve">CX-05</w:t>
            </w:r>
          </w:p>
        </w:tc>
        <w:tc>
          <w:tcPr>
            <w:tcW w:type="dxa" w:w="3846"/>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Introduce aftercare recommendation practice at checkout</w:t>
            </w:r>
          </w:p>
        </w:tc>
        <w:tc>
          <w:tcPr>
            <w:tcW w:type="dxa" w:w="29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Studio manager</w:t>
            </w:r>
          </w:p>
        </w:tc>
        <w:tc>
          <w:tcPr>
            <w:tcW w:type="dxa" w:w="22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1F2D2B"/>
                <w:sz w:val="18"/>
                <w:szCs w:val="18"/>
              </w:rPr>
              <w:t xml:space="preserve">Within 30 days</w:t>
            </w:r>
          </w:p>
        </w:tc>
      </w:tr>
      <w:tr>
        <w:tc>
          <w:tcPr>
            <w:tcW w:type="dxa" w:w="8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07272D"/>
                <w:sz w:val="18"/>
                <w:szCs w:val="18"/>
              </w:rPr>
              <w:t xml:space="preserve">CX-06</w:t>
            </w:r>
          </w:p>
        </w:tc>
        <w:tc>
          <w:tcPr>
            <w:tcW w:type="dxa" w:w="38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Centre management engagement; interim sound masking</w:t>
            </w:r>
          </w:p>
        </w:tc>
        <w:tc>
          <w:tcPr>
            <w:tcW w:type="dxa" w:w="29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Franchisee</w:t>
            </w:r>
          </w:p>
        </w:tc>
        <w:tc>
          <w:tcPr>
            <w:tcW w:type="dxa" w:w="22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1F2D2B"/>
                <w:sz w:val="18"/>
                <w:szCs w:val="18"/>
              </w:rPr>
              <w:t xml:space="preserve">At next review</w:t>
            </w:r>
          </w:p>
        </w:tc>
      </w:tr>
    </w:tbl>
    <w:p>
      <w:pPr>
        <w:spacing w:after="24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07272D" w:color="auto" w:val="clear"/>
            <w:tcMar>
              <w:top w:type="dxa" w:w="110"/>
              <w:left w:type="dxa" w:w="180"/>
              <w:bottom w:type="dxa" w:w="110"/>
              <w:right w:type="dxa" w:w="180"/>
            </w:tcMar>
          </w:tcPr>
          <w:p>
            <w:pPr>
              <w:spacing w:after="0" w:before="0"/>
            </w:pPr>
            <w:r>
              <w:rPr>
                <w:rFonts w:ascii="Calibri" w:cs="Calibri" w:eastAsia="Calibri" w:hAnsi="Calibri"/>
                <w:b/>
                <w:bCs/>
                <w:color w:val="06F285"/>
                <w:sz w:val="15"/>
                <w:szCs w:val="15"/>
              </w:rPr>
              <w:t xml:space="preserve">SECTION 7</w:t>
            </w:r>
            <w:r>
              <w:rPr>
                <w:rFonts w:ascii="Calibri" w:cs="Calibri" w:eastAsia="Calibri" w:hAnsi="Calibri"/>
                <w:color w:val="3A6B52"/>
                <w:sz w:val="15"/>
                <w:szCs w:val="15"/>
              </w:rPr>
              <w:t xml:space="preserve">   │   </w:t>
            </w:r>
            <w:r>
              <w:rPr>
                <w:rFonts w:ascii="Calibri" w:cs="Calibri" w:eastAsia="Calibri" w:hAnsi="Calibri"/>
                <w:b/>
                <w:bCs/>
                <w:color w:val="FFFFFF"/>
                <w:sz w:val="20"/>
                <w:szCs w:val="20"/>
              </w:rPr>
              <w:t xml:space="preserve">NEXT STEPS &amp; ONGOING MONITORING</w:t>
            </w:r>
          </w:p>
        </w:tc>
      </w:tr>
    </w:tbl>
    <w:p>
      <w:pPr>
        <w:spacing w:after="160"/>
      </w:pPr>
    </w:p>
    <w:p>
      <w:pPr>
        <w:pStyle w:val="ListParagraph"/>
        <w:numPr>
          <w:ilvl w:val="0"/>
          <w:numId w:val="1"/>
        </w:numPr>
        <w:spacing w:after="80"/>
      </w:pPr>
      <w:r>
        <w:rPr>
          <w:rFonts w:ascii="Calibri" w:cs="Calibri" w:eastAsia="Calibri" w:hAnsi="Calibri"/>
          <w:color w:val="1F2D2B"/>
          <w:sz w:val="20"/>
          <w:szCs w:val="20"/>
        </w:rPr>
        <w:t xml:space="preserve">CX-01 to CX-03 are configuration and process changes verifiable by desktop — evidence within 14 days</w:t>
      </w:r>
    </w:p>
    <w:p>
      <w:pPr>
        <w:pStyle w:val="ListParagraph"/>
        <w:numPr>
          <w:ilvl w:val="0"/>
          <w:numId w:val="1"/>
        </w:numPr>
        <w:spacing w:after="80"/>
      </w:pPr>
      <w:r>
        <w:rPr>
          <w:rFonts w:ascii="Calibri" w:cs="Calibri" w:eastAsia="Calibri" w:hAnsi="Calibri"/>
          <w:color w:val="1F2D2B"/>
          <w:sz w:val="20"/>
          <w:szCs w:val="20"/>
        </w:rPr>
        <w:t xml:space="preserve">Recommend a repeat mystery cycle in 90 days to re-benchmark the composite score and NPS</w:t>
      </w:r>
    </w:p>
    <w:p>
      <w:pPr>
        <w:pStyle w:val="ListParagraph"/>
        <w:numPr>
          <w:ilvl w:val="0"/>
          <w:numId w:val="1"/>
        </w:numPr>
        <w:spacing w:after="80"/>
      </w:pPr>
      <w:r>
        <w:rPr>
          <w:rFonts w:ascii="Calibri" w:cs="Calibri" w:eastAsia="Calibri" w:hAnsi="Calibri"/>
          <w:color w:val="1F2D2B"/>
          <w:sz w:val="20"/>
          <w:szCs w:val="20"/>
        </w:rPr>
        <w:t xml:space="preserve">The gap analysis suggests a realistic path from +31 to network-median NPS within two quarters</w:t>
      </w:r>
    </w:p>
    <w:p>
      <w:pPr>
        <w:spacing w:after="24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07272D" w:color="auto" w:val="clear"/>
            <w:tcMar>
              <w:top w:type="dxa" w:w="120"/>
              <w:left w:type="dxa" w:w="180"/>
              <w:bottom w:type="dxa" w:w="120"/>
              <w:right w:type="dxa" w:w="180"/>
            </w:tcMar>
          </w:tcPr>
          <w:p>
            <w:pPr>
              <w:jc w:val="center"/>
            </w:pPr>
            <w:r>
              <w:rPr>
                <w:rFonts w:ascii="Calibri" w:cs="Calibri" w:eastAsia="Calibri" w:hAnsi="Calibri"/>
                <w:b/>
                <w:bCs/>
                <w:color w:val="FFFFFF"/>
                <w:sz w:val="18"/>
                <w:szCs w:val="18"/>
              </w:rPr>
              <w:t xml:space="preserve">Questions about this report:  info@maintainaudits.com.au  ·  +61 414 530 836  ·  maintainaudits.com.au</w:t>
            </w:r>
          </w:p>
        </w:tc>
      </w:tr>
    </w:tbl>
    <w:p>
      <w:pPr>
        <w:spacing w:after="160"/>
      </w:pPr>
    </w:p>
    <w:p>
      <w:pPr>
        <w:spacing w:after="0"/>
        <w:jc w:val="center"/>
      </w:pPr>
      <w:r>
        <w:rPr>
          <w:rFonts w:ascii="Calibri" w:cs="Calibri" w:eastAsia="Calibri" w:hAnsi="Calibri"/>
          <w:color w:val="64748B"/>
          <w:sz w:val="16"/>
          <w:szCs w:val="16"/>
        </w:rPr>
        <w:t xml:space="preserve">This report is a sample document prepared by Maintain Audits, a division of Maintain Technology, for demonstration purposes. All client names, locations, personnel, and findings are fictional. Actual audit reports are prepared under our engagement terms and are confidential to the client. This document does not constitute legal, financial, or professional compliance advice.</w:t>
      </w:r>
    </w:p>
    <w:sectPr>
      <w:headerReference w:type="default" r:id="rId7"/>
      <w:footerReference w:type="default" r:id="rId8"/>
      <w:pgSz w:w="11906" w:h="16838" w:orient="portrait"/>
      <w:pgMar w:top="1080" w:right="1080" w:bottom="1080" w:left="1080" w:header="480" w:footer="4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7017"/>
      <w:gridCol w:w="2728"/>
    </w:tblGrid>
    <w:tr>
      <w:tc>
        <w:tcPr>
          <w:tcBorders>
            <w:top w:val="single" w:color="D1D5DB" w:sz="4"/>
            <w:left w:val="none" w:color="FFFFFF" w:sz="0"/>
            <w:bottom w:val="none" w:color="FFFFFF" w:sz="0"/>
            <w:right w:val="none" w:color="FFFFFF" w:sz="0"/>
          </w:tcBorders>
          <w:tcMar>
            <w:top w:type="dxa" w:w="60"/>
            <w:left w:type="dxa" w:w="0"/>
            <w:bottom w:type="dxa" w:w="0"/>
            <w:right w:type="dxa" w:w="0"/>
          </w:tcMar>
        </w:tcPr>
        <w:p>
          <w:r>
            <w:rPr>
              <w:rFonts w:ascii="Calibri" w:cs="Calibri" w:eastAsia="Calibri" w:hAnsi="Calibri"/>
              <w:color w:val="64748B"/>
              <w:sz w:val="15"/>
              <w:szCs w:val="15"/>
            </w:rPr>
            <w:t xml:space="preserve">info@maintainaudits.com.au  ·  +61 414 530 836  ·  Commercial in confidence</w:t>
          </w:r>
        </w:p>
      </w:tc>
      <w:tc>
        <w:tcPr>
          <w:tcBorders>
            <w:top w:val="single" w:color="D1D5DB" w:sz="4"/>
            <w:left w:val="none" w:color="FFFFFF" w:sz="0"/>
            <w:bottom w:val="none" w:color="FFFFFF" w:sz="0"/>
            <w:right w:val="none" w:color="FFFFFF" w:sz="0"/>
          </w:tcBorders>
          <w:tcMar>
            <w:top w:type="dxa" w:w="60"/>
            <w:left w:type="dxa" w:w="0"/>
            <w:bottom w:type="dxa" w:w="0"/>
            <w:right w:type="dxa" w:w="0"/>
          </w:tcMar>
        </w:tcPr>
        <w:p>
          <w:pPr>
            <w:jc w:val="right"/>
          </w:pPr>
          <w:r>
            <w:rPr>
              <w:rFonts w:ascii="Calibri" w:cs="Calibri" w:eastAsia="Calibri" w:hAnsi="Calibri"/>
              <w:color w:val="64748B"/>
              <w:sz w:val="15"/>
              <w:szCs w:val="15"/>
            </w:rPr>
            <w:t xml:space="preserve">Page </w:t>
          </w:r>
          <w:pgNum/>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4873"/>
      <w:gridCol w:w="4873"/>
    </w:tblGrid>
    <w:tr>
      <w:tc>
        <w:tcPr>
          <w:tcBorders>
            <w:top w:val="none" w:color="FFFFFF" w:sz="0"/>
            <w:left w:val="none" w:color="FFFFFF" w:sz="0"/>
            <w:bottom w:val="single" w:color="06F285" w:sz="6"/>
            <w:right w:val="none" w:color="FFFFFF" w:sz="0"/>
          </w:tcBorders>
          <w:tcMar>
            <w:top w:type="dxa" w:w="0"/>
            <w:left w:type="dxa" w:w="0"/>
            <w:bottom w:type="dxa" w:w="60"/>
            <w:right w:type="dxa" w:w="0"/>
          </w:tcMar>
        </w:tcPr>
        <w:p>
          <w:pPr>
            <w:spacing w:after="0" w:before="0"/>
          </w:pPr>
          <w:r>
            <w:drawing>
              <wp:inline distT="0" distB="0" distL="0" distR="0">
                <wp:extent cx="1571625"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571625" cy="333375"/>
                        </a:xfrm>
                        <a:prstGeom prst="rect">
                          <a:avLst/>
                        </a:prstGeom>
                      </pic:spPr>
                    </pic:pic>
                  </a:graphicData>
                </a:graphic>
              </wp:inline>
            </w:drawing>
          </w:r>
        </w:p>
      </w:tc>
      <w:tc>
        <w:tcPr>
          <w:tcBorders>
            <w:top w:val="none" w:color="FFFFFF" w:sz="0"/>
            <w:left w:val="none" w:color="FFFFFF" w:sz="0"/>
            <w:bottom w:val="single" w:color="06F285" w:sz="6"/>
            <w:right w:val="none" w:color="FFFFFF" w:sz="0"/>
          </w:tcBorders>
          <w:tcMar>
            <w:top w:type="dxa" w:w="0"/>
            <w:left w:type="dxa" w:w="0"/>
            <w:bottom w:type="dxa" w:w="60"/>
            <w:right w:type="dxa" w:w="0"/>
          </w:tcMar>
        </w:tcPr>
        <w:p>
          <w:pPr>
            <w:spacing w:after="0" w:before="0"/>
            <w:jc w:val="right"/>
          </w:pPr>
          <w:r>
            <w:rPr>
              <w:rFonts w:ascii="Calibri" w:cs="Calibri" w:eastAsia="Calibri" w:hAnsi="Calibri"/>
              <w:color w:val="64748B"/>
              <w:sz w:val="16"/>
              <w:szCs w:val="16"/>
            </w:rPr>
            <w:t xml:space="preserve">maintainaudits.com.au</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af62927fe752e9c38ff949534b16019722db55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fdfb012c0e5f1fd6ddfd9ec97ae36ee101a2ab7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2026-07-14T02:31:32.499Z</dcterms:created>
  <dcterms:modified xsi:type="dcterms:W3CDTF">2026-07-14T02:31:32.499Z</dcterms:modified>
</cp:coreProperties>
</file>

<file path=docProps/custom.xml><?xml version="1.0" encoding="utf-8"?>
<Properties xmlns="http://schemas.openxmlformats.org/officeDocument/2006/custom-properties" xmlns:vt="http://schemas.openxmlformats.org/officeDocument/2006/docPropsVTypes"/>
</file>