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line="240" w:lineRule="auto"/>
        <w:jc w:val="center"/>
      </w:pPr>
      <w:r>
        <w:drawing>
          <wp:inline distT="0" distB="0" distL="0" distR="0">
            <wp:extent cx="1714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762000"/>
                    </a:xfrm>
                    <a:prstGeom prst="rect">
                      <a:avLst/>
                    </a:prstGeom>
                  </pic:spPr>
                </pic:pic>
              </a:graphicData>
            </a:graphic>
          </wp:inline>
        </w:drawing>
      </w:r>
    </w:p>
    <w:p>
      <w:pPr>
        <w:spacing w:after="240" w:before="0" w:line="240" w:lineRule="auto"/>
        <w:jc w:val="center"/>
      </w:pPr>
      <w:r>
        <w:rPr>
          <w:rFonts w:ascii="Times New Roman" w:cs="Times New Roman" w:eastAsia="Times New Roman" w:hAnsi="Times New Roman"/>
          <w:b/>
          <w:bCs/>
          <w:sz w:val="28"/>
          <w:szCs w:val="28"/>
        </w:rPr>
        <w:t xml:space="preserve">DOCUMENTO DE REQUISITOS DE SOFTWARE</w:t>
      </w:r>
    </w:p>
    <w:p>
      <w:pPr>
        <w:spacing w:after="800" w:before="0" w:line="360" w:lineRule="auto"/>
        <w:jc w:val="center"/>
      </w:pPr>
      <w:r>
        <w:rPr>
          <w:rFonts w:ascii="Times New Roman" w:cs="Times New Roman" w:eastAsia="Times New Roman" w:hAnsi="Times New Roman"/>
          <w:b/>
          <w:bCs/>
          <w:sz w:val="28"/>
          <w:szCs w:val="28"/>
        </w:rPr>
        <w:t xml:space="preserve">Transparência das escalas médicas nas Unidades de Pronto
Atendimento de Salvador: desenvolvimento de uma
plataforma digital para acesso público às informações</w:t>
      </w:r>
    </w:p>
    <w:p>
      <w:pPr>
        <w:spacing w:after="600" w:before="0" w:line="360" w:lineRule="auto"/>
        <w:jc w:val="center"/>
      </w:pPr>
      <w:r>
        <w:rPr>
          <w:rFonts w:ascii="Times New Roman" w:cs="Times New Roman" w:eastAsia="Times New Roman" w:hAnsi="Times New Roman"/>
          <w:sz w:val="24"/>
          <w:szCs w:val="24"/>
        </w:rPr>
        <w:t xml:space="preserve">Amanda Oliveira Silva, Andrey Gabriel Maia Serra, Antonio Pereira
Maia Neto, Fausto Mota Silva Alves da Cruz,
Sarah Ramos Moura Costa Doria</w:t>
      </w:r>
    </w:p>
    <w:p>
      <w:pPr>
        <w:spacing w:after="0" w:before="0" w:line="300" w:lineRule="auto"/>
        <w:jc w:val="center"/>
      </w:pPr>
      <w:r>
        <w:rPr>
          <w:rFonts w:ascii="Times New Roman" w:cs="Times New Roman" w:eastAsia="Times New Roman" w:hAnsi="Times New Roman"/>
          <w:sz w:val="20"/>
          <w:szCs w:val="20"/>
        </w:rPr>
        <w:t xml:space="preserve">¹ Análise e Desenvolvimento de Sistemas</w:t>
      </w:r>
    </w:p>
    <w:p>
      <w:pPr>
        <w:spacing w:after="0" w:before="0" w:line="300" w:lineRule="auto"/>
        <w:jc w:val="center"/>
      </w:pPr>
      <w:r>
        <w:rPr>
          <w:rFonts w:ascii="Times New Roman" w:cs="Times New Roman" w:eastAsia="Times New Roman" w:hAnsi="Times New Roman"/>
          <w:sz w:val="20"/>
          <w:szCs w:val="20"/>
        </w:rPr>
        <w:t xml:space="preserve">Escola de Tecnologias</w:t>
      </w:r>
    </w:p>
    <w:p>
      <w:pPr>
        <w:spacing w:after="0" w:before="0" w:line="300" w:lineRule="auto"/>
        <w:jc w:val="center"/>
      </w:pPr>
      <w:r>
        <w:rPr>
          <w:rFonts w:ascii="Times New Roman" w:cs="Times New Roman" w:eastAsia="Times New Roman" w:hAnsi="Times New Roman"/>
          <w:sz w:val="20"/>
          <w:szCs w:val="20"/>
        </w:rPr>
        <w:t xml:space="preserve">Universidade Católica do Salvador (UCSAL)</w:t>
      </w:r>
    </w:p>
    <w:p>
      <w:pPr>
        <w:spacing w:after="0" w:before="0" w:line="300" w:lineRule="auto"/>
        <w:jc w:val="center"/>
      </w:pPr>
      <w:r>
        <w:rPr>
          <w:rFonts w:ascii="Times New Roman" w:cs="Times New Roman" w:eastAsia="Times New Roman" w:hAnsi="Times New Roman"/>
          <w:sz w:val="20"/>
          <w:szCs w:val="20"/>
        </w:rPr>
        <w:t xml:space="preserve">Av. Prof. Pinto de Aguiar, 2589 Pituaçu, CEP: 41740-090</w:t>
      </w:r>
    </w:p>
    <w:p>
      <w:pPr>
        <w:spacing w:after="300" w:before="0" w:line="300" w:lineRule="auto"/>
        <w:jc w:val="center"/>
      </w:pPr>
      <w:r>
        <w:rPr>
          <w:rFonts w:ascii="Times New Roman" w:cs="Times New Roman" w:eastAsia="Times New Roman" w:hAnsi="Times New Roman"/>
          <w:sz w:val="20"/>
          <w:szCs w:val="20"/>
        </w:rPr>
        <w:t xml:space="preserve">Salvador/BA, Brasil</w:t>
      </w:r>
    </w:p>
    <w:p>
      <w:pPr>
        <w:spacing w:after="0" w:before="0" w:line="280" w:lineRule="auto"/>
        <w:jc w:val="center"/>
      </w:pPr>
      <w:r>
        <w:rPr>
          <w:rFonts w:ascii="Times New Roman" w:cs="Times New Roman" w:eastAsia="Times New Roman" w:hAnsi="Times New Roman"/>
          <w:sz w:val="18"/>
          <w:szCs w:val="18"/>
        </w:rPr>
        <w:t xml:space="preserve">{amandaoliveira.silva, andrey.serra, antoniopereira.neto, fausto.cruz, sarah.doria}@ucsal.edu.br</w:t>
      </w:r>
    </w:p>
    <w:p>
      <w:pPr>
        <w:spacing w:after="720" w:before="0" w:line="280" w:lineRule="auto"/>
        <w:jc w:val="center"/>
      </w:pPr>
      <w:r>
        <w:rPr>
          <w:rFonts w:ascii="Times New Roman" w:cs="Times New Roman" w:eastAsia="Times New Roman" w:hAnsi="Times New Roman"/>
          <w:sz w:val="18"/>
          <w:szCs w:val="18"/>
        </w:rPr>
        <w:t xml:space="preserve">Orientador: Luan Rafael Santana Galvão — luan.galvao@pro.ucsal</w:t>
      </w:r>
    </w:p>
    <w:p>
      <w:pPr>
        <w:spacing w:after="0" w:before="0" w:line="300" w:lineRule="auto"/>
        <w:jc w:val="center"/>
      </w:pPr>
      <w:r>
        <w:rPr>
          <w:rFonts w:ascii="Times New Roman" w:cs="Times New Roman" w:eastAsia="Times New Roman" w:hAnsi="Times New Roman"/>
          <w:sz w:val="24"/>
          <w:szCs w:val="24"/>
        </w:rPr>
        <w:t xml:space="preserve">Junho 2026</w:t>
      </w:r>
    </w:p>
    <w:p>
      <w:r>
        <w:br w:type="page"/>
      </w:r>
    </w:p>
    <w:p>
      <w:pPr>
        <w:spacing w:after="600" w:before="240" w:line="240" w:lineRule="auto"/>
        <w:jc w:val="center"/>
      </w:pPr>
      <w:r>
        <w:rPr>
          <w:rFonts w:ascii="Times New Roman" w:cs="Times New Roman" w:eastAsia="Times New Roman" w:hAnsi="Times New Roman"/>
          <w:b/>
          <w:bCs/>
          <w:sz w:val="24"/>
          <w:szCs w:val="24"/>
        </w:rPr>
        <w:t xml:space="preserve">SUMÁRIO</w:t>
      </w:r>
    </w:p>
    <w:p>
      <w:pPr>
        <w:tabs>
          <w:tab w:val="right" w:pos="8640" w:leader="dot"/>
        </w:tabs>
        <w:spacing w:after="80" w:before="0" w:line="360" w:lineRule="auto"/>
        <w:ind/>
      </w:pPr>
      <w:r>
        <w:rPr>
          <w:rFonts w:ascii="Times New Roman" w:cs="Times New Roman" w:eastAsia="Times New Roman" w:hAnsi="Times New Roman"/>
          <w:sz w:val="24"/>
          <w:szCs w:val="24"/>
        </w:rPr>
        <w:t xml:space="preserve">1. Introdução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1.1 Propósito do Documento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1.2 Escopo do Sistema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1.3 Definições, Acrônimos e Abreviações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1.4 Referências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1.5 Visão Geral do Documento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8640" w:leader="dot"/>
        </w:tabs>
        <w:spacing w:after="80" w:before="0" w:line="360" w:lineRule="auto"/>
        <w:ind/>
      </w:pPr>
      <w:r>
        <w:rPr>
          <w:rFonts w:ascii="Times New Roman" w:cs="Times New Roman" w:eastAsia="Times New Roman" w:hAnsi="Times New Roman"/>
          <w:sz w:val="24"/>
          <w:szCs w:val="24"/>
        </w:rPr>
        <w:t xml:space="preserve">2. Descrição Geral do Sistema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2.1 Perspectiva do Produto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2.2 Funções Principais do Sistema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2.3 Características dos Usuários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2.4 Restrições Gerais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2.5 Premissas e Dependências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8640" w:leader="dot"/>
        </w:tabs>
        <w:spacing w:after="80" w:before="0" w:line="360" w:lineRule="auto"/>
        <w:ind/>
      </w:pPr>
      <w:r>
        <w:rPr>
          <w:rFonts w:ascii="Times New Roman" w:cs="Times New Roman" w:eastAsia="Times New Roman" w:hAnsi="Times New Roman"/>
          <w:sz w:val="24"/>
          <w:szCs w:val="24"/>
        </w:rPr>
        <w:t xml:space="preserve">3. Requisitos Funcionais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3.1 Módulo 1 — Acesso e Autenticação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3.2 Módulo 2 — Portal Público do Cidadão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3.3 Módulo 3 — Controle de Turno do Médico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8</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3.4 Módulo 4 — Gestão da UPA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8</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3.5 Módulo 5 — Gestão Municipal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3.6 Módulo 6 — Administração da Plataforma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w:t>
      </w:r>
    </w:p>
    <w:p>
      <w:pPr>
        <w:tabs>
          <w:tab w:val="right" w:pos="8640" w:leader="dot"/>
        </w:tabs>
        <w:spacing w:after="80" w:before="0" w:line="360" w:lineRule="auto"/>
        <w:ind/>
      </w:pPr>
      <w:r>
        <w:rPr>
          <w:rFonts w:ascii="Times New Roman" w:cs="Times New Roman" w:eastAsia="Times New Roman" w:hAnsi="Times New Roman"/>
          <w:sz w:val="24"/>
          <w:szCs w:val="24"/>
        </w:rPr>
        <w:t xml:space="preserve">4. Requisitos Não Funcionais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8640" w:leader="dot"/>
        </w:tabs>
        <w:spacing w:after="80" w:before="0" w:line="360" w:lineRule="auto"/>
        <w:ind/>
      </w:pPr>
      <w:r>
        <w:rPr>
          <w:rFonts w:ascii="Times New Roman" w:cs="Times New Roman" w:eastAsia="Times New Roman" w:hAnsi="Times New Roman"/>
          <w:sz w:val="24"/>
          <w:szCs w:val="24"/>
        </w:rPr>
        <w:t xml:space="preserve">5. Requisitos de 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5.1 Interface do Usuário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5.2 Interface de Hardware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5.3 Interface de Software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8640" w:leader="dot"/>
        </w:tabs>
        <w:spacing w:after="80" w:before="0" w:line="360" w:lineRule="auto"/>
        <w:ind w:left="360"/>
      </w:pPr>
      <w:r>
        <w:rPr>
          <w:rFonts w:ascii="Times New Roman" w:cs="Times New Roman" w:eastAsia="Times New Roman" w:hAnsi="Times New Roman"/>
          <w:sz w:val="24"/>
          <w:szCs w:val="24"/>
        </w:rPr>
        <w:t xml:space="preserve">5.4 Interface de Comunicação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8640" w:leader="dot"/>
        </w:tabs>
        <w:spacing w:after="80" w:before="0" w:line="360" w:lineRule="auto"/>
        <w:ind/>
      </w:pPr>
      <w:r>
        <w:rPr>
          <w:rFonts w:ascii="Times New Roman" w:cs="Times New Roman" w:eastAsia="Times New Roman" w:hAnsi="Times New Roman"/>
          <w:sz w:val="24"/>
          <w:szCs w:val="24"/>
        </w:rPr>
        <w:t xml:space="preserve">6. Restrições de Design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8640" w:leader="dot"/>
        </w:tabs>
        <w:spacing w:after="80" w:before="0" w:line="360" w:lineRule="auto"/>
        <w:ind/>
      </w:pPr>
      <w:r>
        <w:rPr>
          <w:rFonts w:ascii="Times New Roman" w:cs="Times New Roman" w:eastAsia="Times New Roman" w:hAnsi="Times New Roman"/>
          <w:sz w:val="24"/>
          <w:szCs w:val="24"/>
        </w:rPr>
        <w:t xml:space="preserve">7. Atributos de Qualidade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8640" w:leader="dot"/>
        </w:tabs>
        <w:spacing w:after="80" w:before="0" w:line="360" w:lineRule="auto"/>
        <w:ind/>
      </w:pPr>
      <w:r>
        <w:rPr>
          <w:rFonts w:ascii="Times New Roman" w:cs="Times New Roman" w:eastAsia="Times New Roman" w:hAnsi="Times New Roman"/>
          <w:sz w:val="24"/>
          <w:szCs w:val="24"/>
        </w:rPr>
        <w:t xml:space="preserve">8. Matriz de Rastreabilidade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r>
        <w:br w:type="page"/>
      </w:r>
    </w:p>
    <w:p>
      <w:pPr>
        <w:pStyle w:val="Heading1"/>
        <w:spacing w:after="240" w:before="480" w:line="360" w:lineRule="auto"/>
      </w:pPr>
      <w:r>
        <w:rPr>
          <w:rFonts w:ascii="Times New Roman" w:cs="Times New Roman" w:eastAsia="Times New Roman" w:hAnsi="Times New Roman"/>
          <w:b/>
          <w:bCs/>
          <w:sz w:val="24"/>
          <w:szCs w:val="24"/>
        </w:rPr>
        <w:t xml:space="preserve">1. INTRODUÇÃO</w:t>
      </w:r>
    </w:p>
    <w:p>
      <w:pPr>
        <w:pStyle w:val="Heading2"/>
        <w:spacing w:after="200" w:before="360" w:line="360" w:lineRule="auto"/>
      </w:pPr>
      <w:r>
        <w:rPr>
          <w:rFonts w:ascii="Times New Roman" w:cs="Times New Roman" w:eastAsia="Times New Roman" w:hAnsi="Times New Roman"/>
          <w:b/>
          <w:bCs/>
          <w:sz w:val="24"/>
          <w:szCs w:val="24"/>
        </w:rPr>
        <w:t xml:space="preserve">1.1 Propósito do Documento</w:t>
      </w:r>
    </w:p>
    <w:p>
      <w:pPr>
        <w:spacing w:after="200" w:before="0" w:line="360" w:lineRule="auto"/>
        <w:jc w:val="both"/>
      </w:pPr>
      <w:r>
        <w:rPr>
          <w:rFonts w:ascii="Times New Roman" w:cs="Times New Roman" w:eastAsia="Times New Roman" w:hAnsi="Times New Roman"/>
          <w:sz w:val="24"/>
          <w:szCs w:val="24"/>
        </w:rPr>
        <w:t xml:space="preserve">Este documento tem por objetivo especificar os requisitos funcionais e não funcionais do sistema MedBusca, plataforma digital desenvolvida como trabalho de conclusão do curso de Análise e Desenvolvimento de Sistemas da Universidade Católica do Salvador (UCSAL). O documento serve de referência para o desenvolvimento, validação e avaliação do sistema, orientando as decisões técnicas e garantindo o alinhamento entre a solução construída e as necessidades dos usuários identificados.</w:t>
      </w:r>
    </w:p>
    <w:p>
      <w:pPr>
        <w:pStyle w:val="Heading2"/>
        <w:spacing w:after="200" w:before="360" w:line="360" w:lineRule="auto"/>
      </w:pPr>
      <w:r>
        <w:rPr>
          <w:rFonts w:ascii="Times New Roman" w:cs="Times New Roman" w:eastAsia="Times New Roman" w:hAnsi="Times New Roman"/>
          <w:b/>
          <w:bCs/>
          <w:sz w:val="24"/>
          <w:szCs w:val="24"/>
        </w:rPr>
        <w:t xml:space="preserve">1.2 Escopo do Sistema</w:t>
      </w:r>
    </w:p>
    <w:p>
      <w:pPr>
        <w:spacing w:after="200" w:before="0" w:line="360" w:lineRule="auto"/>
        <w:jc w:val="both"/>
      </w:pPr>
      <w:r>
        <w:rPr>
          <w:rFonts w:ascii="Times New Roman" w:cs="Times New Roman" w:eastAsia="Times New Roman" w:hAnsi="Times New Roman"/>
          <w:sz w:val="24"/>
          <w:szCs w:val="24"/>
        </w:rPr>
        <w:t xml:space="preserve">O MedBusca é uma plataforma digital baseada no modelo Software como Serviço (SaaS) voltada às Unidades de Pronto Atendimento (UPAs) de Salvador. O sistema disponibiliza, de forma pública e em tempo real, informações sobre as especialidades médicas disponíveis em cada unidade, por meio de um portal de consulta acessível ao cidadão sem necessidade de login. Internamente, oferece ferramentas de controle de presença médica via check-in digital, gestão de escalas de plantão e dashboards operacionais e estratégicos para gestores de UPA, gestores municipais e administradores da plataforma.</w:t>
      </w:r>
    </w:p>
    <w:p>
      <w:pPr>
        <w:spacing w:after="200" w:before="0" w:line="360" w:lineRule="auto"/>
        <w:jc w:val="both"/>
      </w:pPr>
      <w:r>
        <w:rPr>
          <w:rFonts w:ascii="Times New Roman" w:cs="Times New Roman" w:eastAsia="Times New Roman" w:hAnsi="Times New Roman"/>
          <w:sz w:val="24"/>
          <w:szCs w:val="24"/>
        </w:rPr>
        <w:t xml:space="preserve">O sistema não tem por objetivo substituir sistemas de prontuário eletrônico, agendamento de consultas ou qualquer outro componente do sistema de informação em saúde já existente. Seu escopo é estritamente a transparência da disponibilidade de especialistas e a gestão de presença médica nas UPAs.</w:t>
      </w:r>
    </w:p>
    <w:p>
      <w:pPr>
        <w:pStyle w:val="Heading2"/>
        <w:spacing w:after="200" w:before="360" w:line="360" w:lineRule="auto"/>
      </w:pPr>
      <w:r>
        <w:rPr>
          <w:rFonts w:ascii="Times New Roman" w:cs="Times New Roman" w:eastAsia="Times New Roman" w:hAnsi="Times New Roman"/>
          <w:b/>
          <w:bCs/>
          <w:sz w:val="24"/>
          <w:szCs w:val="24"/>
        </w:rPr>
        <w:t xml:space="preserve">1.3 Definições, Acrônimos e Abreviações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Termo / Acrônimo</w:t>
            </w:r>
          </w:p>
        </w:tc>
        <w:tc>
          <w:tcPr>
            <w:tcW w:type="dxa" w:w="70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Definição</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UPA</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Unidade de Pronto Atendimento — componente da Rede de Atenção às Urgências do SUS.</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SUS</w:t>
            </w:r>
          </w:p>
        </w:tc>
        <w:tc>
          <w:tcPr>
            <w:tcW w:type="dxa" w:w="70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Sistema Único de Saúde — sistema público de saúde brasileiro.</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LAI</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Lei de Acesso à Informação — Lei nº 12.527/2011, que regulamenta o direito de acesso a informações públicas.</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LGPD</w:t>
            </w:r>
          </w:p>
        </w:tc>
        <w:tc>
          <w:tcPr>
            <w:tcW w:type="dxa" w:w="70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Lei Geral de Proteção de Dados — Lei nº 13.709/2018, que regula o tratamento de dados pessoais.</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JWT</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JSON Web Token — padrão aberto (RFC 7519) para transmissão segura de informações entre partes como objeto JSON.</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SaaS</w:t>
            </w:r>
          </w:p>
        </w:tc>
        <w:tc>
          <w:tcPr>
            <w:tcW w:type="dxa" w:w="70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Software como Serviço — modelo de distribuição de software em que o sistema é hospedado na nuvem e acessado via internet.</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PWA</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Progressive Web App — abordagem de desenvolvimento web que combina capacidades de aplicações nativas com a acessibilidade da web.</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REST</w:t>
            </w:r>
          </w:p>
        </w:tc>
        <w:tc>
          <w:tcPr>
            <w:tcW w:type="dxa" w:w="70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Representational State Transfer — estilo arquitetural para sistemas distribuídos baseados em HTTP.</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API</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Application Programming Interface — interface de comunicação entre sistemas de software.</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CRM</w:t>
            </w:r>
          </w:p>
        </w:tc>
        <w:tc>
          <w:tcPr>
            <w:tcW w:type="dxa" w:w="70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Conselho Regional de Medicina — registro profissional do médico.</w:t>
            </w:r>
          </w:p>
        </w:tc>
      </w:tr>
      <w:tr>
        <w:tc>
          <w:tcPr>
            <w:tcW w:type="dxa" w:w="20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OWASP</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Open Worldwide Application Security Project — organização que publica diretrizes de segurança para aplicações web.</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1.4 Referências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BRASIL. Constituição da República Federativa do Brasil, art. 37 — Princípio da publicidade na administração pública. Brasília, 1988.</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BRASIL. Lei nº 12.527, de 18 de novembro de 2011 — Lei de Acesso à Informação (LAI). Brasília, 2011.</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BRASIL. Lei nº 13.709, de 14 de agosto de 2018 — Lei Geral de Proteção de Dados (LGPD). Brasília, 2018.</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BRASIL. Portaria GM/MS nº 10, de 3 de janeiro de 2017 — Redefine as diretrizes de modelo assistencial e financiamento das UPAs. Brasília, 2017.</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IETF. RFC 7519 — JSON Web Token (JWT). 2015. Disponível em: https://datatracker.ietf.org/doc/html/rfc7519.</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OWASP. OWASP Top Ten 2021 — The Ten Most Critical Web Application Security Risks. 2021. Disponível em: https://owasp.org/www-project-top-ten/.</w:t>
      </w:r>
    </w:p>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1.5 Visão Geral do Documento</w:t>
      </w:r>
    </w:p>
    <w:p>
      <w:pPr>
        <w:spacing w:after="200" w:before="0" w:line="360" w:lineRule="auto"/>
        <w:jc w:val="both"/>
      </w:pPr>
      <w:r>
        <w:rPr>
          <w:rFonts w:ascii="Times New Roman" w:cs="Times New Roman" w:eastAsia="Times New Roman" w:hAnsi="Times New Roman"/>
          <w:sz w:val="24"/>
          <w:szCs w:val="24"/>
        </w:rPr>
        <w:t xml:space="preserve">Este documento está organizado em oito seções. A Seção 1 apresenta a introdução, propósito, escopo, definições e referências. A Seção 2 descreve o sistema em termos gerais, incluindo perspectiva do produto, funções principais, perfis de usuário, restrições e premissas. A Seção 3 especifica os requisitos funcionais organizados por módulo. A Seção 4 apresenta os requisitos não funcionais. A Seção 5 detalha os requisitos de interface. A Seção 6 enumera as restrições de design. A Seção 7 descreve os atributos de qualidade do sistema. A Seção 8 apresenta a matriz de rastreabilidade entre requisitos e perfis de usuário.</w:t>
      </w:r>
    </w:p>
    <w:p>
      <w:r>
        <w:br w:type="page"/>
      </w:r>
    </w:p>
    <w:p>
      <w:pPr>
        <w:pStyle w:val="Heading1"/>
        <w:spacing w:after="240" w:before="480" w:line="360" w:lineRule="auto"/>
      </w:pPr>
      <w:r>
        <w:rPr>
          <w:rFonts w:ascii="Times New Roman" w:cs="Times New Roman" w:eastAsia="Times New Roman" w:hAnsi="Times New Roman"/>
          <w:b/>
          <w:bCs/>
          <w:sz w:val="24"/>
          <w:szCs w:val="24"/>
        </w:rPr>
        <w:t xml:space="preserve">2. DESCRIÇÃO GERAL DO SISTEMA</w:t>
      </w:r>
    </w:p>
    <w:p>
      <w:pPr>
        <w:pStyle w:val="Heading2"/>
        <w:spacing w:after="200" w:before="360" w:line="360" w:lineRule="auto"/>
      </w:pPr>
      <w:r>
        <w:rPr>
          <w:rFonts w:ascii="Times New Roman" w:cs="Times New Roman" w:eastAsia="Times New Roman" w:hAnsi="Times New Roman"/>
          <w:b/>
          <w:bCs/>
          <w:sz w:val="24"/>
          <w:szCs w:val="24"/>
        </w:rPr>
        <w:t xml:space="preserve">2.1 Perspectiva do Produto</w:t>
      </w:r>
    </w:p>
    <w:p>
      <w:pPr>
        <w:spacing w:after="200" w:before="0" w:line="360" w:lineRule="auto"/>
        <w:jc w:val="both"/>
      </w:pPr>
      <w:r>
        <w:rPr>
          <w:rFonts w:ascii="Times New Roman" w:cs="Times New Roman" w:eastAsia="Times New Roman" w:hAnsi="Times New Roman"/>
          <w:sz w:val="24"/>
          <w:szCs w:val="24"/>
        </w:rPr>
        <w:t xml:space="preserve">O MedBusca é um sistema independente, concebido para operar de forma complementar aos sistemas de informação em saúde já existentes no município, sem integração obrigatória com prontuários eletrônicos ou sistemas de agendamento. Posiciona-se como uma solução GovTech de transparência ativa, oferecendo ao cidadão uma camada de acesso público a informações operacionais das UPAs que, atualmente, não estão disponíveis de forma estruturada.</w:t>
      </w:r>
    </w:p>
    <w:p>
      <w:pPr>
        <w:spacing w:after="200" w:before="0" w:line="360" w:lineRule="auto"/>
        <w:jc w:val="both"/>
      </w:pPr>
      <w:r>
        <w:rPr>
          <w:rFonts w:ascii="Times New Roman" w:cs="Times New Roman" w:eastAsia="Times New Roman" w:hAnsi="Times New Roman"/>
          <w:sz w:val="24"/>
          <w:szCs w:val="24"/>
        </w:rPr>
        <w:t xml:space="preserve">A plataforma adota o modelo SaaS, permitindo que diferentes municípios utilizem o mesmo sistema com isolamento lógico de dados. O acesso é realizado exclusivamente via navegador web, sem necessidade de instalação de aplicativo nativo, utilizando a abordagem Progressive Web App.</w:t>
      </w:r>
    </w:p>
    <w:p>
      <w:pPr>
        <w:pStyle w:val="Heading2"/>
        <w:spacing w:after="200" w:before="360" w:line="360" w:lineRule="auto"/>
      </w:pPr>
      <w:r>
        <w:rPr>
          <w:rFonts w:ascii="Times New Roman" w:cs="Times New Roman" w:eastAsia="Times New Roman" w:hAnsi="Times New Roman"/>
          <w:b/>
          <w:bCs/>
          <w:sz w:val="24"/>
          <w:szCs w:val="24"/>
        </w:rPr>
        <w:t xml:space="preserve">2.2 Funções Principais do Sistema</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Portal público de consulta de disponibilidade de especialidades médicas por UPA, em tempo real.</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Check-in digital de presença médica, com registro de início, pausa, retorno e encerramento de turno.</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Gestão de cadastros de médicos, escalas de plantão e UPAs por gestores.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Dashboards operacionais com indicadores em tempo real para gestores de UPA e municipais.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Sistema de alertas automáticos para situações críticas de cobertura.</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Administração centralizada de municípios e gestores na camada de super administração.</w:t>
      </w:r>
    </w:p>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2.3 Características dos Usuários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Perfil</w:t>
            </w:r>
          </w:p>
        </w:tc>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Descrição</w:t>
            </w:r>
          </w:p>
        </w:tc>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Nível Técnico</w:t>
            </w:r>
          </w:p>
        </w:tc>
        <w:tc>
          <w:tcPr>
            <w:tcW w:type="dxa" w:w="26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Dispositivos Típicos</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Cidadão</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Usuário final do SUS que busca informações sobre atendimento nas UPAs antes de se deslocar.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Básico — sem familiaridade exigida com tecnologia.</w:t>
            </w:r>
          </w:p>
        </w:tc>
        <w:tc>
          <w:tcPr>
            <w:tcW w:type="dxa" w:w="26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Smartphone (predominante); tablet; desktop.</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Médico</w:t>
            </w:r>
          </w:p>
        </w:tc>
        <w:tc>
          <w:tcPr>
            <w:tcW w:type="dxa" w:w="24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Profissional de saúde vinculado a uma UPA que registra seu status de turno via check-in.</w:t>
            </w:r>
          </w:p>
        </w:tc>
        <w:tc>
          <w:tcPr>
            <w:tcW w:type="dxa" w:w="22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Intermediário — uso habitual de smartphones e sistemas institucionais.</w:t>
            </w:r>
          </w:p>
        </w:tc>
        <w:tc>
          <w:tcPr>
            <w:tcW w:type="dxa" w:w="26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Smartphone (predominante durante o plantão).</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Gestor de UPA</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Responsável pelo controle operacional de uma unidade. Cadastra médicos e escalas, monitora turnos.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Intermediário — familiaridade com sistemas de gestão.</w:t>
            </w:r>
          </w:p>
        </w:tc>
        <w:tc>
          <w:tcPr>
            <w:tcW w:type="dxa" w:w="26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Desktop ou tablet (predominante).</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Gestor Municipal</w:t>
            </w:r>
          </w:p>
        </w:tc>
        <w:tc>
          <w:tcPr>
            <w:tcW w:type="dxa" w:w="24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Responsável pelas UPAs do município. Monitora indicadores e acessa relatórios estratégicos.</w:t>
            </w:r>
          </w:p>
        </w:tc>
        <w:tc>
          <w:tcPr>
            <w:tcW w:type="dxa" w:w="22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Intermediário a avançado — perfil gerencial.</w:t>
            </w:r>
          </w:p>
        </w:tc>
        <w:tc>
          <w:tcPr>
            <w:tcW w:type="dxa" w:w="26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Desktop (predominante).</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Super Admin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Administrador geral da plataforma. Gerencia municípios e configurações globais.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Avançado — perfil técnico-administrativo.</w:t>
            </w:r>
          </w:p>
        </w:tc>
        <w:tc>
          <w:tcPr>
            <w:tcW w:type="dxa" w:w="26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Desktop.</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2.4 Restrições Gerais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Conformidade com a LGPD (Lei nº 13.709/2018): o sistema não deve coletar ou armazenar dados pessoais do cidadão no portal público. Dados de profissionais devem ser protegidos e acessíveis apenas a perfis autorizados.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Acesso público irrestrito: o portal do cidadão deve ser acessível sem cadastro, login ou qualquer forma de identificação do usuário.</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Disponibilidade contínua: por se tratar de serviço de saúde pública, o sistema deve operar 24 horas por dia, 7 dias por semana, com disponibilidade mínima de 99%.</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Sem dados nominais no portal público: a identidade dos médicos não deve ser exposta ao cidadão; apenas a especialidade e o status de disponibilidade são exibidos.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Compatibilidade ampla: o sistema deve funcionar nos principais navegadores modernos sem exigir configurações especiais.</w:t>
      </w:r>
    </w:p>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2.5 Premissas e Dependências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Presume-se que as UPAs participantes possuem acesso à internet em condições adequadas para o uso do sistema pelos médicos durante os plantões.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O cadastro prévio do município, das UPAs e dos gestores na plataforma é condição necessária para que o sistema exiba informações no portal público.</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A adesão dos médicos ao check-in digital é condição fundamental para que os dados de disponibilidade sejam precisos. A plataforma depende da colaboração dos profissionais.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A correção das escalas cadastradas pelos gestores de UPA impacta diretamente a qualidade das previsões exibidas no portal público para os cidadãos.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A plataforma depende de serviços de hospedagem em nuvem com disponibilidade adequada para garantir o SLA de 99%.</w:t>
      </w:r>
    </w:p>
    <w:p>
      <w:r>
        <w:br w:type="page"/>
      </w:r>
    </w:p>
    <w:p>
      <w:pPr>
        <w:pStyle w:val="Heading1"/>
        <w:spacing w:after="240" w:before="480" w:line="360" w:lineRule="auto"/>
      </w:pPr>
      <w:r>
        <w:rPr>
          <w:rFonts w:ascii="Times New Roman" w:cs="Times New Roman" w:eastAsia="Times New Roman" w:hAnsi="Times New Roman"/>
          <w:b/>
          <w:bCs/>
          <w:sz w:val="24"/>
          <w:szCs w:val="24"/>
        </w:rPr>
        <w:t xml:space="preserve">3. REQUISITOS FUNCIONAIS</w:t>
      </w:r>
    </w:p>
    <w:p>
      <w:pPr>
        <w:spacing w:after="200" w:before="0" w:line="360" w:lineRule="auto"/>
        <w:jc w:val="both"/>
      </w:pPr>
      <w:r>
        <w:rPr>
          <w:rFonts w:ascii="Times New Roman" w:cs="Times New Roman" w:eastAsia="Times New Roman" w:hAnsi="Times New Roman"/>
          <w:sz w:val="24"/>
          <w:szCs w:val="24"/>
        </w:rPr>
        <w:t xml:space="preserve">Os requisitos funcionais são apresentados a seguir, organizados por módulo do sistema. Cada requisito é identificado por um código único no formato RF-NNN, seguido de nome e descrição objetiva do comportamento esperado.</w:t>
      </w:r>
    </w:p>
    <w:p>
      <w:pPr>
        <w:pStyle w:val="Heading2"/>
        <w:spacing w:after="200" w:before="360" w:line="360" w:lineRule="auto"/>
      </w:pPr>
      <w:r>
        <w:rPr>
          <w:rFonts w:ascii="Times New Roman" w:cs="Times New Roman" w:eastAsia="Times New Roman" w:hAnsi="Times New Roman"/>
          <w:b/>
          <w:bCs/>
          <w:sz w:val="24"/>
          <w:szCs w:val="24"/>
        </w:rPr>
        <w:t xml:space="preserve">3.1 Módulo 1 — Acesso e Autenticação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Seleção de perfil de acesso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visitante escolha entre acesso como cidadão ou profissional na tela inicial, redirecionando-o para o fluxo correspondente.</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RF-002</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Seleção de município pelo cidadão</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cidadão selecione seu estado e município antes de acessar o portal público, exibindo apenas municípios previamente cadastrados na plataforma.</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Autenticação de profissionais</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autenticar profissionais (médicos, gestores de UPA, gestores municipais e super admin) via e-mail institucional e senha, com validação de formato e mensagem de erro clara em caso de credenciais inválidas.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RF-004</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Redirecionamento pós-login por perfil</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redirecionar o usuário automaticamente para o dashboard correspondente ao seu perfil após autenticação bem-sucedida.</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Recuperação de senha</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a recuperação de senha via e-mail institucional, enviando link de redefinição com validade limitada.</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RF-006</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Logout seguro</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encerrar a sessão do usuário ao clicar em logout, invalidando o token JWT correspondente via blacklist.</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3.2 Módulo 2 — Portal Público do Cidadão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Busca de especialidade por município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cidadão busque UPAs por especialidade médica e município sem necessidade de login ou cadastro.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RF-008</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Exibição de status em tempo real</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o status em tempo real de cada UPA para a especialidade buscada, diferenciando visualmente: disponível (verde), indisponível (cinza) e com previsão (indicação de horário).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RF-009</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Exibição de previsão de atendimento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o horário previsto do próximo atendimento quando a especialidade buscada estiver indisponível em uma unidade, com base nas escalas cadastradas.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RF-010</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Mensagem quando nenhuma UPA disponível</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mensagem explicativa e as próximas previsões de pelo menos duas unidades quando nenhuma UPA possuir a especialidade disponível no momento da consulta.</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Detecção automática de localização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oferecer detecção automática de localização via API de geolocalização do navegador, preenchendo automaticamente o estado e cidade do cidadão caso a permissão seja concedida.</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RF-012</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Nota informativa sobre tempo real</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nota informativa no portal público indicando que os dados são atualizados em tempo real com base no check-in dos profissionais, a fim de orientar o cidadão sobre a natureza dos dados exibidos.</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3.3 Módulo 3 — Controle de Turno do Médico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Exibição de identificação no dashboard</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ao médico, em seu dashboard, seu nome completo, especialidade, número do CRM e nome da UPA à qual está vinculado, além do horário atual atualizado em tempo real.</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RF-014</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Registro de início de turno (check-in)</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médico registre o início do turno com confirmação em até 2 toques na tela, alterando seu status para 'Em atendimento'.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Registro de pausa</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médico registre pausa durante o turno, alterando seu status para 'Em pausa' e tornando sua especialidade indisponível no portal público.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RF-016</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Registro de retorno após pausa</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médico registre retorno após pausa, restaurando seu status para 'Em atendimento' e tornando sua especialidade novamente disponível no portal público.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Registro de encerramento de turno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médico registre o encerramento do turno, alterando seu status para 'Encerrado' e impedindo reativação sem nova autorização.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RF-018</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Atualização automática do portal público</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atualizar automaticamente a disponibilidade da especialidade no portal público em até 5 segundos após cada mudança de status do médico.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RF-019</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Histórico de ações do turno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registrar e exibir o histórico cronológico de ações do turno do médico com os respectivos horários, diferenciando visualmente cada tipo de ação por cor.</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3.4 Módulo 4 — Gestão da UPA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Indicadores em tempo real da UPA</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ao gestor de UPA, em seu dashboard, os indicadores em tempo real: total de médicos vinculados, em atendimento, em pausa e com turno encerrado.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RF-021</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Listagem de médicos com status</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de UPA visualize a lista de todos os médicos da unidade com nome, especialidade, status atual (com badge colorido) e tempo decorrido desde a última atualização.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Cadastro de médico na unidade</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de UPA cadastre novos médicos na unidade, informando nome completo, CRM, especialidade e e-mail institucional, com validação de campos obrigatórios.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RF-023</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Cadastro de escala de plantão</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de UPA cadastre escalas de plantão, associando médico, data e horários de início e fim do turno.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Listagem de escalas cadastradas</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de UPA visualize a listagem de escalas cadastradas na unidade, com possibilidade de filtro por data e especialidade, sinalizando escalas com lacunas de cobertura.</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RF-025</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Monitoramento de turnos do dia</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de UPA monitore em tempo real o andamento dos turnos do dia, indicando para cada médico o status atual (iniciado, em andamento, em pausa ou não iniciado).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Alertas operacionais automáticos</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gerar alertas automáticos para o gestor de UPA nas seguintes situações: especialidade sem médico ativo, turno previsto não iniciado dentro do horário e escala com cobertura incompleta. Alertas devem ser categorizados por criticidade.</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3.5 Módulo 5 — Gestão Municipal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Indicadores consolidados do município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ao gestor municipal os indicadores consolidados do município: total de UPAs cadastradas, gestores de UPA vinculados, médicos cadastrados e unidades ativas.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RF-028</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Cadastro de UPA no município</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municipal cadastre novas UPAs no município, informando nome, endereço, bairro e especialidades atendidas, com ativação da unidade para exibição no portal público.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RF-029</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Listagem de UPAs do município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municipal visualize a listagem de todas as UPAs do município com nome, bairro, status, número de médicos vinculados e nome do gestor responsável, destacando unidades sem gestor ou inativas.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RF-030</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Cadastro de gestor de UPA</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municipal cadastre gestores de UPA, informando nome, e-mail institucional e UPA de atuação, liberando automaticamente o acesso ao dashboard da unidade correspondente.</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Relatórios de desempenho</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gestor municipal acesse relatórios de desempenho das UPAs do município, incluindo cobertura por especialidade, frequência de alertas por unidade e indicadores de presença dos médicos.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RF-032</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Alertas municipais automáticos</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gerar alertas automáticos para o gestor municipal nas situações: UPA sem gestor responsável, UPA sem médicos cadastrados e unidade marcada como inativa sem justificativa. Alertas devem ser resolvidos automaticamente quando a situação for corrigida.</w:t>
            </w:r>
          </w:p>
        </w:tc>
      </w:tr>
    </w:tbl>
    <w:p>
      <w:pPr>
        <w:spacing w:after="120" w:before="0"/>
      </w:pPr>
      <w:r>
        <w:rPr>
          <w:rFonts w:ascii="Times New Roman" w:cs="Times New Roman" w:eastAsia="Times New Roman" w:hAnsi="Times New Roman"/>
          <w:sz w:val="24"/>
          <w:szCs w:val="24"/>
        </w:rPr>
        <w:t xml:space="preserve"/>
      </w:r>
    </w:p>
    <w:p>
      <w:pPr>
        <w:pStyle w:val="Heading2"/>
        <w:spacing w:after="200" w:before="360" w:line="360" w:lineRule="auto"/>
      </w:pPr>
      <w:r>
        <w:rPr>
          <w:rFonts w:ascii="Times New Roman" w:cs="Times New Roman" w:eastAsia="Times New Roman" w:hAnsi="Times New Roman"/>
          <w:b/>
          <w:bCs/>
          <w:sz w:val="24"/>
          <w:szCs w:val="24"/>
        </w:rPr>
        <w:t xml:space="preserve">3.6 Módulo 6 — Administração da Plataforma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Indicadores globais da plataforma</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exibir ao super admin os indicadores globais da plataforma: total de municípios cadastrados, gestores municipais vinculados, UPAs cadastradas e médicos registrados.</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RF-034</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Cadastro de município</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super admin cadastre novos municípios na plataforma, informando nome, estado (UF) e logo opcional, tornando-o disponível no portal público após cadastro.</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Cadastro de gestor municipal</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super admin cadastre gestores municipais, informando nome, e-mail e município de atuação, liberando automaticamente o acesso ao dashboard municipal correspondente.</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RF-036</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Listagem e monitoramento de municípios</w:t>
            </w:r>
          </w:p>
        </w:tc>
        <w:tc>
          <w:tcPr>
            <w:tcW w:type="dxa" w:w="58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permitir que o super admin visualize e monitore todos os municípios cadastrados, com número de UPAs, número de gestores e status, destacando municípios com configuração pendente.</w:t>
            </w:r>
          </w:p>
        </w:tc>
      </w:tr>
      <w:tr>
        <w:tc>
          <w:tcPr>
            <w:tcW w:type="dxa" w:w="12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RF-037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Alertas globais do sistema</w:t>
            </w:r>
          </w:p>
        </w:tc>
        <w:tc>
          <w:tcPr>
            <w:tcW w:type="dxa" w:w="58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gerar alertas globais para o super admin nas situações: município sem gestor municipal vinculado, novo município aguardando configuração e baixa cobertura de unidades. Alertas devem ser categorizados por tipo.</w:t>
            </w:r>
          </w:p>
        </w:tc>
      </w:tr>
    </w:tbl>
    <w:p>
      <w:pPr>
        <w:spacing w:after="120" w:before="0"/>
      </w:pPr>
      <w:r>
        <w:rPr>
          <w:rFonts w:ascii="Times New Roman" w:cs="Times New Roman" w:eastAsia="Times New Roman" w:hAnsi="Times New Roman"/>
          <w:sz w:val="24"/>
          <w:szCs w:val="24"/>
        </w:rPr>
        <w:t xml:space="preserve"/>
      </w:r>
    </w:p>
    <w:p>
      <w:r>
        <w:br w:type="page"/>
      </w:r>
    </w:p>
    <w:p>
      <w:pPr>
        <w:pStyle w:val="Heading1"/>
        <w:spacing w:after="240" w:before="480" w:line="360" w:lineRule="auto"/>
      </w:pPr>
      <w:r>
        <w:rPr>
          <w:rFonts w:ascii="Times New Roman" w:cs="Times New Roman" w:eastAsia="Times New Roman" w:hAnsi="Times New Roman"/>
          <w:b/>
          <w:bCs/>
          <w:sz w:val="24"/>
          <w:szCs w:val="24"/>
        </w:rPr>
        <w:t xml:space="preserve">4. REQUISITOS NÃO FUNCIONAIS</w:t>
      </w:r>
    </w:p>
    <w:p>
      <w:pPr>
        <w:spacing w:after="200" w:before="0" w:line="360" w:lineRule="auto"/>
        <w:jc w:val="both"/>
      </w:pPr>
      <w:r>
        <w:rPr>
          <w:rFonts w:ascii="Times New Roman" w:cs="Times New Roman" w:eastAsia="Times New Roman" w:hAnsi="Times New Roman"/>
          <w:sz w:val="24"/>
          <w:szCs w:val="24"/>
        </w:rPr>
        <w:t xml:space="preserve">Os requisitos não funcionais especificam critérios que o sistema deve satisfazer quanto ao seu comportamento, qualidade e restrições operacionais, independentemente das funções específicas que executa.</w:t>
      </w:r>
    </w:p>
    <w:p>
      <w:pPr>
        <w:spacing w:after="12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426"/>
      </w:tblGrid>
      <w:tr>
        <w:tc>
          <w:tcPr>
            <w:tcW w:type="dxa" w:w="11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15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Categoria</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Nome</w:t>
            </w:r>
          </w:p>
        </w:tc>
        <w:tc>
          <w:tcPr>
            <w:tcW w:type="dxa" w:w="44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Descrição</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Desempenho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Tempo de atualização</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atualizar o status de disponibilidade no portal público em até 5 segundos após o registro de check-in pelo médico.</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RNF-002</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Disponibilidade</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Operação contínua</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operar 24 horas por dia, 7 dias por semana, com disponibilidade mínima de 99%, dado seu caráter de serviço público de saúde.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Responsividade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Compatibilidade de telas</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 interface deve ser responsiva e funcionar corretamente em dispositivos móveis (smartphones e tablets) e desktops, com menu de navegação inferior em telas pequenas.</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RNF-004</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Segurança</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Autenticação JWT</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utilizar JSON Web Tokens (JWT) com tokens de acesso de curta duração, refresh tokens com rotação automática e blacklist para revogação imediata no logout.</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Segurança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Controle de acesso por perfil</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Cada perfil de usuário deve acessar exclusivamente as funcionalidades e dados correspondentes ao seu nível de permissão, sem possibilidade de escalada de privilégios.</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RNF-006</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Segurança</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Mitigação de vulnerabilidades</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seguir as recomendações do OWASP Top 10 (2021) para mitigação das vulnerabilidades mais críticas em aplicações web.</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Privacidade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Proteção de dados dos profissionais</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portal público não deve exibir dados pessoais dos médicos (nome, CRM, e-mail), apenas a especialidade e o status de disponibilidade, em conformidade com a LGPD (Lei nº 13.709/2018).</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RNF-008</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Usabilidade</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Portal público intuitivo</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portal público deve ser utilizável sem treinamento prévio pelo cidadão, com interface clara, linguagem acessível e fluxo de consulta completável em até 3 interações.</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RNF-009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Usabilidade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Check-in simplificado</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check-in do médico deve ser realizável em no máximo 2 toques na tela, sem necessidade de navegação entre múltiplas telas ou preenchimento de formulários.</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RNF-010</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Escalabilidade</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Suporte a múltiplos municípios</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 arquitetura SaaS deve suportar múltiplos municípios com isolamento lógico de dados por organização, utilizando múltiplos schemas no PostgreSQL.</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RNF-011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Manutenibilidade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Separação de responsabilidades</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seguir arquitetura REST com separação clara entre frontend (React/TypeScript) e backend (Django REST Framework), facilitando manutenção independente de cada camada.</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RNF-012</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Acessibilidade</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Acesso sem instalação</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ser acessível sem necessidade de instalação via loja de aplicativos, utilizando tecnologia Progressive Web App (PWA) para suporte a instalação direta e modo offline parcial.</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RNF-013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Auditoria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Log de operações sensíveis</w:t>
            </w:r>
          </w:p>
        </w:tc>
        <w:tc>
          <w:tcPr>
            <w:tcW w:type="dxa" w:w="44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registrar log de operações sensíveis — incluindo login, logout, alteração de dados cadastrais e encerramento de turno — para fins de auditoria e rastreabilidade.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20"/>
                <w:szCs w:val="20"/>
              </w:rPr>
              <w:t xml:space="preserve">RNF-014</w:t>
            </w:r>
          </w:p>
        </w:tc>
        <w:tc>
          <w:tcPr>
            <w:tcW w:type="dxa" w:w="1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Compatibilidade</w:t>
            </w:r>
          </w:p>
        </w:tc>
        <w:tc>
          <w:tcPr>
            <w:tcW w:type="dxa" w:w="2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Suporte a navegadores</w:t>
            </w:r>
          </w:p>
        </w:tc>
        <w:tc>
          <w:tcPr>
            <w:tcW w:type="dxa" w:w="44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O sistema deve funcionar corretamente nos principais navegadores modernos: Google Chrome, Mozilla Firefox, Apple Safari e Microsoft Edge, em suas versões correntes.</w:t>
            </w:r>
          </w:p>
        </w:tc>
      </w:tr>
    </w:tbl>
    <w:p>
      <w:r>
        <w:br w:type="page"/>
      </w:r>
    </w:p>
    <w:p>
      <w:pPr>
        <w:pStyle w:val="Heading1"/>
        <w:spacing w:after="240" w:before="480" w:line="360" w:lineRule="auto"/>
      </w:pPr>
      <w:r>
        <w:rPr>
          <w:rFonts w:ascii="Times New Roman" w:cs="Times New Roman" w:eastAsia="Times New Roman" w:hAnsi="Times New Roman"/>
          <w:b/>
          <w:bCs/>
          <w:sz w:val="24"/>
          <w:szCs w:val="24"/>
        </w:rPr>
        <w:t xml:space="preserve">5. REQUISITOS DE INTERFACE</w:t>
      </w:r>
    </w:p>
    <w:p>
      <w:pPr>
        <w:pStyle w:val="Heading2"/>
        <w:spacing w:after="200" w:before="360" w:line="360" w:lineRule="auto"/>
      </w:pPr>
      <w:r>
        <w:rPr>
          <w:rFonts w:ascii="Times New Roman" w:cs="Times New Roman" w:eastAsia="Times New Roman" w:hAnsi="Times New Roman"/>
          <w:b/>
          <w:bCs/>
          <w:sz w:val="24"/>
          <w:szCs w:val="24"/>
        </w:rPr>
        <w:t xml:space="preserve">5.1 Interface do Usuário</w:t>
      </w:r>
    </w:p>
    <w:p>
      <w:pPr>
        <w:spacing w:after="200" w:before="0" w:line="360" w:lineRule="auto"/>
        <w:jc w:val="both"/>
      </w:pPr>
      <w:r>
        <w:rPr>
          <w:rFonts w:ascii="Times New Roman" w:cs="Times New Roman" w:eastAsia="Times New Roman" w:hAnsi="Times New Roman"/>
          <w:sz w:val="24"/>
          <w:szCs w:val="24"/>
        </w:rPr>
        <w:t xml:space="preserve">O sistema adota padrão visual flat design, com paleta de cores baseada em azul escuro (#1e3a5f) como cor institucional, verde para indicadores de disponibilidade e cinza para estados inativos. A tipografia utiliza fontes sans-serif para garantir legibilidade em diferentes tamanhos de tela. Os componentes de interface são construídos com cards de bordas arredondadas, espaçamento generoso e hierarquia visual clara.</w:t>
      </w:r>
    </w:p>
    <w:p>
      <w:pPr>
        <w:spacing w:after="200" w:before="0" w:line="360" w:lineRule="auto"/>
        <w:jc w:val="both"/>
      </w:pPr>
      <w:r>
        <w:rPr>
          <w:rFonts w:ascii="Times New Roman" w:cs="Times New Roman" w:eastAsia="Times New Roman" w:hAnsi="Times New Roman"/>
          <w:sz w:val="24"/>
          <w:szCs w:val="24"/>
        </w:rPr>
        <w:t xml:space="preserve">O portal público do cidadão prioriza a clareza da informação principal — disponibilidade de especialidades — com indicadores visuais de fácil interpretação (cores e ícones) que dispensam leitura extensiva. Os dashboards dos perfis internos utilizam layout de painel com contadores, listas e alertas organizados por prioridade operacional.</w:t>
      </w:r>
    </w:p>
    <w:p>
      <w:pPr>
        <w:pStyle w:val="Heading2"/>
        <w:spacing w:after="200" w:before="360" w:line="360" w:lineRule="auto"/>
      </w:pPr>
      <w:r>
        <w:rPr>
          <w:rFonts w:ascii="Times New Roman" w:cs="Times New Roman" w:eastAsia="Times New Roman" w:hAnsi="Times New Roman"/>
          <w:b/>
          <w:bCs/>
          <w:sz w:val="24"/>
          <w:szCs w:val="24"/>
        </w:rPr>
        <w:t xml:space="preserve">5.2 Interface de Hardware</w:t>
      </w:r>
    </w:p>
    <w:p>
      <w:pPr>
        <w:spacing w:after="200" w:before="0" w:line="360" w:lineRule="auto"/>
        <w:jc w:val="both"/>
      </w:pPr>
      <w:r>
        <w:rPr>
          <w:rFonts w:ascii="Times New Roman" w:cs="Times New Roman" w:eastAsia="Times New Roman" w:hAnsi="Times New Roman"/>
          <w:sz w:val="24"/>
          <w:szCs w:val="24"/>
        </w:rPr>
        <w:t xml:space="preserve">O sistema é acessível via navegador web em qualquer dispositivo com conexão à internet, incluindo smartphones, tablets e computadores desktop. Não há requisitos de hardware específicos além de um navegador moderno atualizado. O acesso ao check-in médico é otimizado para telas de toque em dispositivos móveis, com botões dimensionados conforme diretrizes de usabilidade para toque.</w:t>
      </w:r>
    </w:p>
    <w:p>
      <w:pPr>
        <w:pStyle w:val="Heading2"/>
        <w:spacing w:after="200" w:before="360" w:line="360" w:lineRule="auto"/>
      </w:pPr>
      <w:r>
        <w:rPr>
          <w:rFonts w:ascii="Times New Roman" w:cs="Times New Roman" w:eastAsia="Times New Roman" w:hAnsi="Times New Roman"/>
          <w:b/>
          <w:bCs/>
          <w:sz w:val="24"/>
          <w:szCs w:val="24"/>
        </w:rPr>
        <w:t xml:space="preserve">5.3 Interface de Software</w:t>
      </w:r>
    </w:p>
    <w:p>
      <w:pPr>
        <w:spacing w:after="200" w:before="0" w:line="360" w:lineRule="auto"/>
        <w:jc w:val="both"/>
      </w:pPr>
      <w:r>
        <w:rPr>
          <w:rFonts w:ascii="Times New Roman" w:cs="Times New Roman" w:eastAsia="Times New Roman" w:hAnsi="Times New Roman"/>
          <w:sz w:val="24"/>
          <w:szCs w:val="24"/>
        </w:rPr>
        <w:t xml:space="preserve">O backend expõe uma API REST desenvolvida em Python com Django REST Framework, consumida pelo frontend em React com TypeScript. A comunicação entre as camadas é realizada via requisições HTTP com payloads no formato JSON. A autenticação é gerenciada via JWT (RFC 7519). O banco de dados utilizado é o PostgreSQL, com isolamento de dados por município via múltiplos schemas lógicos.</w:t>
      </w:r>
    </w:p>
    <w:p>
      <w:pPr>
        <w:pStyle w:val="Heading2"/>
        <w:spacing w:after="200" w:before="360" w:line="360" w:lineRule="auto"/>
      </w:pPr>
      <w:r>
        <w:rPr>
          <w:rFonts w:ascii="Times New Roman" w:cs="Times New Roman" w:eastAsia="Times New Roman" w:hAnsi="Times New Roman"/>
          <w:b/>
          <w:bCs/>
          <w:sz w:val="24"/>
          <w:szCs w:val="24"/>
        </w:rPr>
        <w:t xml:space="preserve">5.4 Interface de Comunicação</w:t>
      </w:r>
    </w:p>
    <w:p>
      <w:pPr>
        <w:spacing w:after="200" w:before="0" w:line="360" w:lineRule="auto"/>
        <w:jc w:val="both"/>
      </w:pPr>
      <w:r>
        <w:rPr>
          <w:rFonts w:ascii="Times New Roman" w:cs="Times New Roman" w:eastAsia="Times New Roman" w:hAnsi="Times New Roman"/>
          <w:sz w:val="24"/>
          <w:szCs w:val="24"/>
        </w:rPr>
        <w:t xml:space="preserve">Toda a comunicação entre o cliente (navegador) e o servidor é realizada via protocolo HTTPS, garantindo criptografia do tráfego. A arquitetura REST impõe comunicação stateless, em que cada requisição carrega todas as informações necessárias para ser processada pelo servidor, incluindo o token JWT no cabeçalho Authorization. Não são utilizados WebSockets na versão inicial; as atualizações em tempo real são obtidas via polling periódico do cliente ao servidor.</w:t>
      </w:r>
    </w:p>
    <w:p>
      <w:r>
        <w:br w:type="page"/>
      </w:r>
    </w:p>
    <w:p>
      <w:pPr>
        <w:pStyle w:val="Heading1"/>
        <w:spacing w:after="240" w:before="480" w:line="360" w:lineRule="auto"/>
      </w:pPr>
      <w:r>
        <w:rPr>
          <w:rFonts w:ascii="Times New Roman" w:cs="Times New Roman" w:eastAsia="Times New Roman" w:hAnsi="Times New Roman"/>
          <w:b/>
          <w:bCs/>
          <w:sz w:val="24"/>
          <w:szCs w:val="24"/>
        </w:rPr>
        <w:t xml:space="preserve">6. RESTRIÇÕES DE DESIGN</w:t>
      </w:r>
    </w:p>
    <w:p>
      <w:pPr>
        <w:spacing w:after="200" w:before="0" w:line="360" w:lineRule="auto"/>
        <w:jc w:val="both"/>
      </w:pPr>
      <w:r>
        <w:rPr>
          <w:rFonts w:ascii="Times New Roman" w:cs="Times New Roman" w:eastAsia="Times New Roman" w:hAnsi="Times New Roman"/>
          <w:sz w:val="24"/>
          <w:szCs w:val="24"/>
        </w:rPr>
        <w:t xml:space="preserve">As seguintes restrições de design devem ser observadas ao longo do desenvolvimento e são inegociáveis do ponto de vista legal, ético e de usabilidade:</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Conformidade com a LGPD (Lei nº 13.709/2018): o sistema deve tratar dados pessoais de profissionais apenas com base legal adequada, com minimização de dados, controle de acesso por perfil e auditoria de operações sensíveis.</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Não exigir instalação de aplicativo nativo: o sistema deve ser entregue como Progressive Web App (PWA), acessível diretamente pelo navegador sem publicação em lojas de aplicativos (App Store, Google Play).</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Dados do cidadão não armazenados: o portal público não deve solicitar, armazenar ou transmitir qualquer dado pessoal do cidadão — nem nome, CPF, e-mail, localização persistente ou qualquer outra informação identificável.</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Interface do cidadão sem login: o fluxo de consulta do cidadão deve ser completamente acessível sem autenticação, evitando qualquer barreira que reduza o acesso à informação pública.</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Identidade dos médicos protegida no portal público: o portal deve exibir exclusivamente a especialidade e o status de disponibilidade, sem identificar nominalmente o profissional ao cidadão.</w:t>
      </w:r>
    </w:p>
    <w:p>
      <w:pPr>
        <w:pStyle w:val="ListParagraph"/>
        <w:numPr>
          <w:ilvl w:val="0"/>
          <w:numId w:val="2"/>
        </w:numPr>
        <w:spacing w:after="100" w:before="0" w:line="360" w:lineRule="auto"/>
      </w:pPr>
      <w:r>
        <w:rPr>
          <w:rFonts w:ascii="Times New Roman" w:cs="Times New Roman" w:eastAsia="Times New Roman" w:hAnsi="Times New Roman"/>
          <w:sz w:val="24"/>
          <w:szCs w:val="24"/>
        </w:rPr>
        <w:t xml:space="preserve">Compatibilidade com conexões de baixa velocidade: dado que as UPAs podem ter infraestrutura de rede limitada, a interface de check-in médico deve ser leve e funcional em conexões 4G com velocidade reduzida.</w:t>
      </w:r>
    </w:p>
    <w:p>
      <w:r>
        <w:br w:type="page"/>
      </w:r>
    </w:p>
    <w:p>
      <w:pPr>
        <w:pStyle w:val="Heading1"/>
        <w:spacing w:after="240" w:before="480" w:line="360" w:lineRule="auto"/>
      </w:pPr>
      <w:r>
        <w:rPr>
          <w:rFonts w:ascii="Times New Roman" w:cs="Times New Roman" w:eastAsia="Times New Roman" w:hAnsi="Times New Roman"/>
          <w:b/>
          <w:bCs/>
          <w:sz w:val="24"/>
          <w:szCs w:val="24"/>
        </w:rPr>
        <w:t xml:space="preserve">7. ATRIBUTOS DE QUALIDADE</w:t>
      </w:r>
    </w:p>
    <w:p>
      <w:pPr>
        <w:spacing w:after="200" w:before="0" w:line="360" w:lineRule="auto"/>
        <w:jc w:val="both"/>
      </w:pPr>
      <w:r>
        <w:rPr>
          <w:rFonts w:ascii="Times New Roman" w:cs="Times New Roman" w:eastAsia="Times New Roman" w:hAnsi="Times New Roman"/>
          <w:sz w:val="24"/>
          <w:szCs w:val="24"/>
        </w:rPr>
        <w:t xml:space="preserve">A tabela a seguir descreve os principais atributos de qualidade do sistema MedBusca, indicando como cada atributo é atendido pelos requisitos especificados neste documento.</w:t>
      </w:r>
    </w:p>
    <w:p>
      <w:pPr>
        <w:spacing w:after="12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Atributo</w:t>
            </w:r>
          </w:p>
        </w:tc>
        <w:tc>
          <w:tcPr>
            <w:tcW w:type="dxa" w:w="30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Descrição</w:t>
            </w:r>
          </w:p>
        </w:tc>
        <w:tc>
          <w:tcPr>
            <w:tcW w:type="dxa" w:w="422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Como o Sistema Atende</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Confiabilidade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Capacidade do sistema de operar corretamente de forma contínua e consistente.</w:t>
            </w:r>
          </w:p>
        </w:tc>
        <w:tc>
          <w:tcPr>
            <w:tcW w:type="dxa" w:w="42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Disponibilidade mínima de 99% (RNF-002); registros de log de auditoria (RNF-013); exclusão lógica para preservação do histórico.</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Segurança</w:t>
            </w:r>
          </w:p>
        </w:tc>
        <w:tc>
          <w:tcPr>
            <w:tcW w:type="dxa" w:w="3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Proteção contra acessos não autorizados, exposição de dados e ataques externos.</w:t>
            </w:r>
          </w:p>
        </w:tc>
        <w:tc>
          <w:tcPr>
            <w:tcW w:type="dxa" w:w="42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Autenticação JWT com rotação (RNF-004); controle de acesso por perfil (RNF-005); conformidade com OWASP Top 10 (RNF-006); HTTPS obrigatório.</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Usabilidade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Facilidade de uso pelos diferentes perfis de usuário, especialmente o cidadão.</w:t>
            </w:r>
          </w:p>
        </w:tc>
        <w:tc>
          <w:tcPr>
            <w:tcW w:type="dxa" w:w="42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Portal público utilizável sem treinamento (RNF-008); check-in em 2 toques (RNF-009); interface responsiva (RNF-003).</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Eficiência</w:t>
            </w:r>
          </w:p>
        </w:tc>
        <w:tc>
          <w:tcPr>
            <w:tcW w:type="dxa" w:w="3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Desempenho adequado às demandas de uso em tempo real.</w:t>
            </w:r>
          </w:p>
        </w:tc>
        <w:tc>
          <w:tcPr>
            <w:tcW w:type="dxa" w:w="42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Atualização de disponibilidade em até 5 segundos (RNF-001); arquitetura stateless REST para escalabilidade horizontal.</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Manutenibilidade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Facilidade de modificação, correção e evolução do sistema.</w:t>
            </w:r>
          </w:p>
        </w:tc>
        <w:tc>
          <w:tcPr>
            <w:tcW w:type="dxa" w:w="4226"/>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Separação frontend/backend (RNF-011); stack open source documentada; isolamento por módulo e por município.</w:t>
            </w:r>
          </w:p>
        </w:tc>
      </w:tr>
      <w:tr>
        <w:tc>
          <w:tcPr>
            <w:tcW w:type="dxa" w:w="18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bCs/>
                <w:sz w:val="20"/>
                <w:szCs w:val="20"/>
              </w:rPr>
              <w:t xml:space="preserve">Portabilidade</w:t>
            </w:r>
          </w:p>
        </w:tc>
        <w:tc>
          <w:tcPr>
            <w:tcW w:type="dxa" w:w="30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Capacidade de funcionar em diferentes dispositivos e ambientes sem adaptações.</w:t>
            </w:r>
          </w:p>
        </w:tc>
        <w:tc>
          <w:tcPr>
            <w:tcW w:type="dxa" w:w="4226"/>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20"/>
                <w:szCs w:val="20"/>
              </w:rPr>
              <w:t xml:space="preserve">Interface responsiva (RNF-003); entrega como PWA (RNF-012); compatibilidade com os principais navegadores (RNF-014).</w:t>
            </w:r>
          </w:p>
        </w:tc>
      </w:tr>
    </w:tbl>
    <w:p>
      <w:r>
        <w:br w:type="page"/>
      </w:r>
    </w:p>
    <w:p>
      <w:pPr>
        <w:pStyle w:val="Heading1"/>
        <w:spacing w:after="240" w:before="480" w:line="360" w:lineRule="auto"/>
      </w:pPr>
      <w:r>
        <w:rPr>
          <w:rFonts w:ascii="Times New Roman" w:cs="Times New Roman" w:eastAsia="Times New Roman" w:hAnsi="Times New Roman"/>
          <w:b/>
          <w:bCs/>
          <w:sz w:val="24"/>
          <w:szCs w:val="24"/>
        </w:rPr>
        <w:t xml:space="preserve">8. MATRIZ DE RASTREABILIDADE</w:t>
      </w:r>
    </w:p>
    <w:p>
      <w:pPr>
        <w:spacing w:after="200" w:before="0" w:line="360" w:lineRule="auto"/>
        <w:jc w:val="both"/>
      </w:pPr>
      <w:r>
        <w:rPr>
          <w:rFonts w:ascii="Times New Roman" w:cs="Times New Roman" w:eastAsia="Times New Roman" w:hAnsi="Times New Roman"/>
          <w:sz w:val="24"/>
          <w:szCs w:val="24"/>
        </w:rPr>
        <w:t xml:space="preserve">A matriz a seguir cruza os requisitos funcionais especificados na Seção 3 com os perfis de usuário do sistema, indicando com "X" os casos em que o requisito se aplica diretamente ao perfil correspondente.</w:t>
      </w:r>
    </w:p>
    <w:p>
      <w:pPr>
        <w:spacing w:after="12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085"/>
        <w:gridCol w:w="1085"/>
        <w:gridCol w:w="1085"/>
        <w:gridCol w:w="1085"/>
        <w:gridCol w:w="1086"/>
      </w:tblGrid>
      <w:tr>
        <w:tc>
          <w:tcPr>
            <w:tcW w:type="dxa" w:w="11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Código</w:t>
            </w:r>
          </w:p>
        </w:tc>
        <w:tc>
          <w:tcPr>
            <w:tcW w:type="dxa" w:w="2500"/>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left"/>
            </w:pPr>
            <w:r>
              <w:rPr>
                <w:rFonts w:ascii="Times New Roman" w:cs="Times New Roman" w:eastAsia="Times New Roman" w:hAnsi="Times New Roman"/>
                <w:b/>
                <w:bCs/>
                <w:color w:val="FFFFFF"/>
                <w:sz w:val="20"/>
                <w:szCs w:val="20"/>
              </w:rPr>
              <w:t xml:space="preserve">Requisito</w:t>
            </w:r>
          </w:p>
        </w:tc>
        <w:tc>
          <w:tcPr>
            <w:tcW w:type="dxa" w:w="1085"/>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Cidadão</w:t>
            </w:r>
          </w:p>
        </w:tc>
        <w:tc>
          <w:tcPr>
            <w:tcW w:type="dxa" w:w="1085"/>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Médico</w:t>
            </w:r>
          </w:p>
        </w:tc>
        <w:tc>
          <w:tcPr>
            <w:tcW w:type="dxa" w:w="1085"/>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Gestor UPA</w:t>
            </w:r>
          </w:p>
        </w:tc>
        <w:tc>
          <w:tcPr>
            <w:tcW w:type="dxa" w:w="1085"/>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Gestor Mun.</w:t>
            </w:r>
          </w:p>
        </w:tc>
        <w:tc>
          <w:tcPr>
            <w:tcW w:type="dxa" w:w="1086"/>
            <w:tcBorders>
              <w:top w:val="single" w:color="1e3a5f" w:sz="6"/>
              <w:left w:val="single" w:color="1e3a5f" w:sz="6"/>
              <w:bottom w:val="single" w:color="1e3a5f" w:sz="6"/>
              <w:right w:val="single" w:color="1e3a5f" w:sz="6"/>
            </w:tcBorders>
            <w:shd w:fill="1e3a5f" w:val="clear"/>
            <w:tcMar>
              <w:top w:type="dxa" w:w="100"/>
              <w:left w:type="dxa" w:w="140"/>
              <w:bottom w:type="dxa" w:w="80"/>
              <w:right w:type="dxa" w:w="140"/>
            </w:tcMar>
            <w:vAlign w:val="center"/>
          </w:tcPr>
          <w:p>
            <w:pPr>
              <w:spacing w:after="0" w:before="0"/>
              <w:jc w:val="center"/>
            </w:pPr>
            <w:r>
              <w:rPr>
                <w:rFonts w:ascii="Times New Roman" w:cs="Times New Roman" w:eastAsia="Times New Roman" w:hAnsi="Times New Roman"/>
                <w:b/>
                <w:bCs/>
                <w:color w:val="FFFFFF"/>
                <w:sz w:val="20"/>
                <w:szCs w:val="20"/>
              </w:rPr>
              <w:t xml:space="preserve">Super Admin</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Seleção de perfil de acesso</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RF-002</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Seleção de município (cidadão)</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Autenticação de profissionais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RF-004</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Redirecionamento pós-login</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Recuperação de senha</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RF-006</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Logout seguro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Busca de especialidade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RF-008</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Status em tempo real (portal)</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RF-009</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Previsão de atendimento</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RF-010</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Mensagem sem UPA disponível</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Detecção de localização</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RF-012</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Nota sobre tempo real</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Identificação no dashboard</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RF-014</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Registro de início de turno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Registro de pausa</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RF-016</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Registro de retorno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Registro de encerramento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RF-018</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Atualização do portal público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RF-019</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Histórico de turno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RF-020</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Indicadores em tempo real</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Listagem de médicos c/ status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RF-022</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Cadastro de médico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Cadastro de escala</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RF-024</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Listagem de escalas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Monitoramento de turnos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RF-026</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Alertas operacionais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Indicadores municipais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RF-028</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Cadastro de UPA</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RF-029</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Listagem de UPAs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RF-030</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Cadastro de gestor de UPA</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Relatórios de desempenho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RF-032</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Alertas municipais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c>
          <w:tcPr>
            <w:tcW w:type="dxa" w:w="1086"/>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Indicadores globais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RF-034</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Cadastro de município</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Cadastro de gestor municipal</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RF-036</w:t>
            </w:r>
          </w:p>
        </w:tc>
        <w:tc>
          <w:tcPr>
            <w:tcW w:type="dxa" w:w="2500"/>
            <w:tcBorders>
              <w:top w:val="single" w:color="AAAAAA" w:sz="4"/>
              <w:left w:val="single" w:color="AAAAAA" w:sz="4"/>
              <w:bottom w:val="single" w:color="AAAAAA" w:sz="4"/>
              <w:right w:val="single" w:color="AAAAAA" w:sz="4"/>
            </w:tcBorders>
            <w:shd w:fill="F9FBFE"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Listagem de municípios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r>
        <w:tc>
          <w:tcPr>
            <w:tcW w:type="dxa" w:w="1100"/>
            <w:tcBorders>
              <w:top w:val="single" w:color="AAAAAA" w:sz="4"/>
              <w:left w:val="single" w:color="AAAAAA" w:sz="4"/>
              <w:bottom w:val="single" w:color="AAAAAA" w:sz="4"/>
              <w:right w:val="single" w:color="AAAAAA" w:sz="4"/>
            </w:tcBorders>
            <w:shd w:fill="EDF2F9" w:val="clear"/>
            <w:tcMar>
              <w:top w:type="dxa" w:w="80"/>
              <w:left w:type="dxa" w:w="140"/>
              <w:bottom w:type="dxa" w:w="60"/>
              <w:right w:type="dxa" w:w="140"/>
            </w:tcMar>
            <w:vAlign w:val="top"/>
          </w:tcPr>
          <w:p>
            <w:pPr>
              <w:spacing w:after="0" w:before="0" w:line="360" w:lineRule="auto"/>
              <w:jc w:val="center"/>
            </w:pPr>
            <w:r>
              <w:rPr>
                <w:rFonts w:ascii="Times New Roman" w:cs="Times New Roman" w:eastAsia="Times New Roman" w:hAnsi="Times New Roman"/>
                <w:b/>
                <w:bCs/>
                <w:sz w:val="18"/>
                <w:szCs w:val="18"/>
              </w:rPr>
              <w:t xml:space="preserve">RF-037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60"/>
              <w:right w:type="dxa" w:w="140"/>
            </w:tcMar>
            <w:vAlign w:val="top"/>
          </w:tcPr>
          <w:p>
            <w:pPr>
              <w:spacing w:after="0" w:before="0" w:line="360" w:lineRule="auto"/>
              <w:jc w:val="left"/>
            </w:pPr>
            <w:r>
              <w:rPr>
                <w:rFonts w:ascii="Times New Roman" w:cs="Times New Roman" w:eastAsia="Times New Roman" w:hAnsi="Times New Roman"/>
                <w:b w:val="false"/>
                <w:bCs w:val="false"/>
                <w:sz w:val="18"/>
                <w:szCs w:val="18"/>
              </w:rPr>
              <w:t xml:space="preserve">Alertas globais</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5"/>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color w:val="CCCCCC"/>
                <w:sz w:val="20"/>
                <w:szCs w:val="20"/>
              </w:rPr>
              <w:t xml:space="preserve">–</w:t>
            </w:r>
          </w:p>
        </w:tc>
        <w:tc>
          <w:tcPr>
            <w:tcW w:type="dxa" w:w="1086"/>
            <w:tcBorders>
              <w:top w:val="single" w:color="AAAAAA" w:sz="4"/>
              <w:left w:val="single" w:color="AAAAAA" w:sz="4"/>
              <w:bottom w:val="single" w:color="AAAAAA" w:sz="4"/>
              <w:right w:val="single" w:color="AAAAAA" w:sz="4"/>
            </w:tcBorders>
            <w:shd w:fill="dce8f5"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1e3a5f"/>
                <w:sz w:val="20"/>
                <w:szCs w:val="20"/>
              </w:rPr>
              <w:t xml:space="preserve">X</w:t>
            </w:r>
          </w:p>
        </w:tc>
      </w:tr>
    </w:tbl>
    <w:sectPr>
      <w:headerReference w:type="default" r:id="rId7"/>
      <w:footerReference w:type="default" r:id="rId8"/>
      <w:pgSz w:w="11906" w:h="16838" w:orient="portrait"/>
      <w:pgMar w:top="1701" w:right="1134"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spacing w:after="0"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120" w:before="0"/>
    </w:pPr>
    <w:r>
      <w:rPr>
        <w:rFonts w:ascii="Times New Roman" w:cs="Times New Roman" w:eastAsia="Times New Roman" w:hAnsi="Times New Roman"/>
        <w:color w:val="1e3a5f"/>
        <w:sz w:val="20"/>
        <w:szCs w:val="20"/>
      </w:rPr>
      <w:t xml:space="preserve">Universidade Católica do Salvador (UCSAL) — Análise e Desenvolvimento de Sistemas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36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8fc04daacdb9444a0b27493f8671ca628bf7a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2026-04-07T13:55:22.242Z</dcterms:created>
  <dcterms:modified xsi:type="dcterms:W3CDTF">2026-04-07T13:55:22.243Z</dcterms:modified>
</cp:coreProperties>
</file>

<file path=docProps/custom.xml><?xml version="1.0" encoding="utf-8"?>
<Properties xmlns="http://schemas.openxmlformats.org/officeDocument/2006/custom-properties" xmlns:vt="http://schemas.openxmlformats.org/officeDocument/2006/docPropsVTypes"/>
</file>