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80"/>
        <w:jc w:val="left"/>
      </w:pPr>
      <w:r>
        <w:rPr>
          <w:rFonts w:ascii="Calibri" w:cs="Calibri" w:eastAsia="Calibri" w:hAnsi="Calibri"/>
          <w:b/>
          <w:bCs/>
          <w:i w:val="false"/>
          <w:iCs w:val="false"/>
          <w:color w:val="E85D29"/>
          <w:sz w:val="18"/>
          <w:szCs w:val="18"/>
        </w:rPr>
        <w:t xml:space="preserve">MAISON SIGMA</w:t>
      </w:r>
    </w:p>
    <w:p>
      <w:pPr>
        <w:spacing w:after="1600"/>
        <w:jc w:val="left"/>
      </w:pPr>
      <w:r>
        <w:rPr>
          <w:rFonts w:ascii="Calibri" w:cs="Calibri" w:eastAsia="Calibri" w:hAnsi="Calibri"/>
          <w:b w:val="false"/>
          <w:bCs w:val="false"/>
          <w:i w:val="false"/>
          <w:iCs w:val="false"/>
          <w:color w:val="888888"/>
          <w:sz w:val="16"/>
          <w:szCs w:val="16"/>
        </w:rPr>
        <w:t xml:space="preserve">Brief design · Confidentiel</w:t>
      </w:r>
    </w:p>
    <w:p>
      <w:pPr>
        <w:spacing w:after="120"/>
        <w:jc w:val="left"/>
      </w:pPr>
      <w:r>
        <w:rPr>
          <w:rFonts w:ascii="Calibri" w:cs="Calibri" w:eastAsia="Calibri" w:hAnsi="Calibri"/>
          <w:b w:val="false"/>
          <w:bCs w:val="false"/>
          <w:i w:val="false"/>
          <w:iCs w:val="false"/>
          <w:color w:val="888888"/>
          <w:sz w:val="24"/>
          <w:szCs w:val="24"/>
        </w:rPr>
        <w:t xml:space="preserve">Brief design</w:t>
      </w:r>
    </w:p>
    <w:p>
      <w:pPr>
        <w:spacing w:after="0"/>
        <w:jc w:val="left"/>
      </w:pPr>
      <w:r>
        <w:rPr>
          <w:rFonts w:ascii="Calibri" w:cs="Calibri" w:eastAsia="Calibri" w:hAnsi="Calibri"/>
          <w:b/>
          <w:bCs/>
          <w:i w:val="false"/>
          <w:iCs w:val="false"/>
          <w:color w:val="0A0A0A"/>
          <w:sz w:val="72"/>
          <w:szCs w:val="72"/>
        </w:rPr>
        <w:t xml:space="preserve">nassimboukrouh</w:t>
      </w:r>
    </w:p>
    <w:p>
      <w:pPr>
        <w:spacing w:after="600"/>
        <w:jc w:val="left"/>
      </w:pPr>
      <w:r>
        <w:rPr>
          <w:rFonts w:ascii="Calibri" w:cs="Calibri" w:eastAsia="Calibri" w:hAnsi="Calibri"/>
          <w:b/>
          <w:bCs/>
          <w:i w:val="false"/>
          <w:iCs w:val="false"/>
          <w:color w:val="E85D29"/>
          <w:sz w:val="72"/>
          <w:szCs w:val="72"/>
        </w:rPr>
        <w:t xml:space="preserve">.com</w:t>
      </w:r>
    </w:p>
    <w:p>
      <w:pPr>
        <w:spacing w:after="80"/>
        <w:jc w:val="left"/>
      </w:pPr>
      <w:r>
        <w:rPr>
          <w:rFonts w:ascii="Calibri" w:cs="Calibri" w:eastAsia="Calibri" w:hAnsi="Calibri"/>
          <w:b w:val="false"/>
          <w:bCs w:val="false"/>
          <w:i w:val="false"/>
          <w:iCs w:val="false"/>
          <w:color w:val="1A1A1A"/>
          <w:sz w:val="22"/>
          <w:szCs w:val="22"/>
        </w:rPr>
        <w:t xml:space="preserve">Site one-page · Conversion UMDB</w:t>
      </w:r>
    </w:p>
    <w:p>
      <w:pPr>
        <w:spacing w:after="1200"/>
        <w:jc w:val="left"/>
      </w:pPr>
      <w:r>
        <w:rPr>
          <w:rFonts w:ascii="Calibri" w:cs="Calibri" w:eastAsia="Calibri" w:hAnsi="Calibri"/>
          <w:b w:val="false"/>
          <w:bCs w:val="false"/>
          <w:i/>
          <w:iCs/>
          <w:color w:val="555555"/>
          <w:sz w:val="20"/>
          <w:szCs w:val="20"/>
        </w:rPr>
        <w:t xml:space="preserve">Document de référence pour la production design et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0" w:color="auto" w:val="clear"/>
            <w:tcMar>
              <w:top w:type="dxa" w:w="120"/>
              <w:left w:type="dxa" w:w="160"/>
              <w:bottom w:type="dxa" w:w="120"/>
              <w:right w:type="dxa" w:w="160"/>
            </w:tcMar>
          </w:tcPr>
          <w:p>
            <w:pPr>
              <w:jc w:val="left"/>
            </w:pPr>
            <w:r>
              <w:rPr>
                <w:rFonts w:ascii="Calibri" w:cs="Calibri" w:eastAsia="Calibri" w:hAnsi="Calibri"/>
                <w:b/>
                <w:bCs/>
                <w:color w:val="1A1A1A"/>
                <w:sz w:val="20"/>
                <w:szCs w:val="20"/>
              </w:rPr>
              <w:t xml:space="preserve">Version</w:t>
            </w:r>
          </w:p>
        </w:tc>
        <w:tc>
          <w:tcPr>
            <w:tcW w:type="dxa" w:w="68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1.1 — Mai 2026</w:t>
            </w:r>
          </w:p>
        </w:tc>
      </w:tr>
      <w:tr>
        <w:tc>
          <w:tcPr>
            <w:tcW w:type="dxa" w:w="2200"/>
            <w:tcBorders>
              <w:top w:val="single" w:color="CCCCCC" w:sz="4"/>
              <w:left w:val="single" w:color="CCCCCC" w:sz="4"/>
              <w:bottom w:val="single" w:color="CCCCCC" w:sz="4"/>
              <w:right w:val="single" w:color="CCCCCC" w:sz="4"/>
            </w:tcBorders>
            <w:shd w:fill="F5F5F0" w:color="auto" w:val="clear"/>
            <w:tcMar>
              <w:top w:type="dxa" w:w="120"/>
              <w:left w:type="dxa" w:w="160"/>
              <w:bottom w:type="dxa" w:w="120"/>
              <w:right w:type="dxa" w:w="160"/>
            </w:tcMar>
          </w:tcPr>
          <w:p>
            <w:pPr>
              <w:jc w:val="left"/>
            </w:pPr>
            <w:r>
              <w:rPr>
                <w:rFonts w:ascii="Calibri" w:cs="Calibri" w:eastAsia="Calibri" w:hAnsi="Calibri"/>
                <w:b/>
                <w:bCs/>
                <w:color w:val="1A1A1A"/>
                <w:sz w:val="20"/>
                <w:szCs w:val="20"/>
              </w:rPr>
              <w:t xml:space="preserve">Client</w:t>
            </w:r>
          </w:p>
        </w:tc>
        <w:tc>
          <w:tcPr>
            <w:tcW w:type="dxa" w:w="68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Nassim Boukrouh</w:t>
            </w:r>
          </w:p>
        </w:tc>
      </w:tr>
      <w:tr>
        <w:tc>
          <w:tcPr>
            <w:tcW w:type="dxa" w:w="2200"/>
            <w:tcBorders>
              <w:top w:val="single" w:color="CCCCCC" w:sz="4"/>
              <w:left w:val="single" w:color="CCCCCC" w:sz="4"/>
              <w:bottom w:val="single" w:color="CCCCCC" w:sz="4"/>
              <w:right w:val="single" w:color="CCCCCC" w:sz="4"/>
            </w:tcBorders>
            <w:shd w:fill="F5F5F0" w:color="auto" w:val="clear"/>
            <w:tcMar>
              <w:top w:type="dxa" w:w="120"/>
              <w:left w:type="dxa" w:w="160"/>
              <w:bottom w:type="dxa" w:w="120"/>
              <w:right w:type="dxa" w:w="160"/>
            </w:tcMar>
          </w:tcPr>
          <w:p>
            <w:pPr>
              <w:jc w:val="left"/>
            </w:pPr>
            <w:r>
              <w:rPr>
                <w:rFonts w:ascii="Calibri" w:cs="Calibri" w:eastAsia="Calibri" w:hAnsi="Calibri"/>
                <w:b/>
                <w:bCs/>
                <w:color w:val="1A1A1A"/>
                <w:sz w:val="20"/>
                <w:szCs w:val="20"/>
              </w:rPr>
              <w:t xml:space="preserve">Format</w:t>
            </w:r>
          </w:p>
        </w:tc>
        <w:tc>
          <w:tcPr>
            <w:tcW w:type="dxa" w:w="68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One-page · Responsive · Mobile-first</w:t>
            </w:r>
          </w:p>
        </w:tc>
      </w:tr>
      <w:tr>
        <w:tc>
          <w:tcPr>
            <w:tcW w:type="dxa" w:w="2200"/>
            <w:tcBorders>
              <w:top w:val="single" w:color="CCCCCC" w:sz="4"/>
              <w:left w:val="single" w:color="CCCCCC" w:sz="4"/>
              <w:bottom w:val="single" w:color="CCCCCC" w:sz="4"/>
              <w:right w:val="single" w:color="CCCCCC" w:sz="4"/>
            </w:tcBorders>
            <w:shd w:fill="F5F5F0" w:color="auto" w:val="clear"/>
            <w:tcMar>
              <w:top w:type="dxa" w:w="120"/>
              <w:left w:type="dxa" w:w="160"/>
              <w:bottom w:type="dxa" w:w="120"/>
              <w:right w:type="dxa" w:w="160"/>
            </w:tcMar>
          </w:tcPr>
          <w:p>
            <w:pPr>
              <w:jc w:val="left"/>
            </w:pPr>
            <w:r>
              <w:rPr>
                <w:rFonts w:ascii="Calibri" w:cs="Calibri" w:eastAsia="Calibri" w:hAnsi="Calibri"/>
                <w:b/>
                <w:bCs/>
                <w:color w:val="1A1A1A"/>
                <w:sz w:val="20"/>
                <w:szCs w:val="20"/>
              </w:rPr>
              <w:t xml:space="preserve">Production</w:t>
            </w:r>
          </w:p>
        </w:tc>
        <w:tc>
          <w:tcPr>
            <w:tcW w:type="dxa" w:w="68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Maison Sigma — Direction éditoriale et stratégie</w:t>
            </w:r>
          </w:p>
        </w:tc>
      </w:tr>
      <w:tr>
        <w:tc>
          <w:tcPr>
            <w:tcW w:type="dxa" w:w="2200"/>
            <w:tcBorders>
              <w:top w:val="single" w:color="CCCCCC" w:sz="4"/>
              <w:left w:val="single" w:color="CCCCCC" w:sz="4"/>
              <w:bottom w:val="single" w:color="CCCCCC" w:sz="4"/>
              <w:right w:val="single" w:color="CCCCCC" w:sz="4"/>
            </w:tcBorders>
            <w:shd w:fill="F5F5F0" w:color="auto" w:val="clear"/>
            <w:tcMar>
              <w:top w:type="dxa" w:w="120"/>
              <w:left w:type="dxa" w:w="160"/>
              <w:bottom w:type="dxa" w:w="120"/>
              <w:right w:type="dxa" w:w="160"/>
            </w:tcMar>
          </w:tcPr>
          <w:p>
            <w:pPr>
              <w:jc w:val="left"/>
            </w:pPr>
            <w:r>
              <w:rPr>
                <w:rFonts w:ascii="Calibri" w:cs="Calibri" w:eastAsia="Calibri" w:hAnsi="Calibri"/>
                <w:b/>
                <w:bCs/>
                <w:color w:val="1A1A1A"/>
                <w:sz w:val="20"/>
                <w:szCs w:val="20"/>
              </w:rPr>
              <w:t xml:space="preserve">Statut</w:t>
            </w:r>
          </w:p>
        </w:tc>
        <w:tc>
          <w:tcPr>
            <w:tcW w:type="dxa" w:w="68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En attente d'arbitrage Nassim (tagline, photos, stack technique)</w:t>
            </w:r>
          </w:p>
        </w:tc>
      </w:tr>
    </w:tbl>
    <w:p>
      <w:r>
        <w:br w:type="page"/>
      </w:r>
    </w:p>
    <w:p>
      <w:pPr>
        <w:pStyle w:val="Heading1"/>
        <w:spacing w:after="200" w:before="360"/>
      </w:pPr>
      <w:r>
        <w:rPr>
          <w:rFonts w:ascii="Calibri" w:cs="Calibri" w:eastAsia="Calibri" w:hAnsi="Calibri"/>
          <w:b/>
          <w:bCs/>
          <w:color w:val="0A0A0A"/>
          <w:sz w:val="36"/>
          <w:szCs w:val="36"/>
        </w:rPr>
        <w:t xml:space="preserve">1. Contexte et rôle du site</w:t>
      </w:r>
    </w:p>
    <w:p>
      <w:pPr>
        <w:spacing w:after="120" w:line="320"/>
        <w:jc w:val="left"/>
      </w:pPr>
      <w:r>
        <w:rPr>
          <w:rFonts w:ascii="Calibri" w:cs="Calibri" w:eastAsia="Calibri" w:hAnsi="Calibri"/>
          <w:b w:val="false"/>
          <w:bCs w:val="false"/>
          <w:i w:val="false"/>
          <w:iCs w:val="false"/>
          <w:color w:val="1A1A1A"/>
          <w:sz w:val="22"/>
          <w:szCs w:val="22"/>
        </w:rPr>
        <w:t xml:space="preserve">Asset commercial principal de Nassim Boukrouh, cofondateur de l'UMDB (Union des Marchands de Biens). Le site capte les prospects qualifiés générés par l'écosystème de contenu (Instagram 150 reels par mois, LinkedIn 12 posts par mois, YouTube 3 vidéos par mois). Il convertit l'attention en candidature qualifiée à l'UMDB.</w:t>
      </w:r>
    </w:p>
    <w:p>
      <w:pPr>
        <w:pStyle w:val="Heading3"/>
        <w:spacing w:after="120" w:before="240"/>
      </w:pPr>
      <w:r>
        <w:rPr>
          <w:rFonts w:ascii="Calibri" w:cs="Calibri" w:eastAsia="Calibri" w:hAnsi="Calibri"/>
          <w:b/>
          <w:bCs/>
          <w:color w:val="0A0A0A"/>
          <w:sz w:val="24"/>
          <w:szCs w:val="24"/>
        </w:rPr>
        <w:t xml:space="preserve">Ce que le site n'est pas</w:t>
      </w:r>
    </w:p>
    <w:p>
      <w:pPr>
        <w:pStyle w:val="ListParagraph"/>
        <w:numPr>
          <w:ilvl w:val="0"/>
          <w:numId w:val="2"/>
        </w:numPr>
        <w:spacing w:after="80" w:line="300"/>
      </w:pPr>
      <w:r>
        <w:rPr>
          <w:rFonts w:ascii="Calibri" w:cs="Calibri" w:eastAsia="Calibri" w:hAnsi="Calibri"/>
          <w:color w:val="1A1A1A"/>
          <w:sz w:val="22"/>
          <w:szCs w:val="22"/>
        </w:rPr>
        <w:t xml:space="preserve">Une vitrine de notoriété personnelle (LinkedIn et Instagram jouent ce rôle).</w:t>
      </w:r>
    </w:p>
    <w:p>
      <w:pPr>
        <w:pStyle w:val="ListParagraph"/>
        <w:numPr>
          <w:ilvl w:val="0"/>
          <w:numId w:val="2"/>
        </w:numPr>
        <w:spacing w:after="80" w:line="300"/>
      </w:pPr>
      <w:r>
        <w:rPr>
          <w:rFonts w:ascii="Calibri" w:cs="Calibri" w:eastAsia="Calibri" w:hAnsi="Calibri"/>
          <w:color w:val="1A1A1A"/>
          <w:sz w:val="22"/>
          <w:szCs w:val="22"/>
        </w:rPr>
        <w:t xml:space="preserve">Un funnel agressif type VSL ou page de vente longue.</w:t>
      </w:r>
    </w:p>
    <w:p>
      <w:pPr>
        <w:pStyle w:val="ListParagraph"/>
        <w:numPr>
          <w:ilvl w:val="0"/>
          <w:numId w:val="2"/>
        </w:numPr>
        <w:spacing w:after="80" w:line="300"/>
      </w:pPr>
      <w:r>
        <w:rPr>
          <w:rFonts w:ascii="Calibri" w:cs="Calibri" w:eastAsia="Calibri" w:hAnsi="Calibri"/>
          <w:color w:val="1A1A1A"/>
          <w:sz w:val="22"/>
          <w:szCs w:val="22"/>
        </w:rPr>
        <w:t xml:space="preserve">Un site de société (umdb.fr remplit cette fonction).</w:t>
      </w:r>
    </w:p>
    <w:p>
      <w:pPr>
        <w:pStyle w:val="Heading3"/>
        <w:spacing w:after="120" w:before="240"/>
      </w:pPr>
      <w:r>
        <w:rPr>
          <w:rFonts w:ascii="Calibri" w:cs="Calibri" w:eastAsia="Calibri" w:hAnsi="Calibri"/>
          <w:b/>
          <w:bCs/>
          <w:color w:val="0A0A0A"/>
          <w:sz w:val="24"/>
          <w:szCs w:val="24"/>
        </w:rPr>
        <w:t xml:space="preserve">Ce que le site est</w:t>
      </w:r>
    </w:p>
    <w:p>
      <w:pPr>
        <w:pStyle w:val="ListParagraph"/>
        <w:numPr>
          <w:ilvl w:val="0"/>
          <w:numId w:val="2"/>
        </w:numPr>
        <w:spacing w:after="80" w:line="300"/>
      </w:pPr>
      <w:r>
        <w:rPr>
          <w:rFonts w:ascii="Calibri" w:cs="Calibri" w:eastAsia="Calibri" w:hAnsi="Calibri"/>
          <w:color w:val="1A1A1A"/>
          <w:sz w:val="22"/>
          <w:szCs w:val="22"/>
        </w:rPr>
        <w:t xml:space="preserve">Une page de qualification des candidats à l'UMDB.</w:t>
      </w:r>
    </w:p>
    <w:p>
      <w:pPr>
        <w:pStyle w:val="ListParagraph"/>
        <w:numPr>
          <w:ilvl w:val="0"/>
          <w:numId w:val="2"/>
        </w:numPr>
        <w:spacing w:after="80" w:line="300"/>
      </w:pPr>
      <w:r>
        <w:rPr>
          <w:rFonts w:ascii="Calibri" w:cs="Calibri" w:eastAsia="Calibri" w:hAnsi="Calibri"/>
          <w:color w:val="1A1A1A"/>
          <w:sz w:val="22"/>
          <w:szCs w:val="22"/>
        </w:rPr>
        <w:t xml:space="preserve">Un point d'ancrage de crédibilité pour la presse et les partenaires.</w:t>
      </w:r>
    </w:p>
    <w:p>
      <w:pPr>
        <w:pStyle w:val="ListParagraph"/>
        <w:numPr>
          <w:ilvl w:val="0"/>
          <w:numId w:val="2"/>
        </w:numPr>
        <w:spacing w:after="80" w:line="300"/>
      </w:pPr>
      <w:r>
        <w:rPr>
          <w:rFonts w:ascii="Calibri" w:cs="Calibri" w:eastAsia="Calibri" w:hAnsi="Calibri"/>
          <w:color w:val="1A1A1A"/>
          <w:sz w:val="22"/>
          <w:szCs w:val="22"/>
        </w:rPr>
        <w:t xml:space="preserve">La porte d'entrée principale du tunnel de vente UMDB.</w:t>
      </w:r>
    </w:p>
    <w:p>
      <w:r>
        <w:br w:type="page"/>
      </w:r>
    </w:p>
    <w:p>
      <w:pPr>
        <w:pStyle w:val="Heading1"/>
        <w:spacing w:after="200" w:before="360"/>
      </w:pPr>
      <w:r>
        <w:rPr>
          <w:rFonts w:ascii="Calibri" w:cs="Calibri" w:eastAsia="Calibri" w:hAnsi="Calibri"/>
          <w:b/>
          <w:bCs/>
          <w:color w:val="0A0A0A"/>
          <w:sz w:val="36"/>
          <w:szCs w:val="36"/>
        </w:rPr>
        <w:t xml:space="preserve">2. Audience</w:t>
      </w:r>
    </w:p>
    <w:p>
      <w:pPr>
        <w:pStyle w:val="Heading3"/>
        <w:spacing w:after="120" w:before="240"/>
      </w:pPr>
      <w:r>
        <w:rPr>
          <w:rFonts w:ascii="Calibri" w:cs="Calibri" w:eastAsia="Calibri" w:hAnsi="Calibri"/>
          <w:b/>
          <w:bCs/>
          <w:color w:val="0A0A0A"/>
          <w:sz w:val="24"/>
          <w:szCs w:val="24"/>
        </w:rPr>
        <w:t xml:space="preserve">Audience primaire — 80% du trafic visé</w:t>
      </w:r>
    </w:p>
    <w:p>
      <w:pPr>
        <w:spacing w:after="120" w:line="320"/>
        <w:jc w:val="left"/>
      </w:pPr>
      <w:r>
        <w:rPr>
          <w:rFonts w:ascii="Calibri" w:cs="Calibri" w:eastAsia="Calibri" w:hAnsi="Calibri"/>
          <w:b w:val="false"/>
          <w:bCs w:val="false"/>
          <w:i w:val="false"/>
          <w:iCs w:val="false"/>
          <w:color w:val="1A1A1A"/>
          <w:sz w:val="22"/>
          <w:szCs w:val="22"/>
        </w:rPr>
        <w:t xml:space="preserve">Prospects UMDB.</w:t>
      </w:r>
    </w:p>
    <w:p>
      <w:pPr>
        <w:pStyle w:val="ListParagraph"/>
        <w:numPr>
          <w:ilvl w:val="0"/>
          <w:numId w:val="2"/>
        </w:numPr>
        <w:spacing w:after="80" w:line="300"/>
      </w:pPr>
      <w:r>
        <w:rPr>
          <w:rFonts w:ascii="Calibri" w:cs="Calibri" w:eastAsia="Calibri" w:hAnsi="Calibri"/>
          <w:color w:val="1A1A1A"/>
          <w:sz w:val="22"/>
          <w:szCs w:val="22"/>
        </w:rPr>
        <w:t xml:space="preserve">Investisseurs locatifs qui veulent passer à l'achat-revente.</w:t>
      </w:r>
    </w:p>
    <w:p>
      <w:pPr>
        <w:pStyle w:val="ListParagraph"/>
        <w:numPr>
          <w:ilvl w:val="0"/>
          <w:numId w:val="2"/>
        </w:numPr>
        <w:spacing w:after="80" w:line="300"/>
      </w:pPr>
      <w:r>
        <w:rPr>
          <w:rFonts w:ascii="Calibri" w:cs="Calibri" w:eastAsia="Calibri" w:hAnsi="Calibri"/>
          <w:color w:val="1A1A1A"/>
          <w:sz w:val="22"/>
          <w:szCs w:val="22"/>
        </w:rPr>
        <w:t xml:space="preserve">Marchands de biens débutants ou intermédiaires bloqués sur le scale.</w:t>
      </w:r>
    </w:p>
    <w:p>
      <w:pPr>
        <w:pStyle w:val="ListParagraph"/>
        <w:numPr>
          <w:ilvl w:val="0"/>
          <w:numId w:val="2"/>
        </w:numPr>
        <w:spacing w:after="80" w:line="300"/>
      </w:pPr>
      <w:r>
        <w:rPr>
          <w:rFonts w:ascii="Calibri" w:cs="Calibri" w:eastAsia="Calibri" w:hAnsi="Calibri"/>
          <w:color w:val="1A1A1A"/>
          <w:sz w:val="22"/>
          <w:szCs w:val="22"/>
        </w:rPr>
        <w:t xml:space="preserve">Entrepreneurs avec cash dormant qui cherchent un rendement actif.</w:t>
      </w:r>
    </w:p>
    <w:p>
      <w:pPr>
        <w:pStyle w:val="ListParagraph"/>
        <w:numPr>
          <w:ilvl w:val="0"/>
          <w:numId w:val="2"/>
        </w:numPr>
        <w:spacing w:after="80" w:line="300"/>
      </w:pPr>
      <w:r>
        <w:rPr>
          <w:rFonts w:ascii="Calibri" w:cs="Calibri" w:eastAsia="Calibri" w:hAnsi="Calibri"/>
          <w:color w:val="1A1A1A"/>
          <w:sz w:val="22"/>
          <w:szCs w:val="22"/>
        </w:rPr>
        <w:t xml:space="preserve">Profils «cash mais pas de temps» (offre 1) ou «temps mais peu de cash» (offre 2).</w:t>
      </w:r>
    </w:p>
    <w:p>
      <w:pPr>
        <w:pStyle w:val="Heading3"/>
        <w:spacing w:after="120" w:before="240"/>
      </w:pPr>
      <w:r>
        <w:rPr>
          <w:rFonts w:ascii="Calibri" w:cs="Calibri" w:eastAsia="Calibri" w:hAnsi="Calibri"/>
          <w:b/>
          <w:bCs/>
          <w:color w:val="0A0A0A"/>
          <w:sz w:val="24"/>
          <w:szCs w:val="24"/>
        </w:rPr>
        <w:t xml:space="preserve">Audience secondaire — 15%</w:t>
      </w:r>
    </w:p>
    <w:p>
      <w:pPr>
        <w:spacing w:after="120" w:line="320"/>
        <w:jc w:val="left"/>
      </w:pPr>
      <w:r>
        <w:rPr>
          <w:rFonts w:ascii="Calibri" w:cs="Calibri" w:eastAsia="Calibri" w:hAnsi="Calibri"/>
          <w:b w:val="false"/>
          <w:bCs w:val="false"/>
          <w:i w:val="false"/>
          <w:iCs w:val="false"/>
          <w:color w:val="1A1A1A"/>
          <w:sz w:val="22"/>
          <w:szCs w:val="22"/>
        </w:rPr>
        <w:t xml:space="preserve">Presse économique, journalistes, partenaires institutionnels, vendeurs off-market.</w:t>
      </w:r>
    </w:p>
    <w:p>
      <w:pPr>
        <w:pStyle w:val="Heading3"/>
        <w:spacing w:after="120" w:before="240"/>
      </w:pPr>
      <w:r>
        <w:rPr>
          <w:rFonts w:ascii="Calibri" w:cs="Calibri" w:eastAsia="Calibri" w:hAnsi="Calibri"/>
          <w:b/>
          <w:bCs/>
          <w:color w:val="0A0A0A"/>
          <w:sz w:val="24"/>
          <w:szCs w:val="24"/>
        </w:rPr>
        <w:t xml:space="preserve">Audience tertiaire — 5%</w:t>
      </w:r>
    </w:p>
    <w:p>
      <w:pPr>
        <w:spacing w:after="120" w:line="320"/>
        <w:jc w:val="left"/>
      </w:pPr>
      <w:r>
        <w:rPr>
          <w:rFonts w:ascii="Calibri" w:cs="Calibri" w:eastAsia="Calibri" w:hAnsi="Calibri"/>
          <w:b w:val="false"/>
          <w:bCs w:val="false"/>
          <w:i w:val="false"/>
          <w:iCs w:val="false"/>
          <w:color w:val="1A1A1A"/>
          <w:sz w:val="22"/>
          <w:szCs w:val="22"/>
        </w:rPr>
        <w:t xml:space="preserve">Curieux issus du contenu social, sans intention immédiate.</w:t>
      </w:r>
    </w:p>
    <w:p>
      <w:pPr>
        <w:pStyle w:val="Heading3"/>
        <w:spacing w:after="120" w:before="240"/>
      </w:pPr>
      <w:r>
        <w:rPr>
          <w:rFonts w:ascii="Calibri" w:cs="Calibri" w:eastAsia="Calibri" w:hAnsi="Calibri"/>
          <w:b/>
          <w:bCs/>
          <w:color w:val="0A0A0A"/>
          <w:sz w:val="24"/>
          <w:szCs w:val="24"/>
        </w:rPr>
        <w:t xml:space="preserve">Exclusions assumées dans le copy</w:t>
      </w:r>
    </w:p>
    <w:p>
      <w:pPr>
        <w:spacing w:after="120" w:line="320"/>
        <w:jc w:val="left"/>
      </w:pPr>
      <w:r>
        <w:rPr>
          <w:rFonts w:ascii="Calibri" w:cs="Calibri" w:eastAsia="Calibri" w:hAnsi="Calibri"/>
          <w:b w:val="false"/>
          <w:bCs w:val="false"/>
          <w:i w:val="false"/>
          <w:iCs w:val="false"/>
          <w:color w:val="1A1A1A"/>
          <w:sz w:val="22"/>
          <w:szCs w:val="22"/>
        </w:rPr>
        <w:t xml:space="preserve">Profils passifs. Chercheurs de rendement garanti. Allergiques au terrain. Le site filtre dès la lecture, pas seulement via le formulaire.</w:t>
      </w:r>
    </w:p>
    <w:p>
      <w:r>
        <w:br w:type="page"/>
      </w:r>
    </w:p>
    <w:p>
      <w:pPr>
        <w:pStyle w:val="Heading1"/>
        <w:spacing w:after="200" w:before="360"/>
      </w:pPr>
      <w:r>
        <w:rPr>
          <w:rFonts w:ascii="Calibri" w:cs="Calibri" w:eastAsia="Calibri" w:hAnsi="Calibri"/>
          <w:b/>
          <w:bCs/>
          <w:color w:val="0A0A0A"/>
          <w:sz w:val="36"/>
          <w:szCs w:val="36"/>
        </w:rPr>
        <w:t xml:space="preserve">3. Promesse et positionnement</w:t>
      </w:r>
    </w:p>
    <w:p>
      <w:pPr>
        <w:pStyle w:val="Heading3"/>
        <w:spacing w:after="120" w:before="240"/>
      </w:pPr>
      <w:r>
        <w:rPr>
          <w:rFonts w:ascii="Calibri" w:cs="Calibri" w:eastAsia="Calibri" w:hAnsi="Calibri"/>
          <w:b/>
          <w:bCs/>
          <w:color w:val="0A0A0A"/>
          <w:sz w:val="24"/>
          <w:szCs w:val="24"/>
        </w:rPr>
        <w:t xml:space="preserve">Promesse centrale</w:t>
      </w:r>
    </w:p>
    <w:p>
      <w:pPr>
        <w:pBdr>
          <w:left w:val="single" w:color="E85D29" w:sz="12" w:space="12"/>
        </w:pBdr>
        <w:spacing w:after="160" w:before="160" w:line="340"/>
        <w:ind w:left="360"/>
        <w:jc w:val="left"/>
      </w:pPr>
      <w:r>
        <w:rPr>
          <w:rFonts w:ascii="Calibri" w:cs="Calibri" w:eastAsia="Calibri" w:hAnsi="Calibri"/>
          <w:i/>
          <w:iCs/>
          <w:color w:val="1A1A1A"/>
          <w:sz w:val="24"/>
          <w:szCs w:val="24"/>
        </w:rPr>
        <w:t xml:space="preserve">Je vous accompagne à devenir marchand de biens. Avec une méthode, un réseau et un club deal en equity.</w:t>
      </w:r>
    </w:p>
    <w:p>
      <w:pPr>
        <w:pStyle w:val="Heading3"/>
        <w:spacing w:after="120" w:before="240"/>
      </w:pPr>
      <w:r>
        <w:rPr>
          <w:rFonts w:ascii="Calibri" w:cs="Calibri" w:eastAsia="Calibri" w:hAnsi="Calibri"/>
          <w:b/>
          <w:bCs/>
          <w:color w:val="0A0A0A"/>
          <w:sz w:val="24"/>
          <w:szCs w:val="24"/>
        </w:rPr>
        <w:t xml:space="preserve">Différenciation factuelle</w:t>
      </w:r>
    </w:p>
    <w:p>
      <w:pPr>
        <w:spacing w:after="120" w:line="320"/>
        <w:jc w:val="left"/>
      </w:pPr>
      <w:r>
        <w:rPr>
          <w:rFonts w:ascii="Calibri" w:cs="Calibri" w:eastAsia="Calibri" w:hAnsi="Calibri"/>
          <w:b w:val="false"/>
          <w:bCs w:val="false"/>
          <w:i w:val="false"/>
          <w:iCs w:val="false"/>
          <w:color w:val="1A1A1A"/>
          <w:sz w:val="22"/>
          <w:szCs w:val="22"/>
        </w:rPr>
        <w:t xml:space="preserve">Toute la différenciation passe par la specificity, jamais par opposition aux concurrents (Caroline Arthaud, Cercle MDB, Yoni le MDB, FMDB). On ne critique aucune autre offre. On affirme ce que l'on fait.</w:t>
      </w:r>
    </w:p>
    <w:p>
      <w:pPr>
        <w:spacing w:after="80"/>
      </w:pPr>
      <w:r>
        <w:t xml:space="preserve"/>
      </w:r>
    </w:p>
    <w:p>
      <w:pPr>
        <w:pStyle w:val="ListParagraph"/>
        <w:numPr>
          <w:ilvl w:val="0"/>
          <w:numId w:val="2"/>
        </w:numPr>
        <w:spacing w:after="80" w:line="300"/>
      </w:pPr>
      <w:r>
        <w:rPr>
          <w:rFonts w:ascii="Calibri" w:cs="Calibri" w:eastAsia="Calibri" w:hAnsi="Calibri"/>
          <w:color w:val="1A1A1A"/>
          <w:sz w:val="22"/>
          <w:szCs w:val="22"/>
        </w:rPr>
        <w:t xml:space="preserve">La méthode est appliquée sur des opérations en cours, pas sur des cas d'école.</w:t>
      </w:r>
    </w:p>
    <w:p>
      <w:pPr>
        <w:pStyle w:val="ListParagraph"/>
        <w:numPr>
          <w:ilvl w:val="0"/>
          <w:numId w:val="2"/>
        </w:numPr>
        <w:spacing w:after="80" w:line="300"/>
      </w:pPr>
      <w:r>
        <w:rPr>
          <w:rFonts w:ascii="Calibri" w:cs="Calibri" w:eastAsia="Calibri" w:hAnsi="Calibri"/>
          <w:color w:val="1A1A1A"/>
          <w:sz w:val="22"/>
          <w:szCs w:val="22"/>
        </w:rPr>
        <w:t xml:space="preserve">Le réseau est actif et sourcing chaque semaine, pas un annuaire.</w:t>
      </w:r>
    </w:p>
    <w:p>
      <w:pPr>
        <w:pStyle w:val="ListParagraph"/>
        <w:numPr>
          <w:ilvl w:val="0"/>
          <w:numId w:val="2"/>
        </w:numPr>
        <w:spacing w:after="80" w:line="300"/>
      </w:pPr>
      <w:r>
        <w:rPr>
          <w:rFonts w:ascii="Calibri" w:cs="Calibri" w:eastAsia="Calibri" w:hAnsi="Calibri"/>
          <w:color w:val="1A1A1A"/>
          <w:sz w:val="22"/>
          <w:szCs w:val="22"/>
        </w:rPr>
        <w:t xml:space="preserve">Le club deal co-investit en equity, sans banque ni dossier de financement.</w:t>
      </w:r>
    </w:p>
    <w:p>
      <w:pPr>
        <w:pStyle w:val="ListParagraph"/>
        <w:numPr>
          <w:ilvl w:val="0"/>
          <w:numId w:val="2"/>
        </w:numPr>
        <w:spacing w:after="80" w:line="300"/>
      </w:pPr>
      <w:r>
        <w:rPr>
          <w:rFonts w:ascii="Calibri" w:cs="Calibri" w:eastAsia="Calibri" w:hAnsi="Calibri"/>
          <w:color w:val="1A1A1A"/>
          <w:sz w:val="22"/>
          <w:szCs w:val="22"/>
        </w:rPr>
        <w:t xml:space="preserve">Le fondateur opère encore tous les jours, pas un ancien marchand devenu formateur.</w:t>
      </w:r>
    </w:p>
    <w:p>
      <w:pPr>
        <w:pStyle w:val="Heading3"/>
        <w:spacing w:after="120" w:before="240"/>
      </w:pPr>
      <w:r>
        <w:rPr>
          <w:rFonts w:ascii="Calibri" w:cs="Calibri" w:eastAsia="Calibri" w:hAnsi="Calibri"/>
          <w:b/>
          <w:bCs/>
          <w:color w:val="0A0A0A"/>
          <w:sz w:val="24"/>
          <w:szCs w:val="24"/>
        </w:rPr>
        <w:t xml:space="preserve">Tagline candidates</w:t>
      </w:r>
    </w:p>
    <w:p>
      <w:pPr>
        <w:spacing w:after="120" w:line="320"/>
        <w:jc w:val="left"/>
      </w:pPr>
      <w:r>
        <w:rPr>
          <w:rFonts w:ascii="Calibri" w:cs="Calibri" w:eastAsia="Calibri" w:hAnsi="Calibri"/>
          <w:b w:val="false"/>
          <w:bCs w:val="false"/>
          <w:i w:val="false"/>
          <w:iCs w:val="false"/>
          <w:color w:val="1A1A1A"/>
          <w:sz w:val="22"/>
          <w:szCs w:val="22"/>
        </w:rPr>
        <w:t xml:space="preserve">Trois options. À arbitrer par Nassim avant production.</w:t>
      </w:r>
    </w:p>
    <w:p>
      <w:pPr>
        <w:spacing w:after="80"/>
      </w:pPr>
      <w:r>
        <w:t xml:space="preserve"/>
      </w:r>
    </w:p>
    <w:p>
      <w:pPr>
        <w:spacing w:after="120" w:line="320"/>
        <w:jc w:val="left"/>
      </w:pPr>
      <w:r>
        <w:rPr>
          <w:rFonts w:ascii="Calibri" w:cs="Calibri" w:eastAsia="Calibri" w:hAnsi="Calibri"/>
          <w:b/>
          <w:bCs/>
          <w:i w:val="false"/>
          <w:iCs w:val="false"/>
          <w:color w:val="E85D29"/>
          <w:sz w:val="22"/>
          <w:szCs w:val="22"/>
        </w:rPr>
        <w:t xml:space="preserve">01. </w:t>
      </w:r>
      <w:r>
        <w:rPr>
          <w:rFonts w:ascii="Calibri" w:cs="Calibri" w:eastAsia="Calibri" w:hAnsi="Calibri"/>
          <w:b/>
          <w:bCs/>
          <w:i w:val="false"/>
          <w:iCs w:val="false"/>
          <w:color w:val="1A1A1A"/>
          <w:sz w:val="22"/>
          <w:szCs w:val="22"/>
        </w:rPr>
        <w:t xml:space="preserve">Marchand de biens, ensemble.</w:t>
      </w:r>
    </w:p>
    <w:p>
      <w:pPr>
        <w:spacing w:after="120" w:line="320"/>
        <w:jc w:val="left"/>
      </w:pPr>
      <w:r>
        <w:rPr>
          <w:rFonts w:ascii="Calibri" w:cs="Calibri" w:eastAsia="Calibri" w:hAnsi="Calibri"/>
          <w:b/>
          <w:bCs/>
          <w:i w:val="false"/>
          <w:iCs w:val="false"/>
          <w:color w:val="E85D29"/>
          <w:sz w:val="22"/>
          <w:szCs w:val="22"/>
        </w:rPr>
        <w:t xml:space="preserve">02. </w:t>
      </w:r>
      <w:r>
        <w:rPr>
          <w:rFonts w:ascii="Calibri" w:cs="Calibri" w:eastAsia="Calibri" w:hAnsi="Calibri"/>
          <w:b/>
          <w:bCs/>
          <w:i w:val="false"/>
          <w:iCs w:val="false"/>
          <w:color w:val="1A1A1A"/>
          <w:sz w:val="22"/>
          <w:szCs w:val="22"/>
        </w:rPr>
        <w:t xml:space="preserve">Apprendre. Sourcer. Co-investir.</w:t>
      </w:r>
    </w:p>
    <w:p>
      <w:pPr>
        <w:spacing w:after="120" w:line="320"/>
        <w:jc w:val="left"/>
      </w:pPr>
      <w:r>
        <w:rPr>
          <w:rFonts w:ascii="Calibri" w:cs="Calibri" w:eastAsia="Calibri" w:hAnsi="Calibri"/>
          <w:b/>
          <w:bCs/>
          <w:i w:val="false"/>
          <w:iCs w:val="false"/>
          <w:color w:val="E85D29"/>
          <w:sz w:val="22"/>
          <w:szCs w:val="22"/>
        </w:rPr>
        <w:t xml:space="preserve">03. </w:t>
      </w:r>
      <w:r>
        <w:rPr>
          <w:rFonts w:ascii="Calibri" w:cs="Calibri" w:eastAsia="Calibri" w:hAnsi="Calibri"/>
          <w:b/>
          <w:bCs/>
          <w:i w:val="false"/>
          <w:iCs w:val="false"/>
          <w:color w:val="1A1A1A"/>
          <w:sz w:val="22"/>
          <w:szCs w:val="22"/>
        </w:rPr>
        <w:t xml:space="preserve">Le réseau qui opère avec ses membres.</w:t>
      </w:r>
    </w:p>
    <w:p>
      <w:pPr>
        <w:spacing w:after="120"/>
      </w:pPr>
      <w:r>
        <w:t xml:space="preserve"/>
      </w:r>
    </w:p>
    <w:p>
      <w:pPr>
        <w:spacing w:after="120" w:line="320"/>
        <w:jc w:val="left"/>
      </w:pPr>
      <w:r>
        <w:rPr>
          <w:rFonts w:ascii="Calibri" w:cs="Calibri" w:eastAsia="Calibri" w:hAnsi="Calibri"/>
          <w:b w:val="false"/>
          <w:bCs w:val="false"/>
          <w:i/>
          <w:iCs/>
          <w:color w:val="555555"/>
          <w:sz w:val="22"/>
          <w:szCs w:val="22"/>
        </w:rPr>
        <w:t xml:space="preserve">Recommandation : option 02. </w:t>
      </w:r>
      <w:r>
        <w:rPr>
          <w:rFonts w:ascii="Calibri" w:cs="Calibri" w:eastAsia="Calibri" w:hAnsi="Calibri"/>
          <w:b w:val="false"/>
          <w:bCs w:val="false"/>
          <w:i/>
          <w:iCs/>
          <w:color w:val="555555"/>
          <w:sz w:val="22"/>
          <w:szCs w:val="22"/>
        </w:rPr>
        <w:t xml:space="preserve">Triade rythmique, verbes d'action, factuelle, mémorable.</w:t>
      </w:r>
    </w:p>
    <w:p>
      <w:r>
        <w:br w:type="page"/>
      </w:r>
    </w:p>
    <w:p>
      <w:pPr>
        <w:pStyle w:val="Heading1"/>
        <w:spacing w:after="200" w:before="360"/>
      </w:pPr>
      <w:r>
        <w:rPr>
          <w:rFonts w:ascii="Calibri" w:cs="Calibri" w:eastAsia="Calibri" w:hAnsi="Calibri"/>
          <w:b/>
          <w:bCs/>
          <w:color w:val="0A0A0A"/>
          <w:sz w:val="36"/>
          <w:szCs w:val="36"/>
        </w:rPr>
        <w:t xml:space="preserve">4. Architecture de la page</w:t>
      </w:r>
    </w:p>
    <w:p>
      <w:pPr>
        <w:spacing w:after="120" w:line="320"/>
        <w:jc w:val="left"/>
      </w:pPr>
      <w:r>
        <w:rPr>
          <w:rFonts w:ascii="Calibri" w:cs="Calibri" w:eastAsia="Calibri" w:hAnsi="Calibri"/>
          <w:b w:val="false"/>
          <w:bCs w:val="false"/>
          <w:i w:val="false"/>
          <w:iCs w:val="false"/>
          <w:color w:val="1A1A1A"/>
          <w:sz w:val="22"/>
          <w:szCs w:val="22"/>
        </w:rPr>
        <w:t xml:space="preserve">One-page, 7 sections, scroll naturel.</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626"/>
        <w:gridCol w:w="1400"/>
      </w:tblGrid>
      <w:tr>
        <w:trPr>
          <w:tblHeader/>
        </w:trPr>
        <w:tc>
          <w:tcPr>
            <w:tcW w:type="dxa" w:w="600"/>
            <w:tcBorders>
              <w:top w:val="single" w:color="CCCCCC" w:sz="4"/>
              <w:left w:val="single" w:color="CCCCCC" w:sz="4"/>
              <w:bottom w:val="single" w:color="CCCCCC" w:sz="4"/>
              <w:right w:val="single" w:color="CCCCCC" w:sz="4"/>
            </w:tcBorders>
            <w:shd w:fill="0A0A0A" w:color="auto" w:val="clear"/>
            <w:tcMar>
              <w:top w:type="dxa" w:w="120"/>
              <w:left w:type="dxa" w:w="160"/>
              <w:bottom w:type="dxa" w:w="120"/>
              <w:right w:type="dxa" w:w="160"/>
            </w:tcMar>
          </w:tcPr>
          <w:p>
            <w:pPr>
              <w:jc w:val="center"/>
            </w:pPr>
            <w:r>
              <w:rPr>
                <w:rFonts w:ascii="Calibri" w:cs="Calibri" w:eastAsia="Calibri" w:hAnsi="Calibri"/>
                <w:b/>
                <w:bCs/>
                <w:color w:val="F5F5F0"/>
                <w:sz w:val="20"/>
                <w:szCs w:val="20"/>
              </w:rPr>
              <w:t xml:space="preserve">#</w:t>
            </w:r>
          </w:p>
        </w:tc>
        <w:tc>
          <w:tcPr>
            <w:tcW w:type="dxa" w:w="2400"/>
            <w:tcBorders>
              <w:top w:val="single" w:color="CCCCCC" w:sz="4"/>
              <w:left w:val="single" w:color="CCCCCC" w:sz="4"/>
              <w:bottom w:val="single" w:color="CCCCCC" w:sz="4"/>
              <w:right w:val="single" w:color="CCCCCC" w:sz="4"/>
            </w:tcBorders>
            <w:shd w:fill="0A0A0A" w:color="auto" w:val="clear"/>
            <w:tcMar>
              <w:top w:type="dxa" w:w="120"/>
              <w:left w:type="dxa" w:w="160"/>
              <w:bottom w:type="dxa" w:w="120"/>
              <w:right w:type="dxa" w:w="160"/>
            </w:tcMar>
          </w:tcPr>
          <w:p>
            <w:pPr>
              <w:jc w:val="left"/>
            </w:pPr>
            <w:r>
              <w:rPr>
                <w:rFonts w:ascii="Calibri" w:cs="Calibri" w:eastAsia="Calibri" w:hAnsi="Calibri"/>
                <w:b/>
                <w:bCs/>
                <w:color w:val="F5F5F0"/>
                <w:sz w:val="20"/>
                <w:szCs w:val="20"/>
              </w:rPr>
              <w:t xml:space="preserve">Section</w:t>
            </w:r>
          </w:p>
        </w:tc>
        <w:tc>
          <w:tcPr>
            <w:tcW w:type="dxa" w:w="4626"/>
            <w:tcBorders>
              <w:top w:val="single" w:color="CCCCCC" w:sz="4"/>
              <w:left w:val="single" w:color="CCCCCC" w:sz="4"/>
              <w:bottom w:val="single" w:color="CCCCCC" w:sz="4"/>
              <w:right w:val="single" w:color="CCCCCC" w:sz="4"/>
            </w:tcBorders>
            <w:shd w:fill="0A0A0A" w:color="auto" w:val="clear"/>
            <w:tcMar>
              <w:top w:type="dxa" w:w="120"/>
              <w:left w:type="dxa" w:w="160"/>
              <w:bottom w:type="dxa" w:w="120"/>
              <w:right w:type="dxa" w:w="160"/>
            </w:tcMar>
          </w:tcPr>
          <w:p>
            <w:pPr>
              <w:jc w:val="left"/>
            </w:pPr>
            <w:r>
              <w:rPr>
                <w:rFonts w:ascii="Calibri" w:cs="Calibri" w:eastAsia="Calibri" w:hAnsi="Calibri"/>
                <w:b/>
                <w:bCs/>
                <w:color w:val="F5F5F0"/>
                <w:sz w:val="20"/>
                <w:szCs w:val="20"/>
              </w:rPr>
              <w:t xml:space="preserve">Fonction</w:t>
            </w:r>
          </w:p>
        </w:tc>
        <w:tc>
          <w:tcPr>
            <w:tcW w:type="dxa" w:w="1400"/>
            <w:tcBorders>
              <w:top w:val="single" w:color="CCCCCC" w:sz="4"/>
              <w:left w:val="single" w:color="CCCCCC" w:sz="4"/>
              <w:bottom w:val="single" w:color="CCCCCC" w:sz="4"/>
              <w:right w:val="single" w:color="CCCCCC" w:sz="4"/>
            </w:tcBorders>
            <w:shd w:fill="0A0A0A" w:color="auto" w:val="clear"/>
            <w:tcMar>
              <w:top w:type="dxa" w:w="120"/>
              <w:left w:type="dxa" w:w="160"/>
              <w:bottom w:type="dxa" w:w="120"/>
              <w:right w:type="dxa" w:w="160"/>
            </w:tcMar>
          </w:tcPr>
          <w:p>
            <w:pPr>
              <w:jc w:val="center"/>
            </w:pPr>
            <w:r>
              <w:rPr>
                <w:rFonts w:ascii="Calibri" w:cs="Calibri" w:eastAsia="Calibri" w:hAnsi="Calibri"/>
                <w:b/>
                <w:bCs/>
                <w:color w:val="F5F5F0"/>
                <w:sz w:val="20"/>
                <w:szCs w:val="20"/>
              </w:rPr>
              <w:t xml:space="preserve">Hauteur</w:t>
            </w:r>
          </w:p>
        </w:tc>
      </w:tr>
      <w:tr>
        <w:tc>
          <w:tcPr>
            <w:tcW w:type="dxa" w:w="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val="false"/>
                <w:bCs w:val="false"/>
                <w:color w:val="1A1A1A"/>
                <w:sz w:val="20"/>
                <w:szCs w:val="20"/>
              </w:rPr>
              <w:t xml:space="preserve">1</w:t>
            </w:r>
          </w:p>
        </w:tc>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0"/>
                <w:szCs w:val="20"/>
              </w:rPr>
              <w:t xml:space="preserve">Hero</w:t>
            </w:r>
          </w:p>
        </w:tc>
        <w:tc>
          <w:tcPr>
            <w:tcW w:type="dxa" w:w="46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Promesse centrale + CTA principal</w:t>
            </w:r>
          </w:p>
        </w:tc>
        <w:tc>
          <w:tcPr>
            <w:tcW w:type="dxa" w:w="14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Consolas" w:cs="Consolas" w:eastAsia="Consolas" w:hAnsi="Consolas"/>
                <w:color w:val="1A1A1A"/>
                <w:sz w:val="20"/>
                <w:szCs w:val="20"/>
              </w:rPr>
              <w:t xml:space="preserve">100vh</w:t>
            </w:r>
          </w:p>
        </w:tc>
      </w:tr>
      <w:tr>
        <w:tc>
          <w:tcPr>
            <w:tcW w:type="dxa" w:w="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val="false"/>
                <w:bCs w:val="false"/>
                <w:color w:val="1A1A1A"/>
                <w:sz w:val="20"/>
                <w:szCs w:val="20"/>
              </w:rPr>
              <w:t xml:space="preserve">2</w:t>
            </w:r>
          </w:p>
        </w:tc>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0"/>
                <w:szCs w:val="20"/>
              </w:rPr>
              <w:t xml:space="preserve">Le constat</w:t>
            </w:r>
          </w:p>
        </w:tc>
        <w:tc>
          <w:tcPr>
            <w:tcW w:type="dxa" w:w="46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Établir le besoin sans pitch</w:t>
            </w:r>
          </w:p>
        </w:tc>
        <w:tc>
          <w:tcPr>
            <w:tcW w:type="dxa" w:w="14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Consolas" w:cs="Consolas" w:eastAsia="Consolas" w:hAnsi="Consolas"/>
                <w:color w:val="1A1A1A"/>
                <w:sz w:val="20"/>
                <w:szCs w:val="20"/>
              </w:rPr>
              <w:t xml:space="preserve">~80vh</w:t>
            </w:r>
          </w:p>
        </w:tc>
      </w:tr>
      <w:tr>
        <w:tc>
          <w:tcPr>
            <w:tcW w:type="dxa" w:w="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val="false"/>
                <w:bCs w:val="false"/>
                <w:color w:val="1A1A1A"/>
                <w:sz w:val="20"/>
                <w:szCs w:val="20"/>
              </w:rPr>
              <w:t xml:space="preserve">3</w:t>
            </w:r>
          </w:p>
        </w:tc>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0"/>
                <w:szCs w:val="20"/>
              </w:rPr>
              <w:t xml:space="preserve">Qui je suis</w:t>
            </w:r>
          </w:p>
        </w:tc>
        <w:tc>
          <w:tcPr>
            <w:tcW w:type="dxa" w:w="46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Crédibilité personnelle</w:t>
            </w:r>
          </w:p>
        </w:tc>
        <w:tc>
          <w:tcPr>
            <w:tcW w:type="dxa" w:w="14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Consolas" w:cs="Consolas" w:eastAsia="Consolas" w:hAnsi="Consolas"/>
                <w:color w:val="1A1A1A"/>
                <w:sz w:val="20"/>
                <w:szCs w:val="20"/>
              </w:rPr>
              <w:t xml:space="preserve">~100vh</w:t>
            </w:r>
          </w:p>
        </w:tc>
      </w:tr>
      <w:tr>
        <w:tc>
          <w:tcPr>
            <w:tcW w:type="dxa" w:w="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val="false"/>
                <w:bCs w:val="false"/>
                <w:color w:val="1A1A1A"/>
                <w:sz w:val="20"/>
                <w:szCs w:val="20"/>
              </w:rPr>
              <w:t xml:space="preserve">4</w:t>
            </w:r>
          </w:p>
        </w:tc>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0"/>
                <w:szCs w:val="20"/>
              </w:rPr>
              <w:t xml:space="preserve">Ce qu'on fait ensemble</w:t>
            </w:r>
          </w:p>
        </w:tc>
        <w:tc>
          <w:tcPr>
            <w:tcW w:type="dxa" w:w="46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Méthode UMDB en 3 piliers</w:t>
            </w:r>
          </w:p>
        </w:tc>
        <w:tc>
          <w:tcPr>
            <w:tcW w:type="dxa" w:w="14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Consolas" w:cs="Consolas" w:eastAsia="Consolas" w:hAnsi="Consolas"/>
                <w:color w:val="1A1A1A"/>
                <w:sz w:val="20"/>
                <w:szCs w:val="20"/>
              </w:rPr>
              <w:t xml:space="preserve">~120vh</w:t>
            </w:r>
          </w:p>
        </w:tc>
      </w:tr>
      <w:tr>
        <w:tc>
          <w:tcPr>
            <w:tcW w:type="dxa" w:w="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val="false"/>
                <w:bCs w:val="false"/>
                <w:color w:val="1A1A1A"/>
                <w:sz w:val="20"/>
                <w:szCs w:val="20"/>
              </w:rPr>
              <w:t xml:space="preserve">5</w:t>
            </w:r>
          </w:p>
        </w:tc>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0"/>
                <w:szCs w:val="20"/>
              </w:rPr>
              <w:t xml:space="preserve">Opérations récentes</w:t>
            </w:r>
          </w:p>
        </w:tc>
        <w:tc>
          <w:tcPr>
            <w:tcW w:type="dxa" w:w="46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Social proof collectif</w:t>
            </w:r>
          </w:p>
        </w:tc>
        <w:tc>
          <w:tcPr>
            <w:tcW w:type="dxa" w:w="14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Consolas" w:cs="Consolas" w:eastAsia="Consolas" w:hAnsi="Consolas"/>
                <w:color w:val="1A1A1A"/>
                <w:sz w:val="20"/>
                <w:szCs w:val="20"/>
              </w:rPr>
              <w:t xml:space="preserve">~100vh</w:t>
            </w:r>
          </w:p>
        </w:tc>
      </w:tr>
      <w:tr>
        <w:tc>
          <w:tcPr>
            <w:tcW w:type="dxa" w:w="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val="false"/>
                <w:bCs w:val="false"/>
                <w:color w:val="1A1A1A"/>
                <w:sz w:val="20"/>
                <w:szCs w:val="20"/>
              </w:rPr>
              <w:t xml:space="preserve">6</w:t>
            </w:r>
          </w:p>
        </w:tc>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0"/>
                <w:szCs w:val="20"/>
              </w:rPr>
              <w:t xml:space="preserve">Conditions d'entrée</w:t>
            </w:r>
          </w:p>
        </w:tc>
        <w:tc>
          <w:tcPr>
            <w:tcW w:type="dxa" w:w="46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Filtrage + transparence</w:t>
            </w:r>
          </w:p>
        </w:tc>
        <w:tc>
          <w:tcPr>
            <w:tcW w:type="dxa" w:w="14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Consolas" w:cs="Consolas" w:eastAsia="Consolas" w:hAnsi="Consolas"/>
                <w:color w:val="1A1A1A"/>
                <w:sz w:val="20"/>
                <w:szCs w:val="20"/>
              </w:rPr>
              <w:t xml:space="preserve">~80vh</w:t>
            </w:r>
          </w:p>
        </w:tc>
      </w:tr>
      <w:tr>
        <w:tc>
          <w:tcPr>
            <w:tcW w:type="dxa" w:w="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val="false"/>
                <w:bCs w:val="false"/>
                <w:color w:val="1A1A1A"/>
                <w:sz w:val="20"/>
                <w:szCs w:val="20"/>
              </w:rPr>
              <w:t xml:space="preserve">7</w:t>
            </w:r>
          </w:p>
        </w:tc>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0"/>
                <w:szCs w:val="20"/>
              </w:rPr>
              <w:t xml:space="preserve">Candidater</w:t>
            </w:r>
          </w:p>
        </w:tc>
        <w:tc>
          <w:tcPr>
            <w:tcW w:type="dxa" w:w="46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Formulaire qualifiant + contact</w:t>
            </w:r>
          </w:p>
        </w:tc>
        <w:tc>
          <w:tcPr>
            <w:tcW w:type="dxa" w:w="14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Consolas" w:cs="Consolas" w:eastAsia="Consolas" w:hAnsi="Consolas"/>
                <w:color w:val="1A1A1A"/>
                <w:sz w:val="20"/>
                <w:szCs w:val="20"/>
              </w:rPr>
              <w:t xml:space="preserve">~60vh</w:t>
            </w:r>
          </w:p>
        </w:tc>
      </w:tr>
    </w:tbl>
    <w:p>
      <w:pPr>
        <w:spacing w:after="200"/>
      </w:pPr>
      <w:r>
        <w:t xml:space="preserve"/>
      </w:r>
    </w:p>
    <w:p>
      <w:pPr>
        <w:pStyle w:val="Heading3"/>
        <w:spacing w:after="120" w:before="240"/>
      </w:pPr>
      <w:r>
        <w:rPr>
          <w:rFonts w:ascii="Calibri" w:cs="Calibri" w:eastAsia="Calibri" w:hAnsi="Calibri"/>
          <w:b/>
          <w:bCs/>
          <w:color w:val="0A0A0A"/>
          <w:sz w:val="24"/>
          <w:szCs w:val="24"/>
        </w:rPr>
        <w:t xml:space="preserve">Navigation top</w:t>
      </w:r>
    </w:p>
    <w:p>
      <w:pPr>
        <w:spacing w:after="120" w:line="320"/>
        <w:jc w:val="left"/>
      </w:pPr>
      <w:r>
        <w:rPr>
          <w:rFonts w:ascii="Calibri" w:cs="Calibri" w:eastAsia="Calibri" w:hAnsi="Calibri"/>
          <w:b w:val="false"/>
          <w:bCs w:val="false"/>
          <w:i w:val="false"/>
          <w:iCs w:val="false"/>
          <w:color w:val="1A1A1A"/>
          <w:sz w:val="22"/>
          <w:szCs w:val="22"/>
        </w:rPr>
        <w:t xml:space="preserve">Sticky, fond noir translucide, hauteur 64px.</w:t>
      </w:r>
    </w:p>
    <w:p>
      <w:pPr>
        <w:pStyle w:val="ListParagraph"/>
        <w:numPr>
          <w:ilvl w:val="0"/>
          <w:numId w:val="2"/>
        </w:numPr>
        <w:spacing w:after="80" w:line="300"/>
      </w:pPr>
      <w:r>
        <w:rPr>
          <w:rFonts w:ascii="Calibri" w:cs="Calibri" w:eastAsia="Calibri" w:hAnsi="Calibri"/>
          <w:color w:val="1A1A1A"/>
          <w:sz w:val="22"/>
          <w:szCs w:val="22"/>
        </w:rPr>
        <w:t xml:space="preserve">Gauche : logo «NASSIM BOUKROUH» en typo display.</w:t>
      </w:r>
    </w:p>
    <w:p>
      <w:pPr>
        <w:pStyle w:val="ListParagraph"/>
        <w:numPr>
          <w:ilvl w:val="0"/>
          <w:numId w:val="2"/>
        </w:numPr>
        <w:spacing w:after="80" w:line="300"/>
      </w:pPr>
      <w:r>
        <w:rPr>
          <w:rFonts w:ascii="Calibri" w:cs="Calibri" w:eastAsia="Calibri" w:hAnsi="Calibri"/>
          <w:color w:val="1A1A1A"/>
          <w:sz w:val="22"/>
          <w:szCs w:val="22"/>
        </w:rPr>
        <w:t xml:space="preserve">Droite : Méthode · Opérations · Conditions · CTA «Candidater» en orange plein.</w:t>
      </w:r>
    </w:p>
    <w:p>
      <w:r>
        <w:br w:type="page"/>
      </w:r>
    </w:p>
    <w:p>
      <w:pPr>
        <w:pStyle w:val="Heading1"/>
        <w:spacing w:after="200" w:before="360"/>
      </w:pPr>
      <w:r>
        <w:rPr>
          <w:rFonts w:ascii="Calibri" w:cs="Calibri" w:eastAsia="Calibri" w:hAnsi="Calibri"/>
          <w:b/>
          <w:bCs/>
          <w:color w:val="0A0A0A"/>
          <w:sz w:val="36"/>
          <w:szCs w:val="36"/>
        </w:rPr>
        <w:t xml:space="preserve">5. Copy par section</w:t>
      </w:r>
    </w:p>
    <w:p>
      <w:pPr>
        <w:spacing w:after="120" w:line="320"/>
        <w:jc w:val="left"/>
      </w:pPr>
      <w:r>
        <w:rPr>
          <w:rFonts w:ascii="Calibri" w:cs="Calibri" w:eastAsia="Calibri" w:hAnsi="Calibri"/>
          <w:b w:val="false"/>
          <w:bCs w:val="false"/>
          <w:i w:val="false"/>
          <w:iCs w:val="false"/>
          <w:color w:val="1A1A1A"/>
          <w:sz w:val="22"/>
          <w:szCs w:val="22"/>
        </w:rPr>
        <w:t xml:space="preserve">Tout le copy est livré en français, en première personne (Nassim). Aucun em-dash. Phrases courtes. Pas de promesse de rendement. Pas de chiffre de marge en bannière hors agrégats publics.</w:t>
      </w:r>
    </w:p>
    <w:p>
      <w:pPr>
        <w:pStyle w:val="Heading2"/>
        <w:spacing w:after="160" w:before="320"/>
      </w:pPr>
      <w:r>
        <w:rPr>
          <w:rFonts w:ascii="Calibri" w:cs="Calibri" w:eastAsia="Calibri" w:hAnsi="Calibri"/>
          <w:b/>
          <w:bCs/>
          <w:color w:val="0A0A0A"/>
          <w:sz w:val="28"/>
          <w:szCs w:val="28"/>
        </w:rPr>
        <w:t xml:space="preserve">5.1 — Hero</w:t>
      </w:r>
    </w:p>
    <w:p>
      <w:pPr>
        <w:spacing w:after="80" w:before="200"/>
      </w:pPr>
      <w:r>
        <w:rPr>
          <w:rFonts w:ascii="Calibri" w:cs="Calibri" w:eastAsia="Calibri" w:hAnsi="Calibri"/>
          <w:b/>
          <w:bCs/>
          <w:color w:val="E85D29"/>
          <w:sz w:val="22"/>
          <w:szCs w:val="22"/>
        </w:rPr>
        <w:t xml:space="preserve">Surtitre (mono, orange, taille S)</w:t>
      </w:r>
    </w:p>
    <w:p>
      <w:pPr>
        <w:spacing w:after="120" w:line="320"/>
        <w:jc w:val="left"/>
      </w:pPr>
      <w:r>
        <w:rPr>
          <w:rFonts w:ascii="Consolas" w:cs="Consolas" w:eastAsia="Consolas" w:hAnsi="Consolas"/>
          <w:b w:val="false"/>
          <w:bCs w:val="false"/>
          <w:i w:val="false"/>
          <w:iCs w:val="false"/>
          <w:color w:val="E85D29"/>
          <w:sz w:val="22"/>
          <w:szCs w:val="22"/>
        </w:rPr>
        <w:t xml:space="preserve">Marchand de biens · Cofondateur UMDB</w:t>
      </w:r>
    </w:p>
    <w:p>
      <w:pPr>
        <w:spacing w:after="80" w:before="200"/>
      </w:pPr>
      <w:r>
        <w:rPr>
          <w:rFonts w:ascii="Calibri" w:cs="Calibri" w:eastAsia="Calibri" w:hAnsi="Calibri"/>
          <w:b/>
          <w:bCs/>
          <w:color w:val="E85D29"/>
          <w:sz w:val="22"/>
          <w:szCs w:val="22"/>
        </w:rPr>
        <w:t xml:space="preserve">Hook XXL (3 lignes)</w:t>
      </w:r>
    </w:p>
    <w:p>
      <w:pPr>
        <w:pBdr>
          <w:left w:val="single" w:color="E85D29" w:sz="12" w:space="12"/>
        </w:pBdr>
        <w:spacing w:after="160" w:before="160" w:line="340"/>
        <w:ind w:left="360"/>
        <w:jc w:val="left"/>
      </w:pPr>
      <w:r>
        <w:rPr>
          <w:rFonts w:ascii="Calibri" w:cs="Calibri" w:eastAsia="Calibri" w:hAnsi="Calibri"/>
          <w:i/>
          <w:iCs/>
          <w:color w:val="1A1A1A"/>
          <w:sz w:val="24"/>
          <w:szCs w:val="24"/>
        </w:rPr>
        <w:t xml:space="preserve">Je vous accompagne à devenir
marchand de biens.
Avec une méthode, un réseau et un club deal.</w:t>
      </w:r>
    </w:p>
    <w:p>
      <w:pPr>
        <w:spacing w:after="80" w:before="200"/>
      </w:pPr>
      <w:r>
        <w:rPr>
          <w:rFonts w:ascii="Calibri" w:cs="Calibri" w:eastAsia="Calibri" w:hAnsi="Calibri"/>
          <w:b/>
          <w:bCs/>
          <w:color w:val="E85D29"/>
          <w:sz w:val="22"/>
          <w:szCs w:val="22"/>
        </w:rPr>
        <w:t xml:space="preserve">Sous-titre</w:t>
      </w:r>
    </w:p>
    <w:p>
      <w:pPr>
        <w:spacing w:after="120" w:line="320"/>
        <w:jc w:val="left"/>
      </w:pPr>
      <w:r>
        <w:rPr>
          <w:rFonts w:ascii="Calibri" w:cs="Calibri" w:eastAsia="Calibri" w:hAnsi="Calibri"/>
          <w:b w:val="false"/>
          <w:bCs w:val="false"/>
          <w:i w:val="false"/>
          <w:iCs w:val="false"/>
          <w:color w:val="1A1A1A"/>
          <w:sz w:val="22"/>
          <w:szCs w:val="22"/>
        </w:rPr>
        <w:t xml:space="preserve">L'UMDB est un réseau de marchands de biens actifs. On sourcing ensemble. On co-investit en equity. On opère partout en France, en Belgique, en Suisse. 140 000 m² achetés-revendus.</w:t>
      </w:r>
    </w:p>
    <w:p>
      <w:pPr>
        <w:spacing w:after="80" w:before="200"/>
      </w:pPr>
      <w:r>
        <w:rPr>
          <w:rFonts w:ascii="Calibri" w:cs="Calibri" w:eastAsia="Calibri" w:hAnsi="Calibri"/>
          <w:b/>
          <w:bCs/>
          <w:color w:val="E85D29"/>
          <w:sz w:val="22"/>
          <w:szCs w:val="22"/>
        </w:rPr>
        <w:t xml:space="preserve">CTA primaire (orange plein)</w:t>
      </w:r>
    </w:p>
    <w:p>
      <w:pPr>
        <w:spacing w:after="120" w:line="320"/>
        <w:jc w:val="left"/>
      </w:pPr>
      <w:r>
        <w:rPr>
          <w:rFonts w:ascii="Calibri" w:cs="Calibri" w:eastAsia="Calibri" w:hAnsi="Calibri"/>
          <w:b/>
          <w:bCs/>
          <w:i w:val="false"/>
          <w:iCs w:val="false"/>
          <w:color w:val="1A1A1A"/>
          <w:sz w:val="22"/>
          <w:szCs w:val="22"/>
        </w:rPr>
        <w:t xml:space="preserve">Voir les conditions</w:t>
      </w:r>
    </w:p>
    <w:p>
      <w:pPr>
        <w:spacing w:after="80" w:before="200"/>
      </w:pPr>
      <w:r>
        <w:rPr>
          <w:rFonts w:ascii="Calibri" w:cs="Calibri" w:eastAsia="Calibri" w:hAnsi="Calibri"/>
          <w:b/>
          <w:bCs/>
          <w:color w:val="E85D29"/>
          <w:sz w:val="22"/>
          <w:szCs w:val="22"/>
        </w:rPr>
        <w:t xml:space="preserve">CTA secondaire (souligné simple, scroll vers §4)</w:t>
      </w:r>
    </w:p>
    <w:p>
      <w:pPr>
        <w:spacing w:after="120" w:line="320"/>
        <w:jc w:val="left"/>
      </w:pPr>
      <w:r>
        <w:rPr>
          <w:rFonts w:ascii="Calibri" w:cs="Calibri" w:eastAsia="Calibri" w:hAnsi="Calibri"/>
          <w:b/>
          <w:bCs/>
          <w:i w:val="false"/>
          <w:iCs w:val="false"/>
          <w:color w:val="1A1A1A"/>
          <w:sz w:val="22"/>
          <w:szCs w:val="22"/>
        </w:rPr>
        <w:t xml:space="preserve">Comment ça marche</w:t>
      </w:r>
    </w:p>
    <w:p>
      <w:pPr>
        <w:spacing w:after="80" w:before="200"/>
      </w:pPr>
      <w:r>
        <w:rPr>
          <w:rFonts w:ascii="Calibri" w:cs="Calibri" w:eastAsia="Calibri" w:hAnsi="Calibri"/>
          <w:b/>
          <w:bCs/>
          <w:color w:val="E85D29"/>
          <w:sz w:val="22"/>
          <w:szCs w:val="22"/>
        </w:rPr>
        <w:t xml:space="preserve">Directive visuelle</w:t>
      </w:r>
    </w:p>
    <w:p>
      <w:pPr>
        <w:spacing w:after="120" w:line="320"/>
        <w:jc w:val="left"/>
      </w:pPr>
      <w:r>
        <w:rPr>
          <w:rFonts w:ascii="Calibri" w:cs="Calibri" w:eastAsia="Calibri" w:hAnsi="Calibri"/>
          <w:b w:val="false"/>
          <w:bCs w:val="false"/>
          <w:i w:val="false"/>
          <w:iCs w:val="false"/>
          <w:color w:val="1A1A1A"/>
          <w:sz w:val="22"/>
          <w:szCs w:val="22"/>
        </w:rPr>
        <w:t xml:space="preserve">Photo plein écran de Nassim en chantier ou en réunion équipe. Traitement N&amp;B ou très désaturé. Pas de sourire forcé. Pas de bras croisés costume. Travail réel.</w:t>
      </w:r>
    </w:p>
    <w:p>
      <w:pPr>
        <w:pStyle w:val="Heading2"/>
        <w:spacing w:after="160" w:before="320"/>
      </w:pPr>
      <w:r>
        <w:rPr>
          <w:rFonts w:ascii="Calibri" w:cs="Calibri" w:eastAsia="Calibri" w:hAnsi="Calibri"/>
          <w:b/>
          <w:bCs/>
          <w:color w:val="0A0A0A"/>
          <w:sz w:val="28"/>
          <w:szCs w:val="28"/>
        </w:rPr>
        <w:t xml:space="preserve">5.2 — Le constat</w:t>
      </w:r>
    </w:p>
    <w:p>
      <w:pPr>
        <w:spacing w:after="80" w:before="200"/>
      </w:pPr>
      <w:r>
        <w:rPr>
          <w:rFonts w:ascii="Calibri" w:cs="Calibri" w:eastAsia="Calibri" w:hAnsi="Calibri"/>
          <w:b/>
          <w:bCs/>
          <w:color w:val="E85D29"/>
          <w:sz w:val="22"/>
          <w:szCs w:val="22"/>
        </w:rPr>
        <w:t xml:space="preserve">Surtitre</w:t>
      </w:r>
    </w:p>
    <w:p>
      <w:pPr>
        <w:spacing w:after="120" w:line="320"/>
        <w:jc w:val="left"/>
      </w:pPr>
      <w:r>
        <w:rPr>
          <w:rFonts w:ascii="Consolas" w:cs="Consolas" w:eastAsia="Consolas" w:hAnsi="Consolas"/>
          <w:b w:val="false"/>
          <w:bCs w:val="false"/>
          <w:i w:val="false"/>
          <w:iCs w:val="false"/>
          <w:color w:val="E85D29"/>
          <w:sz w:val="22"/>
          <w:szCs w:val="22"/>
        </w:rPr>
        <w:t xml:space="preserve">01 · Le constat</w:t>
      </w:r>
    </w:p>
    <w:p>
      <w:pPr>
        <w:spacing w:after="80" w:before="200"/>
      </w:pPr>
      <w:r>
        <w:rPr>
          <w:rFonts w:ascii="Calibri" w:cs="Calibri" w:eastAsia="Calibri" w:hAnsi="Calibri"/>
          <w:b/>
          <w:bCs/>
          <w:color w:val="E85D29"/>
          <w:sz w:val="22"/>
          <w:szCs w:val="22"/>
        </w:rPr>
        <w:t xml:space="preserve">Titre</w:t>
      </w:r>
    </w:p>
    <w:p>
      <w:pPr>
        <w:pBdr>
          <w:left w:val="single" w:color="E85D29" w:sz="12" w:space="12"/>
        </w:pBdr>
        <w:spacing w:after="160" w:before="160" w:line="340"/>
        <w:ind w:left="360"/>
        <w:jc w:val="left"/>
      </w:pPr>
      <w:r>
        <w:rPr>
          <w:rFonts w:ascii="Calibri" w:cs="Calibri" w:eastAsia="Calibri" w:hAnsi="Calibri"/>
          <w:i/>
          <w:iCs/>
          <w:color w:val="1A1A1A"/>
          <w:sz w:val="24"/>
          <w:szCs w:val="24"/>
        </w:rPr>
        <w:t xml:space="preserve">Faire du marchand de biens seul,
c'est se priver de 80% des opportunités.</w:t>
      </w:r>
    </w:p>
    <w:p>
      <w:pPr>
        <w:spacing w:after="80" w:before="200"/>
      </w:pPr>
      <w:r>
        <w:rPr>
          <w:rFonts w:ascii="Calibri" w:cs="Calibri" w:eastAsia="Calibri" w:hAnsi="Calibri"/>
          <w:b/>
          <w:bCs/>
          <w:color w:val="E85D29"/>
          <w:sz w:val="22"/>
          <w:szCs w:val="22"/>
        </w:rPr>
        <w:t xml:space="preserve">Corps</w:t>
      </w:r>
    </w:p>
    <w:p>
      <w:pPr>
        <w:spacing w:after="120" w:line="320"/>
        <w:jc w:val="left"/>
      </w:pPr>
      <w:r>
        <w:rPr>
          <w:rFonts w:ascii="Calibri" w:cs="Calibri" w:eastAsia="Calibri" w:hAnsi="Calibri"/>
          <w:b w:val="false"/>
          <w:bCs w:val="false"/>
          <w:i w:val="false"/>
          <w:iCs w:val="false"/>
          <w:color w:val="1A1A1A"/>
          <w:sz w:val="22"/>
          <w:szCs w:val="22"/>
        </w:rPr>
        <w:t xml:space="preserve">Les meilleures affaires arrivent hors marché. Hors marché, ça veut dire réseau de terrain. Pas un site, pas une newsletter. De vrais professionnels qui visitent, qui négocient, qui signent.</w:t>
      </w:r>
    </w:p>
    <w:p>
      <w:pPr>
        <w:spacing w:after="120" w:line="320"/>
        <w:jc w:val="left"/>
      </w:pPr>
      <w:r>
        <w:rPr>
          <w:rFonts w:ascii="Calibri" w:cs="Calibri" w:eastAsia="Calibri" w:hAnsi="Calibri"/>
          <w:b w:val="false"/>
          <w:bCs w:val="false"/>
          <w:i w:val="false"/>
          <w:iCs w:val="false"/>
          <w:color w:val="1A1A1A"/>
          <w:sz w:val="22"/>
          <w:szCs w:val="22"/>
        </w:rPr>
        <w:t xml:space="preserve">Si vous n'êtes pas dans ce réseau, vous achetez ce que tout le monde voit. Vous payez le prix que tout le monde paie. Et vous financez avec votre banque, qui décide du rythme.</w:t>
      </w:r>
    </w:p>
    <w:p>
      <w:pPr>
        <w:spacing w:after="80" w:before="200"/>
      </w:pPr>
      <w:r>
        <w:rPr>
          <w:rFonts w:ascii="Calibri" w:cs="Calibri" w:eastAsia="Calibri" w:hAnsi="Calibri"/>
          <w:b/>
          <w:bCs/>
          <w:color w:val="E85D29"/>
          <w:sz w:val="22"/>
          <w:szCs w:val="22"/>
        </w:rPr>
        <w:t xml:space="preserve">Directive visuelle</w:t>
      </w:r>
    </w:p>
    <w:p>
      <w:pPr>
        <w:spacing w:after="120" w:line="320"/>
        <w:jc w:val="left"/>
      </w:pPr>
      <w:r>
        <w:rPr>
          <w:rFonts w:ascii="Calibri" w:cs="Calibri" w:eastAsia="Calibri" w:hAnsi="Calibri"/>
          <w:b w:val="false"/>
          <w:bCs w:val="false"/>
          <w:i w:val="false"/>
          <w:iCs w:val="false"/>
          <w:color w:val="1A1A1A"/>
          <w:sz w:val="22"/>
          <w:szCs w:val="22"/>
        </w:rPr>
        <w:t xml:space="preserve">Photo de friche industrielle ou d'entrepôt vide. Pas de chart. Pas de pictogramme. Du réel.</w:t>
      </w:r>
    </w:p>
    <w:p>
      <w:pPr>
        <w:pStyle w:val="Heading2"/>
        <w:spacing w:after="160" w:before="320"/>
      </w:pPr>
      <w:r>
        <w:rPr>
          <w:rFonts w:ascii="Calibri" w:cs="Calibri" w:eastAsia="Calibri" w:hAnsi="Calibri"/>
          <w:b/>
          <w:bCs/>
          <w:color w:val="0A0A0A"/>
          <w:sz w:val="28"/>
          <w:szCs w:val="28"/>
        </w:rPr>
        <w:t xml:space="preserve">5.3 — Qui je suis</w:t>
      </w:r>
    </w:p>
    <w:p>
      <w:pPr>
        <w:spacing w:after="80" w:before="200"/>
      </w:pPr>
      <w:r>
        <w:rPr>
          <w:rFonts w:ascii="Calibri" w:cs="Calibri" w:eastAsia="Calibri" w:hAnsi="Calibri"/>
          <w:b/>
          <w:bCs/>
          <w:color w:val="E85D29"/>
          <w:sz w:val="22"/>
          <w:szCs w:val="22"/>
        </w:rPr>
        <w:t xml:space="preserve">Surtitre</w:t>
      </w:r>
    </w:p>
    <w:p>
      <w:pPr>
        <w:spacing w:after="120" w:line="320"/>
        <w:jc w:val="left"/>
      </w:pPr>
      <w:r>
        <w:rPr>
          <w:rFonts w:ascii="Consolas" w:cs="Consolas" w:eastAsia="Consolas" w:hAnsi="Consolas"/>
          <w:b w:val="false"/>
          <w:bCs w:val="false"/>
          <w:i w:val="false"/>
          <w:iCs w:val="false"/>
          <w:color w:val="E85D29"/>
          <w:sz w:val="22"/>
          <w:szCs w:val="22"/>
        </w:rPr>
        <w:t xml:space="preserve">02 · Le parcours</w:t>
      </w:r>
    </w:p>
    <w:p>
      <w:pPr>
        <w:spacing w:after="80" w:before="200"/>
      </w:pPr>
      <w:r>
        <w:rPr>
          <w:rFonts w:ascii="Calibri" w:cs="Calibri" w:eastAsia="Calibri" w:hAnsi="Calibri"/>
          <w:b/>
          <w:bCs/>
          <w:color w:val="E85D29"/>
          <w:sz w:val="22"/>
          <w:szCs w:val="22"/>
        </w:rPr>
        <w:t xml:space="preserve">Titre</w:t>
      </w:r>
    </w:p>
    <w:p>
      <w:pPr>
        <w:pBdr>
          <w:left w:val="single" w:color="E85D29" w:sz="12" w:space="12"/>
        </w:pBdr>
        <w:spacing w:after="160" w:before="160" w:line="340"/>
        <w:ind w:left="360"/>
        <w:jc w:val="left"/>
      </w:pPr>
      <w:r>
        <w:rPr>
          <w:rFonts w:ascii="Calibri" w:cs="Calibri" w:eastAsia="Calibri" w:hAnsi="Calibri"/>
          <w:i/>
          <w:iCs/>
          <w:color w:val="1A1A1A"/>
          <w:sz w:val="24"/>
          <w:szCs w:val="24"/>
        </w:rPr>
        <w:t xml:space="preserve">Parti de Roubaix.
Sans réseau. Sans capital.</w:t>
      </w:r>
    </w:p>
    <w:p>
      <w:pPr>
        <w:spacing w:after="80" w:before="200"/>
      </w:pPr>
      <w:r>
        <w:rPr>
          <w:rFonts w:ascii="Calibri" w:cs="Calibri" w:eastAsia="Calibri" w:hAnsi="Calibri"/>
          <w:b/>
          <w:bCs/>
          <w:color w:val="E85D29"/>
          <w:sz w:val="22"/>
          <w:szCs w:val="22"/>
        </w:rPr>
        <w:t xml:space="preserve">Corps</w:t>
      </w:r>
    </w:p>
    <w:p>
      <w:pPr>
        <w:spacing w:after="120" w:line="320"/>
        <w:jc w:val="left"/>
      </w:pPr>
      <w:r>
        <w:rPr>
          <w:rFonts w:ascii="Calibri" w:cs="Calibri" w:eastAsia="Calibri" w:hAnsi="Calibri"/>
          <w:b w:val="false"/>
          <w:bCs w:val="false"/>
          <w:i w:val="false"/>
          <w:iCs w:val="false"/>
          <w:color w:val="1A1A1A"/>
          <w:sz w:val="22"/>
          <w:szCs w:val="22"/>
        </w:rPr>
        <w:t xml:space="preserve">Famille modeste. J'ai commencé à acheter et revendre à 17 ans. Voitures, vêtements, ce qui passait.</w:t>
      </w:r>
    </w:p>
    <w:p>
      <w:pPr>
        <w:spacing w:after="120" w:line="320"/>
        <w:jc w:val="left"/>
      </w:pPr>
      <w:r>
        <w:rPr>
          <w:rFonts w:ascii="Calibri" w:cs="Calibri" w:eastAsia="Calibri" w:hAnsi="Calibri"/>
          <w:b w:val="false"/>
          <w:bCs w:val="false"/>
          <w:i w:val="false"/>
          <w:iCs w:val="false"/>
          <w:color w:val="1A1A1A"/>
          <w:sz w:val="22"/>
          <w:szCs w:val="22"/>
        </w:rPr>
        <w:t xml:space="preserve">Sept ans dans l'énergie renouvelable, 150 salariés à l'arrivée. J'ai revendu la boîte parce que je n'étais plus aligné.</w:t>
      </w:r>
    </w:p>
    <w:p>
      <w:pPr>
        <w:spacing w:after="120" w:line="320"/>
        <w:jc w:val="left"/>
      </w:pPr>
      <w:r>
        <w:rPr>
          <w:rFonts w:ascii="Calibri" w:cs="Calibri" w:eastAsia="Calibri" w:hAnsi="Calibri"/>
          <w:b w:val="false"/>
          <w:bCs w:val="false"/>
          <w:i w:val="false"/>
          <w:iCs w:val="false"/>
          <w:color w:val="1A1A1A"/>
          <w:sz w:val="22"/>
          <w:szCs w:val="22"/>
        </w:rPr>
        <w:t xml:space="preserve">J'ai compris une chose tôt : la valeur se cache là où les autres ne regardent pas. Aujourd'hui j'achète des friches industrielles, des entrepôts, des usines. Je les découpe. Je les revends. En equity.</w:t>
      </w:r>
    </w:p>
    <w:p>
      <w:pPr>
        <w:spacing w:after="120" w:line="320"/>
        <w:jc w:val="left"/>
      </w:pPr>
      <w:r>
        <w:rPr>
          <w:rFonts w:ascii="Calibri" w:cs="Calibri" w:eastAsia="Calibri" w:hAnsi="Calibri"/>
          <w:b w:val="false"/>
          <w:bCs w:val="false"/>
          <w:i w:val="false"/>
          <w:iCs w:val="false"/>
          <w:color w:val="1A1A1A"/>
          <w:sz w:val="22"/>
          <w:szCs w:val="22"/>
        </w:rPr>
        <w:t xml:space="preserve">En 2025, j'ai cofondé l'UMDB avec mon associé Hugo pour scaler ce modèle. Le réseau opère partout en France, en Belgique, en Suisse.</w:t>
      </w:r>
    </w:p>
    <w:p>
      <w:pPr>
        <w:spacing w:after="80" w:before="200"/>
      </w:pPr>
      <w:r>
        <w:rPr>
          <w:rFonts w:ascii="Calibri" w:cs="Calibri" w:eastAsia="Calibri" w:hAnsi="Calibri"/>
          <w:b/>
          <w:bCs/>
          <w:color w:val="E85D29"/>
          <w:sz w:val="22"/>
          <w:szCs w:val="22"/>
        </w:rPr>
        <w:t xml:space="preserve">Directive visuelle</w:t>
      </w:r>
    </w:p>
    <w:p>
      <w:pPr>
        <w:spacing w:after="120" w:line="320"/>
        <w:jc w:val="left"/>
      </w:pPr>
      <w:r>
        <w:rPr>
          <w:rFonts w:ascii="Calibri" w:cs="Calibri" w:eastAsia="Calibri" w:hAnsi="Calibri"/>
          <w:b w:val="false"/>
          <w:bCs w:val="false"/>
          <w:i w:val="false"/>
          <w:iCs w:val="false"/>
          <w:color w:val="1A1A1A"/>
          <w:sz w:val="22"/>
          <w:szCs w:val="22"/>
        </w:rPr>
        <w:t xml:space="preserve">Portrait Nassim en intérieur, lumière naturelle, regard direct, pas de sourire commercial. Format vertical 4:5 ou 3:4.</w:t>
      </w:r>
    </w:p>
    <w:p>
      <w:pPr>
        <w:pStyle w:val="Heading2"/>
        <w:spacing w:after="160" w:before="320"/>
      </w:pPr>
      <w:r>
        <w:rPr>
          <w:rFonts w:ascii="Calibri" w:cs="Calibri" w:eastAsia="Calibri" w:hAnsi="Calibri"/>
          <w:b/>
          <w:bCs/>
          <w:color w:val="0A0A0A"/>
          <w:sz w:val="28"/>
          <w:szCs w:val="28"/>
        </w:rPr>
        <w:t xml:space="preserve">5.4 — Ce qu'on fait ensemble</w:t>
      </w:r>
    </w:p>
    <w:p>
      <w:pPr>
        <w:spacing w:after="80" w:before="200"/>
      </w:pPr>
      <w:r>
        <w:rPr>
          <w:rFonts w:ascii="Calibri" w:cs="Calibri" w:eastAsia="Calibri" w:hAnsi="Calibri"/>
          <w:b/>
          <w:bCs/>
          <w:color w:val="E85D29"/>
          <w:sz w:val="22"/>
          <w:szCs w:val="22"/>
        </w:rPr>
        <w:t xml:space="preserve">Surtitre</w:t>
      </w:r>
    </w:p>
    <w:p>
      <w:pPr>
        <w:spacing w:after="120" w:line="320"/>
        <w:jc w:val="left"/>
      </w:pPr>
      <w:r>
        <w:rPr>
          <w:rFonts w:ascii="Consolas" w:cs="Consolas" w:eastAsia="Consolas" w:hAnsi="Consolas"/>
          <w:b w:val="false"/>
          <w:bCs w:val="false"/>
          <w:i w:val="false"/>
          <w:iCs w:val="false"/>
          <w:color w:val="E85D29"/>
          <w:sz w:val="22"/>
          <w:szCs w:val="22"/>
        </w:rPr>
        <w:t xml:space="preserve">03 · La méthode UMDB</w:t>
      </w:r>
    </w:p>
    <w:p>
      <w:pPr>
        <w:spacing w:after="80" w:before="200"/>
      </w:pPr>
      <w:r>
        <w:rPr>
          <w:rFonts w:ascii="Calibri" w:cs="Calibri" w:eastAsia="Calibri" w:hAnsi="Calibri"/>
          <w:b/>
          <w:bCs/>
          <w:color w:val="E85D29"/>
          <w:sz w:val="22"/>
          <w:szCs w:val="22"/>
        </w:rPr>
        <w:t xml:space="preserve">Titre</w:t>
      </w:r>
    </w:p>
    <w:p>
      <w:pPr>
        <w:pBdr>
          <w:left w:val="single" w:color="E85D29" w:sz="12" w:space="12"/>
        </w:pBdr>
        <w:spacing w:after="160" w:before="160" w:line="340"/>
        <w:ind w:left="360"/>
        <w:jc w:val="left"/>
      </w:pPr>
      <w:r>
        <w:rPr>
          <w:rFonts w:ascii="Calibri" w:cs="Calibri" w:eastAsia="Calibri" w:hAnsi="Calibri"/>
          <w:i/>
          <w:iCs/>
          <w:color w:val="1A1A1A"/>
          <w:sz w:val="24"/>
          <w:szCs w:val="24"/>
        </w:rPr>
        <w:t xml:space="preserve">Trois choses qu'on fait pour vous.
Rien de plus.</w:t>
      </w:r>
    </w:p>
    <w:p>
      <w:pPr>
        <w:pStyle w:val="Heading3"/>
        <w:spacing w:after="120" w:before="240"/>
      </w:pPr>
      <w:r>
        <w:rPr>
          <w:rFonts w:ascii="Calibri" w:cs="Calibri" w:eastAsia="Calibri" w:hAnsi="Calibri"/>
          <w:b/>
          <w:bCs/>
          <w:color w:val="0A0A0A"/>
          <w:sz w:val="24"/>
          <w:szCs w:val="24"/>
        </w:rPr>
        <w:t xml:space="preserve">Pilier 01 — La méthode</w:t>
      </w:r>
    </w:p>
    <w:p>
      <w:pPr>
        <w:spacing w:after="120" w:line="320"/>
        <w:jc w:val="left"/>
      </w:pPr>
      <w:r>
        <w:rPr>
          <w:rFonts w:ascii="Calibri" w:cs="Calibri" w:eastAsia="Calibri" w:hAnsi="Calibri"/>
          <w:b w:val="false"/>
          <w:bCs w:val="false"/>
          <w:i w:val="false"/>
          <w:iCs w:val="false"/>
          <w:color w:val="1A1A1A"/>
          <w:sz w:val="22"/>
          <w:szCs w:val="22"/>
        </w:rPr>
        <w:t xml:space="preserve">Une méthode appliquée sur les opérations en cours du réseau. Vous apprenez le métier sur des deals qui se montent en ce moment, pas sur des cas d'école. Sourcing, négociation, montage juridique, découpe, revente, sortie. Tout est documenté.</w:t>
      </w:r>
    </w:p>
    <w:p>
      <w:pPr>
        <w:pStyle w:val="Heading3"/>
        <w:spacing w:after="120" w:before="240"/>
      </w:pPr>
      <w:r>
        <w:rPr>
          <w:rFonts w:ascii="Calibri" w:cs="Calibri" w:eastAsia="Calibri" w:hAnsi="Calibri"/>
          <w:b/>
          <w:bCs/>
          <w:color w:val="0A0A0A"/>
          <w:sz w:val="24"/>
          <w:szCs w:val="24"/>
        </w:rPr>
        <w:t xml:space="preserve">Pilier 02 — Le réseau</w:t>
      </w:r>
    </w:p>
    <w:p>
      <w:pPr>
        <w:spacing w:after="120" w:line="320"/>
        <w:jc w:val="left"/>
      </w:pPr>
      <w:r>
        <w:rPr>
          <w:rFonts w:ascii="Calibri" w:cs="Calibri" w:eastAsia="Calibri" w:hAnsi="Calibri"/>
          <w:b w:val="false"/>
          <w:bCs w:val="false"/>
          <w:i w:val="false"/>
          <w:iCs w:val="false"/>
          <w:color w:val="1A1A1A"/>
          <w:sz w:val="22"/>
          <w:szCs w:val="22"/>
        </w:rPr>
        <w:t xml:space="preserve">Le réseau de terrain qui fait la différence : marchands actifs, agents off-market, notaires, banquiers, acquéreurs identifiés. Le carnet d'adresses qui prend dix ans à construire seul, accessible dès la première opération.</w:t>
      </w:r>
    </w:p>
    <w:p>
      <w:pPr>
        <w:pStyle w:val="Heading3"/>
        <w:spacing w:after="120" w:before="240"/>
      </w:pPr>
      <w:r>
        <w:rPr>
          <w:rFonts w:ascii="Calibri" w:cs="Calibri" w:eastAsia="Calibri" w:hAnsi="Calibri"/>
          <w:b/>
          <w:bCs/>
          <w:color w:val="0A0A0A"/>
          <w:sz w:val="24"/>
          <w:szCs w:val="24"/>
        </w:rPr>
        <w:t xml:space="preserve">Pilier 03 — Le club deal</w:t>
      </w:r>
    </w:p>
    <w:p>
      <w:pPr>
        <w:spacing w:after="120" w:line="320"/>
        <w:jc w:val="left"/>
      </w:pPr>
      <w:r>
        <w:rPr>
          <w:rFonts w:ascii="Calibri" w:cs="Calibri" w:eastAsia="Calibri" w:hAnsi="Calibri"/>
          <w:b w:val="false"/>
          <w:bCs w:val="false"/>
          <w:i w:val="false"/>
          <w:iCs w:val="false"/>
          <w:color w:val="1A1A1A"/>
          <w:sz w:val="22"/>
          <w:szCs w:val="22"/>
        </w:rPr>
        <w:t xml:space="preserve">Pour les membres qui apportent des deals qualifiés, l'UMDB co-investit en equity. Pas de banque, pas de dossier de financement, pas de délai. Vous sourcez, on monte ensemble, on finance ensemble, on partage la marge.</w:t>
      </w:r>
    </w:p>
    <w:p>
      <w:pPr>
        <w:spacing w:after="80" w:before="200"/>
      </w:pPr>
      <w:r>
        <w:rPr>
          <w:rFonts w:ascii="Calibri" w:cs="Calibri" w:eastAsia="Calibri" w:hAnsi="Calibri"/>
          <w:b/>
          <w:bCs/>
          <w:color w:val="E85D29"/>
          <w:sz w:val="22"/>
          <w:szCs w:val="22"/>
        </w:rPr>
        <w:t xml:space="preserve">Directive visuelle</w:t>
      </w:r>
    </w:p>
    <w:p>
      <w:pPr>
        <w:spacing w:after="120" w:line="320"/>
        <w:jc w:val="left"/>
      </w:pPr>
      <w:r>
        <w:rPr>
          <w:rFonts w:ascii="Calibri" w:cs="Calibri" w:eastAsia="Calibri" w:hAnsi="Calibri"/>
          <w:b w:val="false"/>
          <w:bCs w:val="false"/>
          <w:i w:val="false"/>
          <w:iCs w:val="false"/>
          <w:color w:val="1A1A1A"/>
          <w:sz w:val="22"/>
          <w:szCs w:val="22"/>
        </w:rPr>
        <w:t xml:space="preserve">Photos de séminaires UMDB, ateliers, visites de chantier collectives. Authentiques, pas mises en scène.</w:t>
      </w:r>
    </w:p>
    <w:p>
      <w:pPr>
        <w:pStyle w:val="Heading2"/>
        <w:spacing w:after="160" w:before="320"/>
      </w:pPr>
      <w:r>
        <w:rPr>
          <w:rFonts w:ascii="Calibri" w:cs="Calibri" w:eastAsia="Calibri" w:hAnsi="Calibri"/>
          <w:b/>
          <w:bCs/>
          <w:color w:val="0A0A0A"/>
          <w:sz w:val="28"/>
          <w:szCs w:val="28"/>
        </w:rPr>
        <w:t xml:space="preserve">5.5 — Opérations récentes</w:t>
      </w:r>
    </w:p>
    <w:p>
      <w:pPr>
        <w:spacing w:after="80" w:before="200"/>
      </w:pPr>
      <w:r>
        <w:rPr>
          <w:rFonts w:ascii="Calibri" w:cs="Calibri" w:eastAsia="Calibri" w:hAnsi="Calibri"/>
          <w:b/>
          <w:bCs/>
          <w:color w:val="E85D29"/>
          <w:sz w:val="22"/>
          <w:szCs w:val="22"/>
        </w:rPr>
        <w:t xml:space="preserve">Surtitre</w:t>
      </w:r>
    </w:p>
    <w:p>
      <w:pPr>
        <w:spacing w:after="120" w:line="320"/>
        <w:jc w:val="left"/>
      </w:pPr>
      <w:r>
        <w:rPr>
          <w:rFonts w:ascii="Consolas" w:cs="Consolas" w:eastAsia="Consolas" w:hAnsi="Consolas"/>
          <w:b w:val="false"/>
          <w:bCs w:val="false"/>
          <w:i w:val="false"/>
          <w:iCs w:val="false"/>
          <w:color w:val="E85D29"/>
          <w:sz w:val="22"/>
          <w:szCs w:val="22"/>
        </w:rPr>
        <w:t xml:space="preserve">04 · Le terrain</w:t>
      </w:r>
    </w:p>
    <w:p>
      <w:pPr>
        <w:spacing w:after="80" w:before="200"/>
      </w:pPr>
      <w:r>
        <w:rPr>
          <w:rFonts w:ascii="Calibri" w:cs="Calibri" w:eastAsia="Calibri" w:hAnsi="Calibri"/>
          <w:b/>
          <w:bCs/>
          <w:color w:val="E85D29"/>
          <w:sz w:val="22"/>
          <w:szCs w:val="22"/>
        </w:rPr>
        <w:t xml:space="preserve">Titre</w:t>
      </w:r>
    </w:p>
    <w:p>
      <w:pPr>
        <w:pBdr>
          <w:left w:val="single" w:color="E85D29" w:sz="12" w:space="12"/>
        </w:pBdr>
        <w:spacing w:after="160" w:before="160" w:line="340"/>
        <w:ind w:left="360"/>
        <w:jc w:val="left"/>
      </w:pPr>
      <w:r>
        <w:rPr>
          <w:rFonts w:ascii="Calibri" w:cs="Calibri" w:eastAsia="Calibri" w:hAnsi="Calibri"/>
          <w:i/>
          <w:iCs/>
          <w:color w:val="1A1A1A"/>
          <w:sz w:val="24"/>
          <w:szCs w:val="24"/>
        </w:rPr>
        <w:t xml:space="preserve">Voilà ce qu'on a fait ces 12 derniers mois.</w:t>
      </w:r>
    </w:p>
    <w:p>
      <w:pPr>
        <w:pStyle w:val="Heading3"/>
        <w:spacing w:after="120" w:before="240"/>
      </w:pPr>
      <w:r>
        <w:rPr>
          <w:rFonts w:ascii="Calibri" w:cs="Calibri" w:eastAsia="Calibri" w:hAnsi="Calibri"/>
          <w:b/>
          <w:bCs/>
          <w:color w:val="0A0A0A"/>
          <w:sz w:val="24"/>
          <w:szCs w:val="24"/>
        </w:rPr>
        <w:t xml:space="preserve">Bandeau de chiffres agrégés</w:t>
      </w:r>
    </w:p>
    <w:p>
      <w:pPr>
        <w:spacing w:after="120" w:line="320"/>
        <w:jc w:val="left"/>
      </w:pPr>
      <w:r>
        <w:rPr>
          <w:rFonts w:ascii="Calibri" w:cs="Calibri" w:eastAsia="Calibri" w:hAnsi="Calibri"/>
          <w:b w:val="false"/>
          <w:bCs w:val="false"/>
          <w:i w:val="false"/>
          <w:iCs w:val="false"/>
          <w:color w:val="1A1A1A"/>
          <w:sz w:val="22"/>
          <w:szCs w:val="22"/>
        </w:rPr>
        <w:t xml:space="preserve">Trois grands chiffres mono, taille XXL, orange.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8"/>
        <w:gridCol w:w="3009"/>
      </w:tblGrid>
      <w:tr>
        <w:tc>
          <w:tcPr>
            <w:tcW w:type="dxa" w:w="3009"/>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bCs/>
                <w:color w:val="E85D29"/>
                <w:sz w:val="20"/>
                <w:szCs w:val="20"/>
              </w:rPr>
              <w:t xml:space="preserve">140 000 m²</w:t>
            </w:r>
          </w:p>
        </w:tc>
        <w:tc>
          <w:tcPr>
            <w:tcW w:type="dxa" w:w="3008"/>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bCs/>
                <w:color w:val="E85D29"/>
                <w:sz w:val="20"/>
                <w:szCs w:val="20"/>
              </w:rPr>
              <w:t xml:space="preserve">3 à 6 mois</w:t>
            </w:r>
          </w:p>
        </w:tc>
        <w:tc>
          <w:tcPr>
            <w:tcW w:type="dxa" w:w="3009"/>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bCs/>
                <w:color w:val="E85D29"/>
                <w:sz w:val="20"/>
                <w:szCs w:val="20"/>
              </w:rPr>
              <w:t xml:space="preserve">FR · BE · CH</w:t>
            </w:r>
          </w:p>
        </w:tc>
      </w:tr>
      <w:tr>
        <w:tc>
          <w:tcPr>
            <w:tcW w:type="dxa" w:w="3009"/>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val="false"/>
                <w:bCs w:val="false"/>
                <w:color w:val="555555"/>
                <w:sz w:val="20"/>
                <w:szCs w:val="20"/>
              </w:rPr>
              <w:t xml:space="preserve">Surface achetée-revendue</w:t>
            </w:r>
          </w:p>
        </w:tc>
        <w:tc>
          <w:tcPr>
            <w:tcW w:type="dxa" w:w="3008"/>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val="false"/>
                <w:bCs w:val="false"/>
                <w:color w:val="555555"/>
                <w:sz w:val="20"/>
                <w:szCs w:val="20"/>
              </w:rPr>
              <w:t xml:space="preserve">Cycle moyen</w:t>
            </w:r>
          </w:p>
        </w:tc>
        <w:tc>
          <w:tcPr>
            <w:tcW w:type="dxa" w:w="3009"/>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val="false"/>
                <w:bCs w:val="false"/>
                <w:color w:val="555555"/>
                <w:sz w:val="20"/>
                <w:szCs w:val="20"/>
              </w:rPr>
              <w:t xml:space="preserve">Zones actives</w:t>
            </w:r>
          </w:p>
        </w:tc>
      </w:tr>
    </w:tbl>
    <w:p>
      <w:pPr>
        <w:spacing w:after="200"/>
      </w:pPr>
      <w:r>
        <w:t xml:space="preserve"/>
      </w:r>
    </w:p>
    <w:p>
      <w:pPr>
        <w:pStyle w:val="Heading3"/>
        <w:spacing w:after="120" w:before="240"/>
      </w:pPr>
      <w:r>
        <w:rPr>
          <w:rFonts w:ascii="Calibri" w:cs="Calibri" w:eastAsia="Calibri" w:hAnsi="Calibri"/>
          <w:b/>
          <w:bCs/>
          <w:color w:val="0A0A0A"/>
          <w:sz w:val="24"/>
          <w:szCs w:val="24"/>
        </w:rPr>
        <w:t xml:space="preserve">3 cards d'opérations</w:t>
      </w:r>
    </w:p>
    <w:p>
      <w:pPr>
        <w:spacing w:after="80" w:before="200"/>
      </w:pPr>
      <w:r>
        <w:rPr>
          <w:rFonts w:ascii="Calibri" w:cs="Calibri" w:eastAsia="Calibri" w:hAnsi="Calibri"/>
          <w:b/>
          <w:bCs/>
          <w:color w:val="E85D29"/>
          <w:sz w:val="22"/>
          <w:szCs w:val="22"/>
        </w:rPr>
        <w:t xml:space="preserve">Card 1 — Honfleur · Entrepôt 4 280 m²</w:t>
      </w:r>
    </w:p>
    <w:p>
      <w:pPr>
        <w:spacing w:after="120" w:line="320"/>
        <w:jc w:val="left"/>
      </w:pPr>
      <w:r>
        <w:rPr>
          <w:rFonts w:ascii="Calibri" w:cs="Calibri" w:eastAsia="Calibri" w:hAnsi="Calibri"/>
          <w:b w:val="false"/>
          <w:bCs w:val="false"/>
          <w:i w:val="false"/>
          <w:iCs w:val="false"/>
          <w:color w:val="1A1A1A"/>
          <w:sz w:val="22"/>
          <w:szCs w:val="22"/>
        </w:rPr>
        <w:t xml:space="preserve">Sourcing hors marché par un membre UMDB. Découpe en lots de 186 à 1 070 m². Acheteurs identifiés avant signature. Sortie en moins de six mois. Équipe : Gilles, Quentin, Nassim.</w:t>
      </w:r>
    </w:p>
    <w:p>
      <w:pPr>
        <w:spacing w:after="80" w:before="200"/>
      </w:pPr>
      <w:r>
        <w:rPr>
          <w:rFonts w:ascii="Calibri" w:cs="Calibri" w:eastAsia="Calibri" w:hAnsi="Calibri"/>
          <w:b/>
          <w:bCs/>
          <w:color w:val="E85D29"/>
          <w:sz w:val="22"/>
          <w:szCs w:val="22"/>
        </w:rPr>
        <w:t xml:space="preserve">Card 2 — SFP · Usine 7 055 m²</w:t>
      </w:r>
    </w:p>
    <w:p>
      <w:pPr>
        <w:spacing w:after="120" w:line="320"/>
        <w:jc w:val="left"/>
      </w:pPr>
      <w:r>
        <w:rPr>
          <w:rFonts w:ascii="Calibri" w:cs="Calibri" w:eastAsia="Calibri" w:hAnsi="Calibri"/>
          <w:b w:val="false"/>
          <w:bCs w:val="false"/>
          <w:i w:val="false"/>
          <w:iCs w:val="false"/>
          <w:color w:val="1A1A1A"/>
          <w:sz w:val="22"/>
          <w:szCs w:val="22"/>
        </w:rPr>
        <w:t xml:space="preserve">Acquisition d'une ancienne usine. Découpe en cellules de 381 à 934 m². Acheteurs sourcés avant signature de l'acquisition. Cycle de portage 7 mois. Équipe : David, Nassim.</w:t>
      </w:r>
    </w:p>
    <w:p>
      <w:pPr>
        <w:spacing w:after="80" w:before="200"/>
      </w:pPr>
      <w:r>
        <w:rPr>
          <w:rFonts w:ascii="Calibri" w:cs="Calibri" w:eastAsia="Calibri" w:hAnsi="Calibri"/>
          <w:b/>
          <w:bCs/>
          <w:color w:val="E85D29"/>
          <w:sz w:val="22"/>
          <w:szCs w:val="22"/>
        </w:rPr>
        <w:t xml:space="preserve">Card 3 — Ayse · Usine 6 500 m²</w:t>
      </w:r>
    </w:p>
    <w:p>
      <w:pPr>
        <w:spacing w:after="120" w:line="320"/>
        <w:jc w:val="left"/>
      </w:pPr>
      <w:r>
        <w:rPr>
          <w:rFonts w:ascii="Calibri" w:cs="Calibri" w:eastAsia="Calibri" w:hAnsi="Calibri"/>
          <w:b w:val="false"/>
          <w:bCs w:val="false"/>
          <w:i w:val="false"/>
          <w:iCs w:val="false"/>
          <w:color w:val="1A1A1A"/>
          <w:sz w:val="22"/>
          <w:szCs w:val="22"/>
        </w:rPr>
        <w:t xml:space="preserve">Sélection rigoureuse : deux acheteurs retenus sur dix candidats. Découpe en lots de 370 à 933 m². Portage 9 mois. Équipe : Théo, Nassim.</w:t>
      </w:r>
    </w:p>
    <w:p>
      <w:pPr>
        <w:spacing w:after="80" w:before="200"/>
      </w:pPr>
      <w:r>
        <w:rPr>
          <w:rFonts w:ascii="Calibri" w:cs="Calibri" w:eastAsia="Calibri" w:hAnsi="Calibri"/>
          <w:b/>
          <w:bCs/>
          <w:color w:val="E85D29"/>
          <w:sz w:val="22"/>
          <w:szCs w:val="22"/>
        </w:rPr>
        <w:t xml:space="preserve">Directive visuelle</w:t>
      </w:r>
    </w:p>
    <w:p>
      <w:pPr>
        <w:spacing w:after="120" w:line="320"/>
        <w:jc w:val="left"/>
      </w:pPr>
      <w:r>
        <w:rPr>
          <w:rFonts w:ascii="Calibri" w:cs="Calibri" w:eastAsia="Calibri" w:hAnsi="Calibri"/>
          <w:b w:val="false"/>
          <w:bCs w:val="false"/>
          <w:i w:val="false"/>
          <w:iCs w:val="false"/>
          <w:color w:val="1A1A1A"/>
          <w:sz w:val="22"/>
          <w:szCs w:val="22"/>
        </w:rPr>
        <w:t xml:space="preserve">Pour chaque card : photo aérienne du bâtiment ou vue chantier. Pas de capture de listing. Pas de Google Maps.</w:t>
      </w:r>
    </w:p>
    <w:p>
      <w:pPr>
        <w:spacing w:after="80" w:before="200"/>
      </w:pPr>
      <w:r>
        <w:rPr>
          <w:rFonts w:ascii="Calibri" w:cs="Calibri" w:eastAsia="Calibri" w:hAnsi="Calibri"/>
          <w:b/>
          <w:bCs/>
          <w:color w:val="E85D29"/>
          <w:sz w:val="22"/>
          <w:szCs w:val="22"/>
        </w:rPr>
        <w:t xml:space="preserve">Lien sobre en bas de section</w:t>
      </w:r>
    </w:p>
    <w:p>
      <w:pPr>
        <w:spacing w:after="120" w:line="320"/>
        <w:jc w:val="left"/>
      </w:pPr>
      <w:r>
        <w:rPr>
          <w:rFonts w:ascii="Calibri" w:cs="Calibri" w:eastAsia="Calibri" w:hAnsi="Calibri"/>
          <w:b/>
          <w:bCs/>
          <w:i w:val="false"/>
          <w:iCs w:val="false"/>
          <w:color w:val="E85D29"/>
          <w:sz w:val="22"/>
          <w:szCs w:val="22"/>
        </w:rPr>
        <w:t xml:space="preserve">→ Voir plus d'opérations sur umdb.fr</w:t>
      </w:r>
    </w:p>
    <w:p>
      <w:pPr>
        <w:pStyle w:val="Heading2"/>
        <w:spacing w:after="160" w:before="320"/>
      </w:pPr>
      <w:r>
        <w:rPr>
          <w:rFonts w:ascii="Calibri" w:cs="Calibri" w:eastAsia="Calibri" w:hAnsi="Calibri"/>
          <w:b/>
          <w:bCs/>
          <w:color w:val="0A0A0A"/>
          <w:sz w:val="28"/>
          <w:szCs w:val="28"/>
        </w:rPr>
        <w:t xml:space="preserve">5.6 — Conditions d'entrée</w:t>
      </w:r>
    </w:p>
    <w:p>
      <w:pPr>
        <w:spacing w:after="80" w:before="200"/>
      </w:pPr>
      <w:r>
        <w:rPr>
          <w:rFonts w:ascii="Calibri" w:cs="Calibri" w:eastAsia="Calibri" w:hAnsi="Calibri"/>
          <w:b/>
          <w:bCs/>
          <w:color w:val="E85D29"/>
          <w:sz w:val="22"/>
          <w:szCs w:val="22"/>
        </w:rPr>
        <w:t xml:space="preserve">Surtitre</w:t>
      </w:r>
    </w:p>
    <w:p>
      <w:pPr>
        <w:spacing w:after="120" w:line="320"/>
        <w:jc w:val="left"/>
      </w:pPr>
      <w:r>
        <w:rPr>
          <w:rFonts w:ascii="Consolas" w:cs="Consolas" w:eastAsia="Consolas" w:hAnsi="Consolas"/>
          <w:b w:val="false"/>
          <w:bCs w:val="false"/>
          <w:i w:val="false"/>
          <w:iCs w:val="false"/>
          <w:color w:val="E85D29"/>
          <w:sz w:val="22"/>
          <w:szCs w:val="22"/>
        </w:rPr>
        <w:t xml:space="preserve">05 · Les conditions</w:t>
      </w:r>
    </w:p>
    <w:p>
      <w:pPr>
        <w:spacing w:after="80" w:before="200"/>
      </w:pPr>
      <w:r>
        <w:rPr>
          <w:rFonts w:ascii="Calibri" w:cs="Calibri" w:eastAsia="Calibri" w:hAnsi="Calibri"/>
          <w:b/>
          <w:bCs/>
          <w:color w:val="E85D29"/>
          <w:sz w:val="22"/>
          <w:szCs w:val="22"/>
        </w:rPr>
        <w:t xml:space="preserve">Titre</w:t>
      </w:r>
    </w:p>
    <w:p>
      <w:pPr>
        <w:pBdr>
          <w:left w:val="single" w:color="E85D29" w:sz="12" w:space="12"/>
        </w:pBdr>
        <w:spacing w:after="160" w:before="160" w:line="340"/>
        <w:ind w:left="360"/>
        <w:jc w:val="left"/>
      </w:pPr>
      <w:r>
        <w:rPr>
          <w:rFonts w:ascii="Calibri" w:cs="Calibri" w:eastAsia="Calibri" w:hAnsi="Calibri"/>
          <w:i/>
          <w:iCs/>
          <w:color w:val="1A1A1A"/>
          <w:sz w:val="24"/>
          <w:szCs w:val="24"/>
        </w:rPr>
        <w:t xml:space="preserve">On ne prend pas tout le monde.</w:t>
      </w:r>
    </w:p>
    <w:p>
      <w:pPr>
        <w:spacing w:after="80" w:before="200"/>
      </w:pPr>
      <w:r>
        <w:rPr>
          <w:rFonts w:ascii="Calibri" w:cs="Calibri" w:eastAsia="Calibri" w:hAnsi="Calibri"/>
          <w:b/>
          <w:bCs/>
          <w:color w:val="E85D29"/>
          <w:sz w:val="22"/>
          <w:szCs w:val="22"/>
        </w:rPr>
        <w:t xml:space="preserve">Corps d'introduction</w:t>
      </w:r>
    </w:p>
    <w:p>
      <w:pPr>
        <w:spacing w:after="120" w:line="320"/>
        <w:jc w:val="left"/>
      </w:pPr>
      <w:r>
        <w:rPr>
          <w:rFonts w:ascii="Calibri" w:cs="Calibri" w:eastAsia="Calibri" w:hAnsi="Calibri"/>
          <w:b w:val="false"/>
          <w:bCs w:val="false"/>
          <w:i w:val="false"/>
          <w:iCs w:val="false"/>
          <w:color w:val="1A1A1A"/>
          <w:sz w:val="22"/>
          <w:szCs w:val="22"/>
        </w:rPr>
        <w:t xml:space="preserve">L'UMDB est un réseau d'opérateurs, pas une plateforme grand public. On sélectionne sur trois critères. On refuse environ 7 candidatures sur 10.</w:t>
      </w:r>
    </w:p>
    <w:p>
      <w:pPr>
        <w:pStyle w:val="Heading3"/>
        <w:spacing w:after="120" w:before="240"/>
      </w:pPr>
      <w:r>
        <w:rPr>
          <w:rFonts w:ascii="Calibri" w:cs="Calibri" w:eastAsia="Calibri" w:hAnsi="Calibri"/>
          <w:b/>
          <w:bCs/>
          <w:color w:val="0A0A0A"/>
          <w:sz w:val="24"/>
          <w:szCs w:val="24"/>
        </w:rPr>
        <w:t xml:space="preserve">Critère 01 — Capacité d'investissement</w:t>
      </w:r>
    </w:p>
    <w:p>
      <w:pPr>
        <w:spacing w:after="120" w:line="320"/>
        <w:jc w:val="left"/>
      </w:pPr>
      <w:r>
        <w:rPr>
          <w:rFonts w:ascii="Calibri" w:cs="Calibri" w:eastAsia="Calibri" w:hAnsi="Calibri"/>
          <w:b w:val="false"/>
          <w:bCs w:val="false"/>
          <w:i w:val="false"/>
          <w:iCs w:val="false"/>
          <w:color w:val="1A1A1A"/>
          <w:sz w:val="22"/>
          <w:szCs w:val="22"/>
        </w:rPr>
        <w:t xml:space="preserve">Vous disposez de fonds propres mobilisables sur 6 à 18 mois, ou vous êtes prêt à apporter du sourcing terrain en contrepartie d'une participation au deal.</w:t>
      </w:r>
    </w:p>
    <w:p>
      <w:pPr>
        <w:pStyle w:val="Heading3"/>
        <w:spacing w:after="120" w:before="240"/>
      </w:pPr>
      <w:r>
        <w:rPr>
          <w:rFonts w:ascii="Calibri" w:cs="Calibri" w:eastAsia="Calibri" w:hAnsi="Calibri"/>
          <w:b/>
          <w:bCs/>
          <w:color w:val="0A0A0A"/>
          <w:sz w:val="24"/>
          <w:szCs w:val="24"/>
        </w:rPr>
        <w:t xml:space="preserve">Critère 02 — Disponibilité réelle</w:t>
      </w:r>
    </w:p>
    <w:p>
      <w:pPr>
        <w:spacing w:after="120" w:line="320"/>
        <w:jc w:val="left"/>
      </w:pPr>
      <w:r>
        <w:rPr>
          <w:rFonts w:ascii="Calibri" w:cs="Calibri" w:eastAsia="Calibri" w:hAnsi="Calibri"/>
          <w:b w:val="false"/>
          <w:bCs w:val="false"/>
          <w:i w:val="false"/>
          <w:iCs w:val="false"/>
          <w:color w:val="1A1A1A"/>
          <w:sz w:val="22"/>
          <w:szCs w:val="22"/>
        </w:rPr>
        <w:t xml:space="preserve">L'immobilier ne se fait pas en weekends. Vous avez du temps à consacrer aux opérations, ou vous acceptez de déléguer pleinement via le club deal.</w:t>
      </w:r>
    </w:p>
    <w:p>
      <w:pPr>
        <w:pStyle w:val="Heading3"/>
        <w:spacing w:after="120" w:before="240"/>
      </w:pPr>
      <w:r>
        <w:rPr>
          <w:rFonts w:ascii="Calibri" w:cs="Calibri" w:eastAsia="Calibri" w:hAnsi="Calibri"/>
          <w:b/>
          <w:bCs/>
          <w:color w:val="0A0A0A"/>
          <w:sz w:val="24"/>
          <w:szCs w:val="24"/>
        </w:rPr>
        <w:t xml:space="preserve">Critère 03 — Profil opérateur</w:t>
      </w:r>
    </w:p>
    <w:p>
      <w:pPr>
        <w:spacing w:after="120" w:line="320"/>
        <w:jc w:val="left"/>
      </w:pPr>
      <w:r>
        <w:rPr>
          <w:rFonts w:ascii="Calibri" w:cs="Calibri" w:eastAsia="Calibri" w:hAnsi="Calibri"/>
          <w:b w:val="false"/>
          <w:bCs w:val="false"/>
          <w:i w:val="false"/>
          <w:iCs w:val="false"/>
          <w:color w:val="1A1A1A"/>
          <w:sz w:val="22"/>
          <w:szCs w:val="22"/>
        </w:rPr>
        <w:t xml:space="preserve">Vous voulez exécuter, pas seulement comprendre. On ne forme pas pour former. On apprend en faisant.</w:t>
      </w:r>
    </w:p>
    <w:p>
      <w:pPr>
        <w:spacing w:after="80" w:before="200"/>
      </w:pPr>
      <w:r>
        <w:rPr>
          <w:rFonts w:ascii="Calibri" w:cs="Calibri" w:eastAsia="Calibri" w:hAnsi="Calibri"/>
          <w:b/>
          <w:bCs/>
          <w:color w:val="E85D29"/>
          <w:sz w:val="22"/>
          <w:szCs w:val="22"/>
        </w:rPr>
        <w:t xml:space="preserve">Phrase de clôture (sobre)</w:t>
      </w:r>
    </w:p>
    <w:p>
      <w:pPr>
        <w:spacing w:after="120" w:line="320"/>
        <w:jc w:val="left"/>
      </w:pPr>
      <w:r>
        <w:rPr>
          <w:rFonts w:ascii="Calibri" w:cs="Calibri" w:eastAsia="Calibri" w:hAnsi="Calibri"/>
          <w:b w:val="false"/>
          <w:bCs w:val="false"/>
          <w:i w:val="false"/>
          <w:iCs w:val="false"/>
          <w:color w:val="1A1A1A"/>
          <w:sz w:val="22"/>
          <w:szCs w:val="22"/>
        </w:rPr>
        <w:t xml:space="preserve">Si vous cochez les trois, candidatez. Si vous n'en cochez qu'un ou deux, écrivez-nous quand même, on verra ensemble.</w:t>
      </w:r>
    </w:p>
    <w:p>
      <w:pPr>
        <w:pStyle w:val="Heading2"/>
        <w:spacing w:after="160" w:before="320"/>
      </w:pPr>
      <w:r>
        <w:rPr>
          <w:rFonts w:ascii="Calibri" w:cs="Calibri" w:eastAsia="Calibri" w:hAnsi="Calibri"/>
          <w:b/>
          <w:bCs/>
          <w:color w:val="0A0A0A"/>
          <w:sz w:val="28"/>
          <w:szCs w:val="28"/>
        </w:rPr>
        <w:t xml:space="preserve">5.7 — Candidater</w:t>
      </w:r>
    </w:p>
    <w:p>
      <w:pPr>
        <w:spacing w:after="80" w:before="200"/>
      </w:pPr>
      <w:r>
        <w:rPr>
          <w:rFonts w:ascii="Calibri" w:cs="Calibri" w:eastAsia="Calibri" w:hAnsi="Calibri"/>
          <w:b/>
          <w:bCs/>
          <w:color w:val="E85D29"/>
          <w:sz w:val="22"/>
          <w:szCs w:val="22"/>
        </w:rPr>
        <w:t xml:space="preserve">Surtitre</w:t>
      </w:r>
    </w:p>
    <w:p>
      <w:pPr>
        <w:spacing w:after="120" w:line="320"/>
        <w:jc w:val="left"/>
      </w:pPr>
      <w:r>
        <w:rPr>
          <w:rFonts w:ascii="Consolas" w:cs="Consolas" w:eastAsia="Consolas" w:hAnsi="Consolas"/>
          <w:b w:val="false"/>
          <w:bCs w:val="false"/>
          <w:i w:val="false"/>
          <w:iCs w:val="false"/>
          <w:color w:val="E85D29"/>
          <w:sz w:val="22"/>
          <w:szCs w:val="22"/>
        </w:rPr>
        <w:t xml:space="preserve">06 · L'étape suivante</w:t>
      </w:r>
    </w:p>
    <w:p>
      <w:pPr>
        <w:spacing w:after="80" w:before="200"/>
      </w:pPr>
      <w:r>
        <w:rPr>
          <w:rFonts w:ascii="Calibri" w:cs="Calibri" w:eastAsia="Calibri" w:hAnsi="Calibri"/>
          <w:b/>
          <w:bCs/>
          <w:color w:val="E85D29"/>
          <w:sz w:val="22"/>
          <w:szCs w:val="22"/>
        </w:rPr>
        <w:t xml:space="preserve">Titre</w:t>
      </w:r>
    </w:p>
    <w:p>
      <w:pPr>
        <w:pBdr>
          <w:left w:val="single" w:color="E85D29" w:sz="12" w:space="12"/>
        </w:pBdr>
        <w:spacing w:after="160" w:before="160" w:line="340"/>
        <w:ind w:left="360"/>
        <w:jc w:val="left"/>
      </w:pPr>
      <w:r>
        <w:rPr>
          <w:rFonts w:ascii="Calibri" w:cs="Calibri" w:eastAsia="Calibri" w:hAnsi="Calibri"/>
          <w:i/>
          <w:iCs/>
          <w:color w:val="1A1A1A"/>
          <w:sz w:val="24"/>
          <w:szCs w:val="24"/>
        </w:rPr>
        <w:t xml:space="preserve">Une candidature lue par l'équipe. Pas par un bot.</w:t>
      </w:r>
    </w:p>
    <w:p>
      <w:pPr>
        <w:pStyle w:val="Heading3"/>
        <w:spacing w:after="120" w:before="240"/>
      </w:pPr>
      <w:r>
        <w:rPr>
          <w:rFonts w:ascii="Calibri" w:cs="Calibri" w:eastAsia="Calibri" w:hAnsi="Calibri"/>
          <w:b/>
          <w:bCs/>
          <w:color w:val="0A0A0A"/>
          <w:sz w:val="24"/>
          <w:szCs w:val="24"/>
        </w:rPr>
        <w:t xml:space="preserve">Champs du formulaire</w:t>
      </w:r>
    </w:p>
    <w:p>
      <w:pPr>
        <w:pStyle w:val="ListParagraph"/>
        <w:numPr>
          <w:ilvl w:val="0"/>
          <w:numId w:val="2"/>
        </w:numPr>
        <w:spacing w:after="80" w:line="300"/>
      </w:pPr>
      <w:r>
        <w:rPr>
          <w:rFonts w:ascii="Calibri" w:cs="Calibri" w:eastAsia="Calibri" w:hAnsi="Calibri"/>
          <w:color w:val="1A1A1A"/>
          <w:sz w:val="22"/>
          <w:szCs w:val="22"/>
        </w:rPr>
        <w:t xml:space="preserve">Nom · Prénom (texte court, requis).</w:t>
      </w:r>
    </w:p>
    <w:p>
      <w:pPr>
        <w:pStyle w:val="ListParagraph"/>
        <w:numPr>
          <w:ilvl w:val="0"/>
          <w:numId w:val="2"/>
        </w:numPr>
        <w:spacing w:after="80" w:line="300"/>
      </w:pPr>
      <w:r>
        <w:rPr>
          <w:rFonts w:ascii="Calibri" w:cs="Calibri" w:eastAsia="Calibri" w:hAnsi="Calibri"/>
          <w:color w:val="1A1A1A"/>
          <w:sz w:val="22"/>
          <w:szCs w:val="22"/>
        </w:rPr>
        <w:t xml:space="preserve">Email (requis, validation format).</w:t>
      </w:r>
    </w:p>
    <w:p>
      <w:pPr>
        <w:pStyle w:val="ListParagraph"/>
        <w:numPr>
          <w:ilvl w:val="0"/>
          <w:numId w:val="2"/>
        </w:numPr>
        <w:spacing w:after="80" w:line="300"/>
      </w:pPr>
      <w:r>
        <w:rPr>
          <w:rFonts w:ascii="Calibri" w:cs="Calibri" w:eastAsia="Calibri" w:hAnsi="Calibri"/>
          <w:color w:val="1A1A1A"/>
          <w:sz w:val="22"/>
          <w:szCs w:val="22"/>
        </w:rPr>
        <w:t xml:space="preserve">Téléphone (optionnel).</w:t>
      </w:r>
    </w:p>
    <w:p>
      <w:pPr>
        <w:pStyle w:val="ListParagraph"/>
        <w:numPr>
          <w:ilvl w:val="0"/>
          <w:numId w:val="2"/>
        </w:numPr>
        <w:spacing w:after="80" w:line="300"/>
      </w:pPr>
      <w:r>
        <w:rPr>
          <w:rFonts w:ascii="Calibri" w:cs="Calibri" w:eastAsia="Calibri" w:hAnsi="Calibri"/>
          <w:color w:val="1A1A1A"/>
          <w:sz w:val="22"/>
          <w:szCs w:val="22"/>
        </w:rPr>
        <w:t xml:space="preserve">Ville et pays (texte libre, requis).</w:t>
      </w:r>
    </w:p>
    <w:p>
      <w:pPr>
        <w:pStyle w:val="ListParagraph"/>
        <w:numPr>
          <w:ilvl w:val="0"/>
          <w:numId w:val="2"/>
        </w:numPr>
        <w:spacing w:after="80" w:line="300"/>
      </w:pPr>
      <w:r>
        <w:rPr>
          <w:rFonts w:ascii="Calibri" w:cs="Calibri" w:eastAsia="Calibri" w:hAnsi="Calibri"/>
          <w:color w:val="1A1A1A"/>
          <w:sz w:val="22"/>
          <w:szCs w:val="22"/>
        </w:rPr>
        <w:t xml:space="preserve">Profil actuel (radio, requis) : Investisseur locatif · Marchand de biens débutant · Marchand de biens confirmé · Investisseur cash dormant · Autre.</w:t>
      </w:r>
    </w:p>
    <w:p>
      <w:pPr>
        <w:pStyle w:val="ListParagraph"/>
        <w:numPr>
          <w:ilvl w:val="0"/>
          <w:numId w:val="2"/>
        </w:numPr>
        <w:spacing w:after="80" w:line="300"/>
      </w:pPr>
      <w:r>
        <w:rPr>
          <w:rFonts w:ascii="Calibri" w:cs="Calibri" w:eastAsia="Calibri" w:hAnsi="Calibri"/>
          <w:color w:val="1A1A1A"/>
          <w:sz w:val="22"/>
          <w:szCs w:val="22"/>
        </w:rPr>
        <w:t xml:space="preserve">Capacité d'investissement (radio, requis) : moins de 50k · 50k à 150k · 150k à 500k · plus de 500k · Sourcing terrain plutôt que cash.</w:t>
      </w:r>
    </w:p>
    <w:p>
      <w:pPr>
        <w:pStyle w:val="ListParagraph"/>
        <w:numPr>
          <w:ilvl w:val="0"/>
          <w:numId w:val="2"/>
        </w:numPr>
        <w:spacing w:after="80" w:line="300"/>
      </w:pPr>
      <w:r>
        <w:rPr>
          <w:rFonts w:ascii="Calibri" w:cs="Calibri" w:eastAsia="Calibri" w:hAnsi="Calibri"/>
          <w:color w:val="1A1A1A"/>
          <w:sz w:val="22"/>
          <w:szCs w:val="22"/>
        </w:rPr>
        <w:t xml:space="preserve">En une ligne, qu'est-ce que vous voulez accomplir dans les 12 mois ? (texte libre, 200 caractères max, requis).</w:t>
      </w:r>
    </w:p>
    <w:p>
      <w:pPr>
        <w:spacing w:after="80" w:before="200"/>
      </w:pPr>
      <w:r>
        <w:rPr>
          <w:rFonts w:ascii="Calibri" w:cs="Calibri" w:eastAsia="Calibri" w:hAnsi="Calibri"/>
          <w:b/>
          <w:bCs/>
          <w:color w:val="E85D29"/>
          <w:sz w:val="22"/>
          <w:szCs w:val="22"/>
        </w:rPr>
        <w:t xml:space="preserve">Bouton final (orange plein, taille XL)</w:t>
      </w:r>
    </w:p>
    <w:p>
      <w:pPr>
        <w:spacing w:after="120" w:line="320"/>
        <w:jc w:val="left"/>
      </w:pPr>
      <w:r>
        <w:rPr>
          <w:rFonts w:ascii="Calibri" w:cs="Calibri" w:eastAsia="Calibri" w:hAnsi="Calibri"/>
          <w:b/>
          <w:bCs/>
          <w:i w:val="false"/>
          <w:iCs w:val="false"/>
          <w:color w:val="1A1A1A"/>
          <w:sz w:val="22"/>
          <w:szCs w:val="22"/>
        </w:rPr>
        <w:t xml:space="preserve">Envoyer ma candidature</w:t>
      </w:r>
    </w:p>
    <w:p>
      <w:pPr>
        <w:spacing w:after="80" w:before="200"/>
      </w:pPr>
      <w:r>
        <w:rPr>
          <w:rFonts w:ascii="Calibri" w:cs="Calibri" w:eastAsia="Calibri" w:hAnsi="Calibri"/>
          <w:b/>
          <w:bCs/>
          <w:color w:val="E85D29"/>
          <w:sz w:val="22"/>
          <w:szCs w:val="22"/>
        </w:rPr>
        <w:t xml:space="preserve">Note sous le bouton (gris, taille 13px)</w:t>
      </w:r>
    </w:p>
    <w:p>
      <w:pPr>
        <w:spacing w:after="120" w:line="320"/>
        <w:jc w:val="left"/>
      </w:pPr>
      <w:r>
        <w:rPr>
          <w:rFonts w:ascii="Calibri" w:cs="Calibri" w:eastAsia="Calibri" w:hAnsi="Calibri"/>
          <w:b w:val="false"/>
          <w:bCs w:val="false"/>
          <w:i w:val="false"/>
          <w:iCs w:val="false"/>
          <w:color w:val="1A1A1A"/>
          <w:sz w:val="22"/>
          <w:szCs w:val="22"/>
        </w:rPr>
        <w:t xml:space="preserve">Réponse sous 7 jours ouvrés. Si la candidature est retenue, vous êtes rappelé pour un échange de 30 minutes.</w:t>
      </w:r>
    </w:p>
    <w:p>
      <w:pPr>
        <w:pStyle w:val="Heading2"/>
        <w:spacing w:after="160" w:before="320"/>
      </w:pPr>
      <w:r>
        <w:rPr>
          <w:rFonts w:ascii="Calibri" w:cs="Calibri" w:eastAsia="Calibri" w:hAnsi="Calibri"/>
          <w:b/>
          <w:bCs/>
          <w:color w:val="0A0A0A"/>
          <w:sz w:val="28"/>
          <w:szCs w:val="28"/>
        </w:rPr>
        <w:t xml:space="preserve">5.8 — Footer</w:t>
      </w:r>
    </w:p>
    <w:p>
      <w:pPr>
        <w:spacing w:after="80" w:before="200"/>
      </w:pPr>
      <w:r>
        <w:rPr>
          <w:rFonts w:ascii="Calibri" w:cs="Calibri" w:eastAsia="Calibri" w:hAnsi="Calibri"/>
          <w:b/>
          <w:bCs/>
          <w:color w:val="E85D29"/>
          <w:sz w:val="22"/>
          <w:szCs w:val="22"/>
        </w:rPr>
        <w:t xml:space="preserve">Bloc identité</w:t>
      </w:r>
    </w:p>
    <w:p>
      <w:pPr>
        <w:spacing w:after="120" w:line="320"/>
        <w:jc w:val="left"/>
      </w:pPr>
      <w:r>
        <w:rPr>
          <w:rFonts w:ascii="Calibri" w:cs="Calibri" w:eastAsia="Calibri" w:hAnsi="Calibri"/>
          <w:b/>
          <w:bCs/>
          <w:i w:val="false"/>
          <w:iCs w:val="false"/>
          <w:color w:val="1A1A1A"/>
          <w:sz w:val="22"/>
          <w:szCs w:val="22"/>
        </w:rPr>
        <w:t xml:space="preserve">NASSIM BOUKROUH</w:t>
      </w:r>
    </w:p>
    <w:p>
      <w:pPr>
        <w:spacing w:after="120" w:line="320"/>
        <w:jc w:val="left"/>
      </w:pPr>
      <w:r>
        <w:rPr>
          <w:rFonts w:ascii="Calibri" w:cs="Calibri" w:eastAsia="Calibri" w:hAnsi="Calibri"/>
          <w:b w:val="false"/>
          <w:bCs w:val="false"/>
          <w:i w:val="false"/>
          <w:iCs w:val="false"/>
          <w:color w:val="1A1A1A"/>
          <w:sz w:val="22"/>
          <w:szCs w:val="22"/>
        </w:rPr>
        <w:t xml:space="preserve">Marchand de biens · Cofondateur UMDB</w:t>
      </w:r>
    </w:p>
    <w:p>
      <w:pPr>
        <w:spacing w:after="80" w:before="200"/>
      </w:pPr>
      <w:r>
        <w:rPr>
          <w:rFonts w:ascii="Calibri" w:cs="Calibri" w:eastAsia="Calibri" w:hAnsi="Calibri"/>
          <w:b/>
          <w:bCs/>
          <w:color w:val="E85D29"/>
          <w:sz w:val="22"/>
          <w:szCs w:val="22"/>
        </w:rPr>
        <w:t xml:space="preserve">Liens externes</w:t>
      </w:r>
    </w:p>
    <w:p>
      <w:pPr>
        <w:spacing w:after="120" w:line="320"/>
        <w:jc w:val="left"/>
      </w:pPr>
      <w:r>
        <w:rPr>
          <w:rFonts w:ascii="Calibri" w:cs="Calibri" w:eastAsia="Calibri" w:hAnsi="Calibri"/>
          <w:b w:val="false"/>
          <w:bCs w:val="false"/>
          <w:i w:val="false"/>
          <w:iCs w:val="false"/>
          <w:color w:val="1A1A1A"/>
          <w:sz w:val="22"/>
          <w:szCs w:val="22"/>
        </w:rPr>
        <w:t xml:space="preserve">umdb.fr · LinkedIn · Instagram · YouTube</w:t>
      </w:r>
    </w:p>
    <w:p>
      <w:pPr>
        <w:spacing w:after="80" w:before="200"/>
      </w:pPr>
      <w:r>
        <w:rPr>
          <w:rFonts w:ascii="Calibri" w:cs="Calibri" w:eastAsia="Calibri" w:hAnsi="Calibri"/>
          <w:b/>
          <w:bCs/>
          <w:color w:val="E85D29"/>
          <w:sz w:val="22"/>
          <w:szCs w:val="22"/>
        </w:rPr>
        <w:t xml:space="preserve">Contact</w:t>
      </w:r>
    </w:p>
    <w:p>
      <w:pPr>
        <w:spacing w:after="120" w:line="320"/>
        <w:jc w:val="left"/>
      </w:pPr>
      <w:r>
        <w:rPr>
          <w:rFonts w:ascii="Calibri" w:cs="Calibri" w:eastAsia="Calibri" w:hAnsi="Calibri"/>
          <w:b w:val="false"/>
          <w:bCs w:val="false"/>
          <w:i w:val="false"/>
          <w:iCs w:val="false"/>
          <w:color w:val="1A1A1A"/>
          <w:sz w:val="22"/>
          <w:szCs w:val="22"/>
        </w:rPr>
        <w:t xml:space="preserve">contact@nassimboukrouh.com</w:t>
      </w:r>
    </w:p>
    <w:p>
      <w:pPr>
        <w:spacing w:after="80" w:before="200"/>
      </w:pPr>
      <w:r>
        <w:rPr>
          <w:rFonts w:ascii="Calibri" w:cs="Calibri" w:eastAsia="Calibri" w:hAnsi="Calibri"/>
          <w:b/>
          <w:bCs/>
          <w:color w:val="E85D29"/>
          <w:sz w:val="22"/>
          <w:szCs w:val="22"/>
        </w:rPr>
        <w:t xml:space="preserve">Légal</w:t>
      </w:r>
    </w:p>
    <w:p>
      <w:pPr>
        <w:spacing w:after="120" w:line="320"/>
        <w:jc w:val="left"/>
      </w:pPr>
      <w:r>
        <w:rPr>
          <w:rFonts w:ascii="Calibri" w:cs="Calibri" w:eastAsia="Calibri" w:hAnsi="Calibri"/>
          <w:b w:val="false"/>
          <w:bCs w:val="false"/>
          <w:i w:val="false"/>
          <w:iCs w:val="false"/>
          <w:color w:val="1A1A1A"/>
          <w:sz w:val="22"/>
          <w:szCs w:val="22"/>
        </w:rPr>
        <w:t xml:space="preserve">Mentions légales · Politique de confidentialité · © 2026 Nassim Boukrouh. Tous droits réservés.</w:t>
      </w:r>
    </w:p>
    <w:p>
      <w:r>
        <w:br w:type="page"/>
      </w:r>
    </w:p>
    <w:p>
      <w:pPr>
        <w:pStyle w:val="Heading1"/>
        <w:spacing w:after="200" w:before="360"/>
      </w:pPr>
      <w:r>
        <w:rPr>
          <w:rFonts w:ascii="Calibri" w:cs="Calibri" w:eastAsia="Calibri" w:hAnsi="Calibri"/>
          <w:b/>
          <w:bCs/>
          <w:color w:val="0A0A0A"/>
          <w:sz w:val="36"/>
          <w:szCs w:val="36"/>
        </w:rPr>
        <w:t xml:space="preserve">6. Charte visuelle</w:t>
      </w:r>
    </w:p>
    <w:p>
      <w:pPr>
        <w:pStyle w:val="Heading2"/>
        <w:spacing w:after="160" w:before="320"/>
      </w:pPr>
      <w:r>
        <w:rPr>
          <w:rFonts w:ascii="Calibri" w:cs="Calibri" w:eastAsia="Calibri" w:hAnsi="Calibri"/>
          <w:b/>
          <w:bCs/>
          <w:color w:val="0A0A0A"/>
          <w:sz w:val="28"/>
          <w:szCs w:val="28"/>
        </w:rPr>
        <w:t xml:space="preserve">6.1 — Palette de couleurs</w:t>
      </w:r>
    </w:p>
    <w:p>
      <w:pPr>
        <w:spacing w:after="120" w:line="320"/>
        <w:jc w:val="left"/>
      </w:pPr>
      <w:r>
        <w:rPr>
          <w:rFonts w:ascii="Calibri" w:cs="Calibri" w:eastAsia="Calibri" w:hAnsi="Calibri"/>
          <w:b w:val="false"/>
          <w:bCs w:val="false"/>
          <w:i w:val="false"/>
          <w:iCs w:val="false"/>
          <w:color w:val="1A1A1A"/>
          <w:sz w:val="22"/>
          <w:szCs w:val="22"/>
        </w:rPr>
        <w:t xml:space="preserve">Palette resserrée à 4 familles. Pas de vert, pas de bleu. Le noir domine, le gris structure, le blanc cassé porte le texte, l'orange accentue.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526"/>
      </w:tblGrid>
      <w:tr>
        <w:trPr>
          <w:tblHeader/>
        </w:trPr>
        <w:tc>
          <w:tcPr>
            <w:tcW w:type="dxa" w:w="2500"/>
            <w:tcBorders>
              <w:top w:val="single" w:color="CCCCCC" w:sz="4"/>
              <w:left w:val="single" w:color="CCCCCC" w:sz="4"/>
              <w:bottom w:val="single" w:color="CCCCCC" w:sz="4"/>
              <w:right w:val="single" w:color="CCCCCC" w:sz="4"/>
            </w:tcBorders>
            <w:shd w:fill="0A0A0A" w:color="auto" w:val="clear"/>
            <w:tcMar>
              <w:top w:type="dxa" w:w="120"/>
              <w:left w:type="dxa" w:w="160"/>
              <w:bottom w:type="dxa" w:w="120"/>
              <w:right w:type="dxa" w:w="160"/>
            </w:tcMar>
          </w:tcPr>
          <w:p>
            <w:pPr>
              <w:jc w:val="left"/>
            </w:pPr>
            <w:r>
              <w:rPr>
                <w:rFonts w:ascii="Calibri" w:cs="Calibri" w:eastAsia="Calibri" w:hAnsi="Calibri"/>
                <w:b/>
                <w:bCs/>
                <w:color w:val="F5F5F0"/>
                <w:sz w:val="20"/>
                <w:szCs w:val="20"/>
              </w:rPr>
              <w:t xml:space="preserve">Usage</w:t>
            </w:r>
          </w:p>
        </w:tc>
        <w:tc>
          <w:tcPr>
            <w:tcW w:type="dxa" w:w="2500"/>
            <w:tcBorders>
              <w:top w:val="single" w:color="CCCCCC" w:sz="4"/>
              <w:left w:val="single" w:color="CCCCCC" w:sz="4"/>
              <w:bottom w:val="single" w:color="CCCCCC" w:sz="4"/>
              <w:right w:val="single" w:color="CCCCCC" w:sz="4"/>
            </w:tcBorders>
            <w:shd w:fill="0A0A0A" w:color="auto" w:val="clear"/>
            <w:tcMar>
              <w:top w:type="dxa" w:w="120"/>
              <w:left w:type="dxa" w:w="160"/>
              <w:bottom w:type="dxa" w:w="120"/>
              <w:right w:type="dxa" w:w="160"/>
            </w:tcMar>
          </w:tcPr>
          <w:p>
            <w:pPr>
              <w:jc w:val="left"/>
            </w:pPr>
            <w:r>
              <w:rPr>
                <w:rFonts w:ascii="Calibri" w:cs="Calibri" w:eastAsia="Calibri" w:hAnsi="Calibri"/>
                <w:b/>
                <w:bCs/>
                <w:color w:val="F5F5F0"/>
                <w:sz w:val="20"/>
                <w:szCs w:val="20"/>
              </w:rPr>
              <w:t xml:space="preserve">Nom</w:t>
            </w:r>
          </w:p>
        </w:tc>
        <w:tc>
          <w:tcPr>
            <w:tcW w:type="dxa" w:w="1500"/>
            <w:tcBorders>
              <w:top w:val="single" w:color="CCCCCC" w:sz="4"/>
              <w:left w:val="single" w:color="CCCCCC" w:sz="4"/>
              <w:bottom w:val="single" w:color="CCCCCC" w:sz="4"/>
              <w:right w:val="single" w:color="CCCCCC" w:sz="4"/>
            </w:tcBorders>
            <w:shd w:fill="0A0A0A" w:color="auto" w:val="clear"/>
            <w:tcMar>
              <w:top w:type="dxa" w:w="120"/>
              <w:left w:type="dxa" w:w="160"/>
              <w:bottom w:type="dxa" w:w="120"/>
              <w:right w:type="dxa" w:w="160"/>
            </w:tcMar>
          </w:tcPr>
          <w:p>
            <w:pPr>
              <w:jc w:val="center"/>
            </w:pPr>
            <w:r>
              <w:rPr>
                <w:rFonts w:ascii="Calibri" w:cs="Calibri" w:eastAsia="Calibri" w:hAnsi="Calibri"/>
                <w:b/>
                <w:bCs/>
                <w:color w:val="F5F5F0"/>
                <w:sz w:val="20"/>
                <w:szCs w:val="20"/>
              </w:rPr>
              <w:t xml:space="preserve">Hex</w:t>
            </w:r>
          </w:p>
        </w:tc>
        <w:tc>
          <w:tcPr>
            <w:tcW w:type="dxa" w:w="2526"/>
            <w:tcBorders>
              <w:top w:val="single" w:color="CCCCCC" w:sz="4"/>
              <w:left w:val="single" w:color="CCCCCC" w:sz="4"/>
              <w:bottom w:val="single" w:color="CCCCCC" w:sz="4"/>
              <w:right w:val="single" w:color="CCCCCC" w:sz="4"/>
            </w:tcBorders>
            <w:shd w:fill="0A0A0A" w:color="auto" w:val="clear"/>
            <w:tcMar>
              <w:top w:type="dxa" w:w="120"/>
              <w:left w:type="dxa" w:w="160"/>
              <w:bottom w:type="dxa" w:w="120"/>
              <w:right w:type="dxa" w:w="160"/>
            </w:tcMar>
          </w:tcPr>
          <w:p>
            <w:pPr>
              <w:jc w:val="center"/>
            </w:pPr>
            <w:r>
              <w:rPr>
                <w:rFonts w:ascii="Calibri" w:cs="Calibri" w:eastAsia="Calibri" w:hAnsi="Calibri"/>
                <w:b/>
                <w:bCs/>
                <w:color w:val="F5F5F0"/>
                <w:sz w:val="20"/>
                <w:szCs w:val="20"/>
              </w:rPr>
              <w:t xml:space="preserve">Échantillon</w:t>
            </w:r>
          </w:p>
        </w:tc>
      </w:tr>
      <w:tr>
        <w:tc>
          <w:tcPr>
            <w:tcW w:type="dxa" w:w="2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Fond dominant</w:t>
            </w:r>
          </w:p>
        </w:tc>
        <w:tc>
          <w:tcPr>
            <w:tcW w:type="dxa" w:w="2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0"/>
                <w:szCs w:val="20"/>
              </w:rPr>
              <w:t xml:space="preserve">Noir profond</w:t>
            </w:r>
          </w:p>
        </w:tc>
        <w:tc>
          <w:tcPr>
            <w:tcW w:type="dxa" w:w="15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Consolas" w:cs="Consolas" w:eastAsia="Consolas" w:hAnsi="Consolas"/>
                <w:color w:val="1A1A1A"/>
                <w:sz w:val="20"/>
                <w:szCs w:val="20"/>
              </w:rPr>
              <w:t xml:space="preserve">#0A0A0A</w:t>
            </w:r>
          </w:p>
        </w:tc>
        <w:tc>
          <w:tcPr>
            <w:tcW w:type="dxa" w:w="2526"/>
            <w:tcBorders>
              <w:top w:val="single" w:color="CCCCCC" w:sz="4"/>
              <w:left w:val="single" w:color="CCCCCC" w:sz="4"/>
              <w:bottom w:val="single" w:color="CCCCCC" w:sz="4"/>
              <w:right w:val="single" w:color="CCCCCC" w:sz="4"/>
            </w:tcBorders>
            <w:shd w:fill="0A0A0A" w:color="auto" w:val="clear"/>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Surface secondaire</w:t>
            </w:r>
          </w:p>
        </w:tc>
        <w:tc>
          <w:tcPr>
            <w:tcW w:type="dxa" w:w="2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0"/>
                <w:szCs w:val="20"/>
              </w:rPr>
              <w:t xml:space="preserve">Gris charbon</w:t>
            </w:r>
          </w:p>
        </w:tc>
        <w:tc>
          <w:tcPr>
            <w:tcW w:type="dxa" w:w="15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Consolas" w:cs="Consolas" w:eastAsia="Consolas" w:hAnsi="Consolas"/>
                <w:color w:val="1A1A1A"/>
                <w:sz w:val="20"/>
                <w:szCs w:val="20"/>
              </w:rPr>
              <w:t xml:space="preserve">#1A1A1A</w:t>
            </w:r>
          </w:p>
        </w:tc>
        <w:tc>
          <w:tcPr>
            <w:tcW w:type="dxa" w:w="2526"/>
            <w:tcBorders>
              <w:top w:val="single" w:color="CCCCCC" w:sz="4"/>
              <w:left w:val="single" w:color="CCCCCC" w:sz="4"/>
              <w:bottom w:val="single" w:color="CCCCCC" w:sz="4"/>
              <w:right w:val="single" w:color="CCCCCC" w:sz="4"/>
            </w:tcBorders>
            <w:shd w:fill="1A1A1A" w:color="auto" w:val="clear"/>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Hairlines, séparateurs</w:t>
            </w:r>
          </w:p>
        </w:tc>
        <w:tc>
          <w:tcPr>
            <w:tcW w:type="dxa" w:w="2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0"/>
                <w:szCs w:val="20"/>
              </w:rPr>
              <w:t xml:space="preserve">Gris ardoise</w:t>
            </w:r>
          </w:p>
        </w:tc>
        <w:tc>
          <w:tcPr>
            <w:tcW w:type="dxa" w:w="15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Consolas" w:cs="Consolas" w:eastAsia="Consolas" w:hAnsi="Consolas"/>
                <w:color w:val="1A1A1A"/>
                <w:sz w:val="20"/>
                <w:szCs w:val="20"/>
              </w:rPr>
              <w:t xml:space="preserve">#2A2A2A</w:t>
            </w:r>
          </w:p>
        </w:tc>
        <w:tc>
          <w:tcPr>
            <w:tcW w:type="dxa" w:w="2526"/>
            <w:tcBorders>
              <w:top w:val="single" w:color="CCCCCC" w:sz="4"/>
              <w:left w:val="single" w:color="CCCCCC" w:sz="4"/>
              <w:bottom w:val="single" w:color="CCCCCC" w:sz="4"/>
              <w:right w:val="single" w:color="CCCCCC" w:sz="4"/>
            </w:tcBorders>
            <w:shd w:fill="2A2A2A" w:color="auto" w:val="clear"/>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Texte secondaire</w:t>
            </w:r>
          </w:p>
        </w:tc>
        <w:tc>
          <w:tcPr>
            <w:tcW w:type="dxa" w:w="2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0"/>
                <w:szCs w:val="20"/>
              </w:rPr>
              <w:t xml:space="preserve">Gris clair</w:t>
            </w:r>
          </w:p>
        </w:tc>
        <w:tc>
          <w:tcPr>
            <w:tcW w:type="dxa" w:w="15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Consolas" w:cs="Consolas" w:eastAsia="Consolas" w:hAnsi="Consolas"/>
                <w:color w:val="1A1A1A"/>
                <w:sz w:val="20"/>
                <w:szCs w:val="20"/>
              </w:rPr>
              <w:t xml:space="preserve">#A8A8A0</w:t>
            </w:r>
          </w:p>
        </w:tc>
        <w:tc>
          <w:tcPr>
            <w:tcW w:type="dxa" w:w="2526"/>
            <w:tcBorders>
              <w:top w:val="single" w:color="CCCCCC" w:sz="4"/>
              <w:left w:val="single" w:color="CCCCCC" w:sz="4"/>
              <w:bottom w:val="single" w:color="CCCCCC" w:sz="4"/>
              <w:right w:val="single" w:color="CCCCCC" w:sz="4"/>
            </w:tcBorders>
            <w:shd w:fill="A8A8A0" w:color="auto" w:val="clear"/>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Texte primaire</w:t>
            </w:r>
          </w:p>
        </w:tc>
        <w:tc>
          <w:tcPr>
            <w:tcW w:type="dxa" w:w="2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0"/>
                <w:szCs w:val="20"/>
              </w:rPr>
              <w:t xml:space="preserve">Blanc cassé</w:t>
            </w:r>
          </w:p>
        </w:tc>
        <w:tc>
          <w:tcPr>
            <w:tcW w:type="dxa" w:w="15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Consolas" w:cs="Consolas" w:eastAsia="Consolas" w:hAnsi="Consolas"/>
                <w:color w:val="1A1A1A"/>
                <w:sz w:val="20"/>
                <w:szCs w:val="20"/>
              </w:rPr>
              <w:t xml:space="preserve">#F5F5F0</w:t>
            </w:r>
          </w:p>
        </w:tc>
        <w:tc>
          <w:tcPr>
            <w:tcW w:type="dxa" w:w="2526"/>
            <w:tcBorders>
              <w:top w:val="single" w:color="CCCCCC" w:sz="4"/>
              <w:left w:val="single" w:color="CCCCCC" w:sz="4"/>
              <w:bottom w:val="single" w:color="CCCCCC" w:sz="4"/>
              <w:right w:val="single" w:color="CCCCCC" w:sz="4"/>
            </w:tcBorders>
            <w:shd w:fill="F5F5F0" w:color="auto" w:val="clear"/>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Accent unique</w:t>
            </w:r>
          </w:p>
        </w:tc>
        <w:tc>
          <w:tcPr>
            <w:tcW w:type="dxa" w:w="2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0"/>
                <w:szCs w:val="20"/>
              </w:rPr>
              <w:t xml:space="preserve">Orange vermillon</w:t>
            </w:r>
          </w:p>
        </w:tc>
        <w:tc>
          <w:tcPr>
            <w:tcW w:type="dxa" w:w="15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Consolas" w:cs="Consolas" w:eastAsia="Consolas" w:hAnsi="Consolas"/>
                <w:color w:val="1A1A1A"/>
                <w:sz w:val="20"/>
                <w:szCs w:val="20"/>
              </w:rPr>
              <w:t xml:space="preserve">#E85D29</w:t>
            </w:r>
          </w:p>
        </w:tc>
        <w:tc>
          <w:tcPr>
            <w:tcW w:type="dxa" w:w="2526"/>
            <w:tcBorders>
              <w:top w:val="single" w:color="CCCCCC" w:sz="4"/>
              <w:left w:val="single" w:color="CCCCCC" w:sz="4"/>
              <w:bottom w:val="single" w:color="CCCCCC" w:sz="4"/>
              <w:right w:val="single" w:color="CCCCCC" w:sz="4"/>
            </w:tcBorders>
            <w:shd w:fill="E85D29" w:color="auto" w:val="clear"/>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
            </w:r>
          </w:p>
        </w:tc>
      </w:tr>
    </w:tbl>
    <w:p>
      <w:pPr>
        <w:spacing w:after="120"/>
      </w:pPr>
      <w:r>
        <w:t xml:space="preserve"/>
      </w:r>
    </w:p>
    <w:p>
      <w:pPr>
        <w:spacing w:after="120" w:line="320"/>
        <w:jc w:val="left"/>
      </w:pPr>
      <w:r>
        <w:rPr>
          <w:rFonts w:ascii="Calibri" w:cs="Calibri" w:eastAsia="Calibri" w:hAnsi="Calibri"/>
          <w:b w:val="false"/>
          <w:bCs w:val="false"/>
          <w:i/>
          <w:iCs/>
          <w:color w:val="1A1A1A"/>
          <w:sz w:val="22"/>
          <w:szCs w:val="22"/>
        </w:rPr>
        <w:t xml:space="preserve">Le gris charbon (#1A1A1A) sert de background sur les sections «Conditions d'entrée» et «Candidater» pour créer un rythme visuel sans rupture de palette.</w:t>
      </w:r>
    </w:p>
    <w:p>
      <w:pPr>
        <w:pStyle w:val="Heading2"/>
        <w:spacing w:after="160" w:before="320"/>
      </w:pPr>
      <w:r>
        <w:rPr>
          <w:rFonts w:ascii="Calibri" w:cs="Calibri" w:eastAsia="Calibri" w:hAnsi="Calibri"/>
          <w:b/>
          <w:bCs/>
          <w:color w:val="0A0A0A"/>
          <w:sz w:val="28"/>
          <w:szCs w:val="28"/>
        </w:rPr>
        <w:t xml:space="preserve">6.2 — Typographie</w:t>
      </w:r>
    </w:p>
    <w:p>
      <w:pPr>
        <w:pStyle w:val="Heading3"/>
        <w:spacing w:after="120" w:before="240"/>
      </w:pPr>
      <w:r>
        <w:rPr>
          <w:rFonts w:ascii="Calibri" w:cs="Calibri" w:eastAsia="Calibri" w:hAnsi="Calibri"/>
          <w:b/>
          <w:bCs/>
          <w:color w:val="0A0A0A"/>
          <w:sz w:val="24"/>
          <w:szCs w:val="24"/>
        </w:rPr>
        <w:t xml:space="preserve">Display — hooks, titres de section</w:t>
      </w:r>
    </w:p>
    <w:p>
      <w:pPr>
        <w:spacing w:after="120" w:line="320"/>
        <w:jc w:val="left"/>
      </w:pPr>
      <w:r>
        <w:rPr>
          <w:rFonts w:ascii="Calibri" w:cs="Calibri" w:eastAsia="Calibri" w:hAnsi="Calibri"/>
          <w:b w:val="false"/>
          <w:bCs w:val="false"/>
          <w:i w:val="false"/>
          <w:iCs w:val="false"/>
          <w:color w:val="1A1A1A"/>
          <w:sz w:val="22"/>
          <w:szCs w:val="22"/>
        </w:rPr>
        <w:t xml:space="preserve">Sans-serif géométrique lourd. Recommandation : Söhne Breit, Roobert Heavy, ou ABC Diatype Mono.</w:t>
      </w:r>
    </w:p>
    <w:p>
      <w:pPr>
        <w:pStyle w:val="ListParagraph"/>
        <w:numPr>
          <w:ilvl w:val="0"/>
          <w:numId w:val="2"/>
        </w:numPr>
        <w:spacing w:after="80" w:line="300"/>
      </w:pPr>
      <w:r>
        <w:rPr>
          <w:rFonts w:ascii="Calibri" w:cs="Calibri" w:eastAsia="Calibri" w:hAnsi="Calibri"/>
          <w:color w:val="1A1A1A"/>
          <w:sz w:val="22"/>
          <w:szCs w:val="22"/>
        </w:rPr>
        <w:t xml:space="preserve">Tailles desktop : 96 à 128 px.</w:t>
      </w:r>
    </w:p>
    <w:p>
      <w:pPr>
        <w:pStyle w:val="ListParagraph"/>
        <w:numPr>
          <w:ilvl w:val="0"/>
          <w:numId w:val="2"/>
        </w:numPr>
        <w:spacing w:after="80" w:line="300"/>
      </w:pPr>
      <w:r>
        <w:rPr>
          <w:rFonts w:ascii="Calibri" w:cs="Calibri" w:eastAsia="Calibri" w:hAnsi="Calibri"/>
          <w:color w:val="1A1A1A"/>
          <w:sz w:val="22"/>
          <w:szCs w:val="22"/>
        </w:rPr>
        <w:t xml:space="preserve">Tailles mobile : 56 à 72 px.</w:t>
      </w:r>
    </w:p>
    <w:p>
      <w:pPr>
        <w:pStyle w:val="ListParagraph"/>
        <w:numPr>
          <w:ilvl w:val="0"/>
          <w:numId w:val="2"/>
        </w:numPr>
        <w:spacing w:after="80" w:line="300"/>
      </w:pPr>
      <w:r>
        <w:rPr>
          <w:rFonts w:ascii="Calibri" w:cs="Calibri" w:eastAsia="Calibri" w:hAnsi="Calibri"/>
          <w:color w:val="1A1A1A"/>
          <w:sz w:val="22"/>
          <w:szCs w:val="22"/>
        </w:rPr>
        <w:t xml:space="preserve">Tracking : -2% à -4%.</w:t>
      </w:r>
    </w:p>
    <w:p>
      <w:pPr>
        <w:pStyle w:val="Heading3"/>
        <w:spacing w:after="120" w:before="240"/>
      </w:pPr>
      <w:r>
        <w:rPr>
          <w:rFonts w:ascii="Calibri" w:cs="Calibri" w:eastAsia="Calibri" w:hAnsi="Calibri"/>
          <w:b/>
          <w:bCs/>
          <w:color w:val="0A0A0A"/>
          <w:sz w:val="24"/>
          <w:szCs w:val="24"/>
        </w:rPr>
        <w:t xml:space="preserve">Body — paragraphes courants</w:t>
      </w:r>
    </w:p>
    <w:p>
      <w:pPr>
        <w:spacing w:after="120" w:line="320"/>
        <w:jc w:val="left"/>
      </w:pPr>
      <w:r>
        <w:rPr>
          <w:rFonts w:ascii="Calibri" w:cs="Calibri" w:eastAsia="Calibri" w:hAnsi="Calibri"/>
          <w:b w:val="false"/>
          <w:bCs w:val="false"/>
          <w:i w:val="false"/>
          <w:iCs w:val="false"/>
          <w:color w:val="1A1A1A"/>
          <w:sz w:val="22"/>
          <w:szCs w:val="22"/>
        </w:rPr>
        <w:t xml:space="preserve">Sans-serif neutre. Recommandation : Söhne Buch, Inter, ou Suisse Int'l.</w:t>
      </w:r>
    </w:p>
    <w:p>
      <w:pPr>
        <w:pStyle w:val="ListParagraph"/>
        <w:numPr>
          <w:ilvl w:val="0"/>
          <w:numId w:val="2"/>
        </w:numPr>
        <w:spacing w:after="80" w:line="300"/>
      </w:pPr>
      <w:r>
        <w:rPr>
          <w:rFonts w:ascii="Calibri" w:cs="Calibri" w:eastAsia="Calibri" w:hAnsi="Calibri"/>
          <w:color w:val="1A1A1A"/>
          <w:sz w:val="22"/>
          <w:szCs w:val="22"/>
        </w:rPr>
        <w:t xml:space="preserve">Tailles desktop : 17 à 19 px.</w:t>
      </w:r>
    </w:p>
    <w:p>
      <w:pPr>
        <w:pStyle w:val="ListParagraph"/>
        <w:numPr>
          <w:ilvl w:val="0"/>
          <w:numId w:val="2"/>
        </w:numPr>
        <w:spacing w:after="80" w:line="300"/>
      </w:pPr>
      <w:r>
        <w:rPr>
          <w:rFonts w:ascii="Calibri" w:cs="Calibri" w:eastAsia="Calibri" w:hAnsi="Calibri"/>
          <w:color w:val="1A1A1A"/>
          <w:sz w:val="22"/>
          <w:szCs w:val="22"/>
        </w:rPr>
        <w:t xml:space="preserve">Taille mobile : 16 px.</w:t>
      </w:r>
    </w:p>
    <w:p>
      <w:pPr>
        <w:pStyle w:val="ListParagraph"/>
        <w:numPr>
          <w:ilvl w:val="0"/>
          <w:numId w:val="2"/>
        </w:numPr>
        <w:spacing w:after="80" w:line="300"/>
      </w:pPr>
      <w:r>
        <w:rPr>
          <w:rFonts w:ascii="Calibri" w:cs="Calibri" w:eastAsia="Calibri" w:hAnsi="Calibri"/>
          <w:color w:val="1A1A1A"/>
          <w:sz w:val="22"/>
          <w:szCs w:val="22"/>
        </w:rPr>
        <w:t xml:space="preserve">Line-height : 1.55.</w:t>
      </w:r>
    </w:p>
    <w:p>
      <w:pPr>
        <w:pStyle w:val="Heading3"/>
        <w:spacing w:after="120" w:before="240"/>
      </w:pPr>
      <w:r>
        <w:rPr>
          <w:rFonts w:ascii="Calibri" w:cs="Calibri" w:eastAsia="Calibri" w:hAnsi="Calibri"/>
          <w:b/>
          <w:bCs/>
          <w:color w:val="0A0A0A"/>
          <w:sz w:val="24"/>
          <w:szCs w:val="24"/>
        </w:rPr>
        <w:t xml:space="preserve">Mono — chiffres, surtitres, valeurs techniques</w:t>
      </w:r>
    </w:p>
    <w:p>
      <w:pPr>
        <w:spacing w:after="120" w:line="320"/>
        <w:jc w:val="left"/>
      </w:pPr>
      <w:r>
        <w:rPr>
          <w:rFonts w:ascii="Calibri" w:cs="Calibri" w:eastAsia="Calibri" w:hAnsi="Calibri"/>
          <w:b w:val="false"/>
          <w:bCs w:val="false"/>
          <w:i w:val="false"/>
          <w:iCs w:val="false"/>
          <w:color w:val="1A1A1A"/>
          <w:sz w:val="22"/>
          <w:szCs w:val="22"/>
        </w:rPr>
        <w:t xml:space="preserve">Sans-serif monospace. Recommandation : JetBrains Mono, IBM Plex Mono, ou Söhne Mono.</w:t>
      </w:r>
    </w:p>
    <w:p>
      <w:pPr>
        <w:pStyle w:val="ListParagraph"/>
        <w:numPr>
          <w:ilvl w:val="0"/>
          <w:numId w:val="2"/>
        </w:numPr>
        <w:spacing w:after="80" w:line="300"/>
      </w:pPr>
      <w:r>
        <w:rPr>
          <w:rFonts w:ascii="Calibri" w:cs="Calibri" w:eastAsia="Calibri" w:hAnsi="Calibri"/>
          <w:color w:val="1A1A1A"/>
          <w:sz w:val="22"/>
          <w:szCs w:val="22"/>
        </w:rPr>
        <w:t xml:space="preserve">Tailles surtitre : 11 à 13 px.</w:t>
      </w:r>
    </w:p>
    <w:p>
      <w:pPr>
        <w:pStyle w:val="ListParagraph"/>
        <w:numPr>
          <w:ilvl w:val="0"/>
          <w:numId w:val="2"/>
        </w:numPr>
        <w:spacing w:after="80" w:line="300"/>
      </w:pPr>
      <w:r>
        <w:rPr>
          <w:rFonts w:ascii="Calibri" w:cs="Calibri" w:eastAsia="Calibri" w:hAnsi="Calibri"/>
          <w:color w:val="1A1A1A"/>
          <w:sz w:val="22"/>
          <w:szCs w:val="22"/>
        </w:rPr>
        <w:t xml:space="preserve">Tailles chiffres agrégés : 48 à 80 px.</w:t>
      </w:r>
    </w:p>
    <w:p>
      <w:pPr>
        <w:spacing w:after="80" w:before="200"/>
      </w:pPr>
      <w:r>
        <w:rPr>
          <w:rFonts w:ascii="Calibri" w:cs="Calibri" w:eastAsia="Calibri" w:hAnsi="Calibri"/>
          <w:b/>
          <w:bCs/>
          <w:color w:val="E85D29"/>
          <w:sz w:val="22"/>
          <w:szCs w:val="22"/>
        </w:rPr>
        <w:t xml:space="preserve">Note importante</w:t>
      </w:r>
    </w:p>
    <w:p>
      <w:pPr>
        <w:spacing w:after="120" w:line="320"/>
        <w:jc w:val="left"/>
      </w:pPr>
      <w:r>
        <w:rPr>
          <w:rFonts w:ascii="Calibri" w:cs="Calibri" w:eastAsia="Calibri" w:hAnsi="Calibri"/>
          <w:b w:val="false"/>
          <w:bCs w:val="false"/>
          <w:i/>
          <w:iCs/>
          <w:color w:val="1A1A1A"/>
          <w:sz w:val="22"/>
          <w:szCs w:val="22"/>
        </w:rPr>
        <w:t xml:space="preserve">Pas de Poppins sur le site. Poppins est verrouillé sur les carousels Instagram pour cohérence cross-canal. Le site se permet une typo plus éditoriale et masculine.</w:t>
      </w:r>
    </w:p>
    <w:p>
      <w:pPr>
        <w:pStyle w:val="Heading2"/>
        <w:spacing w:after="160" w:before="320"/>
      </w:pPr>
      <w:r>
        <w:rPr>
          <w:rFonts w:ascii="Calibri" w:cs="Calibri" w:eastAsia="Calibri" w:hAnsi="Calibri"/>
          <w:b/>
          <w:bCs/>
          <w:color w:val="0A0A0A"/>
          <w:sz w:val="28"/>
          <w:szCs w:val="28"/>
        </w:rPr>
        <w:t xml:space="preserve">6.3 — Photographie</w:t>
      </w:r>
    </w:p>
    <w:p>
      <w:pPr>
        <w:pStyle w:val="ListParagraph"/>
        <w:numPr>
          <w:ilvl w:val="0"/>
          <w:numId w:val="2"/>
        </w:numPr>
        <w:spacing w:after="80" w:line="300"/>
      </w:pPr>
      <w:r>
        <w:rPr>
          <w:rFonts w:ascii="Calibri" w:cs="Calibri" w:eastAsia="Calibri" w:hAnsi="Calibri"/>
          <w:color w:val="1A1A1A"/>
          <w:sz w:val="22"/>
          <w:szCs w:val="22"/>
        </w:rPr>
        <w:t xml:space="preserve">Traitement uniforme : désaturation marquée, ombres profondes, grain léger.</w:t>
      </w:r>
    </w:p>
    <w:p>
      <w:pPr>
        <w:pStyle w:val="ListParagraph"/>
        <w:numPr>
          <w:ilvl w:val="0"/>
          <w:numId w:val="2"/>
        </w:numPr>
        <w:spacing w:after="80" w:line="300"/>
      </w:pPr>
      <w:r>
        <w:rPr>
          <w:rFonts w:ascii="Calibri" w:cs="Calibri" w:eastAsia="Calibri" w:hAnsi="Calibri"/>
          <w:color w:val="1A1A1A"/>
          <w:sz w:val="22"/>
          <w:szCs w:val="22"/>
        </w:rPr>
        <w:t xml:space="preserve">N&amp;B ou monochrome chaud (très peu saturé).</w:t>
      </w:r>
    </w:p>
    <w:p>
      <w:pPr>
        <w:pStyle w:val="ListParagraph"/>
        <w:numPr>
          <w:ilvl w:val="0"/>
          <w:numId w:val="2"/>
        </w:numPr>
        <w:spacing w:after="80" w:line="300"/>
      </w:pPr>
      <w:r>
        <w:rPr>
          <w:rFonts w:ascii="Calibri" w:cs="Calibri" w:eastAsia="Calibri" w:hAnsi="Calibri"/>
          <w:color w:val="1A1A1A"/>
          <w:sz w:val="22"/>
          <w:szCs w:val="22"/>
        </w:rPr>
        <w:t xml:space="preserve">Sujets autorisés : chantiers, friches, bâtiments industriels, intérieurs de réunion, portraits de travail.</w:t>
      </w:r>
    </w:p>
    <w:p>
      <w:pPr>
        <w:pStyle w:val="ListParagraph"/>
        <w:numPr>
          <w:ilvl w:val="0"/>
          <w:numId w:val="2"/>
        </w:numPr>
        <w:spacing w:after="80" w:line="300"/>
      </w:pPr>
      <w:r>
        <w:rPr>
          <w:rFonts w:ascii="Calibri" w:cs="Calibri" w:eastAsia="Calibri" w:hAnsi="Calibri"/>
          <w:color w:val="1A1A1A"/>
          <w:sz w:val="22"/>
          <w:szCs w:val="22"/>
        </w:rPr>
        <w:t xml:space="preserve">Sujets bannis : skylines de Dubai, vues bureau ouvert, voitures, montres, costumes posés, signes de luxe ostentatoire.</w:t>
      </w:r>
    </w:p>
    <w:p>
      <w:pPr>
        <w:pStyle w:val="Heading2"/>
        <w:spacing w:after="160" w:before="320"/>
      </w:pPr>
      <w:r>
        <w:rPr>
          <w:rFonts w:ascii="Calibri" w:cs="Calibri" w:eastAsia="Calibri" w:hAnsi="Calibri"/>
          <w:b/>
          <w:bCs/>
          <w:color w:val="0A0A0A"/>
          <w:sz w:val="28"/>
          <w:szCs w:val="28"/>
        </w:rPr>
        <w:t xml:space="preserve">6.4 — Animations</w:t>
      </w:r>
    </w:p>
    <w:p>
      <w:pPr>
        <w:spacing w:after="120" w:line="320"/>
        <w:jc w:val="left"/>
      </w:pPr>
      <w:r>
        <w:rPr>
          <w:rFonts w:ascii="Calibri" w:cs="Calibri" w:eastAsia="Calibri" w:hAnsi="Calibri"/>
          <w:b w:val="false"/>
          <w:bCs w:val="false"/>
          <w:i w:val="false"/>
          <w:iCs w:val="false"/>
          <w:color w:val="1A1A1A"/>
          <w:sz w:val="22"/>
          <w:szCs w:val="22"/>
        </w:rPr>
        <w:t xml:space="preserve">Minimales et fonctionnelles uniquement.</w:t>
      </w:r>
    </w:p>
    <w:p>
      <w:pPr>
        <w:pStyle w:val="ListParagraph"/>
        <w:numPr>
          <w:ilvl w:val="0"/>
          <w:numId w:val="2"/>
        </w:numPr>
        <w:spacing w:after="80" w:line="300"/>
      </w:pPr>
      <w:r>
        <w:rPr>
          <w:rFonts w:ascii="Calibri" w:cs="Calibri" w:eastAsia="Calibri" w:hAnsi="Calibri"/>
          <w:color w:val="1A1A1A"/>
          <w:sz w:val="22"/>
          <w:szCs w:val="22"/>
        </w:rPr>
        <w:t xml:space="preserve">Fade-in léger au scroll sur les titres de section.</w:t>
      </w:r>
    </w:p>
    <w:p>
      <w:pPr>
        <w:pStyle w:val="ListParagraph"/>
        <w:numPr>
          <w:ilvl w:val="0"/>
          <w:numId w:val="2"/>
        </w:numPr>
        <w:spacing w:after="80" w:line="300"/>
      </w:pPr>
      <w:r>
        <w:rPr>
          <w:rFonts w:ascii="Calibri" w:cs="Calibri" w:eastAsia="Calibri" w:hAnsi="Calibri"/>
          <w:color w:val="1A1A1A"/>
          <w:sz w:val="22"/>
          <w:szCs w:val="22"/>
        </w:rPr>
        <w:t xml:space="preserve">Hover discret sur les cards : luminosité +5%, pas de translation.</w:t>
      </w:r>
    </w:p>
    <w:p>
      <w:pPr>
        <w:pStyle w:val="ListParagraph"/>
        <w:numPr>
          <w:ilvl w:val="0"/>
          <w:numId w:val="2"/>
        </w:numPr>
        <w:spacing w:after="80" w:line="300"/>
      </w:pPr>
      <w:r>
        <w:rPr>
          <w:rFonts w:ascii="Calibri" w:cs="Calibri" w:eastAsia="Calibri" w:hAnsi="Calibri"/>
          <w:color w:val="1A1A1A"/>
          <w:sz w:val="22"/>
          <w:szCs w:val="22"/>
        </w:rPr>
        <w:t xml:space="preserve">Aucun parallaxe, aucun scroll-jacking, aucune animation décorative.</w:t>
      </w:r>
    </w:p>
    <w:p>
      <w:r>
        <w:br w:type="page"/>
      </w:r>
    </w:p>
    <w:p>
      <w:pPr>
        <w:pStyle w:val="Heading1"/>
        <w:spacing w:after="200" w:before="360"/>
      </w:pPr>
      <w:r>
        <w:rPr>
          <w:rFonts w:ascii="Calibri" w:cs="Calibri" w:eastAsia="Calibri" w:hAnsi="Calibri"/>
          <w:b/>
          <w:bCs/>
          <w:color w:val="0A0A0A"/>
          <w:sz w:val="36"/>
          <w:szCs w:val="36"/>
        </w:rPr>
        <w:t xml:space="preserve">7. Références visuelles</w:t>
      </w:r>
    </w:p>
    <w:p>
      <w:pPr>
        <w:spacing w:after="120" w:line="320"/>
        <w:jc w:val="left"/>
      </w:pPr>
      <w:r>
        <w:rPr>
          <w:rFonts w:ascii="Calibri" w:cs="Calibri" w:eastAsia="Calibri" w:hAnsi="Calibri"/>
          <w:b w:val="false"/>
          <w:bCs w:val="false"/>
          <w:i w:val="false"/>
          <w:iCs w:val="false"/>
          <w:color w:val="1A1A1A"/>
          <w:sz w:val="22"/>
          <w:szCs w:val="22"/>
        </w:rPr>
        <w:t xml:space="preserve">À donner au designer comme univers cible et anti-cible.</w:t>
      </w:r>
    </w:p>
    <w:p>
      <w:pPr>
        <w:pStyle w:val="Heading2"/>
        <w:spacing w:after="160" w:before="320"/>
      </w:pPr>
      <w:r>
        <w:rPr>
          <w:rFonts w:ascii="Calibri" w:cs="Calibri" w:eastAsia="Calibri" w:hAnsi="Calibri"/>
          <w:b/>
          <w:bCs/>
          <w:color w:val="0A0A0A"/>
          <w:sz w:val="28"/>
          <w:szCs w:val="28"/>
        </w:rPr>
        <w:t xml:space="preserve">7.1 — Inspirations directes</w:t>
      </w:r>
    </w:p>
    <w:p>
      <w:pPr>
        <w:pStyle w:val="ListParagraph"/>
        <w:numPr>
          <w:ilvl w:val="0"/>
          <w:numId w:val="2"/>
        </w:numPr>
        <w:spacing w:after="80" w:line="300"/>
      </w:pPr>
      <w:r>
        <w:rPr>
          <w:rFonts w:ascii="Calibri" w:cs="Calibri" w:eastAsia="Calibri" w:hAnsi="Calibri"/>
          <w:color w:val="1A1A1A"/>
          <w:sz w:val="22"/>
          <w:szCs w:val="22"/>
        </w:rPr>
        <w:t xml:space="preserve">Tikehau Capital (tikehaucapital.com) — sobriété éditoriale, photo cinéma, registre opérateur.</w:t>
      </w:r>
    </w:p>
    <w:p>
      <w:pPr>
        <w:pStyle w:val="ListParagraph"/>
        <w:numPr>
          <w:ilvl w:val="0"/>
          <w:numId w:val="2"/>
        </w:numPr>
        <w:spacing w:after="80" w:line="300"/>
      </w:pPr>
      <w:r>
        <w:rPr>
          <w:rFonts w:ascii="Calibri" w:cs="Calibri" w:eastAsia="Calibri" w:hAnsi="Calibri"/>
          <w:color w:val="1A1A1A"/>
          <w:sz w:val="22"/>
          <w:szCs w:val="22"/>
        </w:rPr>
        <w:t xml:space="preserve">Ardian (ardian.com) — typographie display, contraste noir-orange.</w:t>
      </w:r>
    </w:p>
    <w:p>
      <w:pPr>
        <w:pStyle w:val="ListParagraph"/>
        <w:numPr>
          <w:ilvl w:val="0"/>
          <w:numId w:val="2"/>
        </w:numPr>
        <w:spacing w:after="80" w:line="300"/>
      </w:pPr>
      <w:r>
        <w:rPr>
          <w:rFonts w:ascii="Calibri" w:cs="Calibri" w:eastAsia="Calibri" w:hAnsi="Calibri"/>
          <w:color w:val="1A1A1A"/>
          <w:sz w:val="22"/>
          <w:szCs w:val="22"/>
        </w:rPr>
        <w:t xml:space="preserve">Eurazeo (eurazeo.com) — architecture page, density de l'information.</w:t>
      </w:r>
    </w:p>
    <w:p>
      <w:pPr>
        <w:pStyle w:val="ListParagraph"/>
        <w:numPr>
          <w:ilvl w:val="0"/>
          <w:numId w:val="2"/>
        </w:numPr>
        <w:spacing w:after="80" w:line="300"/>
      </w:pPr>
      <w:r>
        <w:rPr>
          <w:rFonts w:ascii="Calibri" w:cs="Calibri" w:eastAsia="Calibri" w:hAnsi="Calibri"/>
          <w:color w:val="1A1A1A"/>
          <w:sz w:val="22"/>
          <w:szCs w:val="22"/>
        </w:rPr>
        <w:t xml:space="preserve">Cathay Capital (cathaycapital.com) — équilibre photo/texte.</w:t>
      </w:r>
    </w:p>
    <w:p>
      <w:pPr>
        <w:pStyle w:val="Heading2"/>
        <w:spacing w:after="160" w:before="320"/>
      </w:pPr>
      <w:r>
        <w:rPr>
          <w:rFonts w:ascii="Calibri" w:cs="Calibri" w:eastAsia="Calibri" w:hAnsi="Calibri"/>
          <w:b/>
          <w:bCs/>
          <w:color w:val="0A0A0A"/>
          <w:sz w:val="28"/>
          <w:szCs w:val="28"/>
        </w:rPr>
        <w:t xml:space="preserve">7.2 — Inspirations éditoriales</w:t>
      </w:r>
    </w:p>
    <w:p>
      <w:pPr>
        <w:pStyle w:val="ListParagraph"/>
        <w:numPr>
          <w:ilvl w:val="0"/>
          <w:numId w:val="2"/>
        </w:numPr>
        <w:spacing w:after="80" w:line="300"/>
      </w:pPr>
      <w:r>
        <w:rPr>
          <w:rFonts w:ascii="Calibri" w:cs="Calibri" w:eastAsia="Calibri" w:hAnsi="Calibri"/>
          <w:color w:val="1A1A1A"/>
          <w:sz w:val="22"/>
          <w:szCs w:val="22"/>
        </w:rPr>
        <w:t xml:space="preserve">FT Weekend, How To Spend It — registre presse business haut de gamme.</w:t>
      </w:r>
    </w:p>
    <w:p>
      <w:pPr>
        <w:pStyle w:val="ListParagraph"/>
        <w:numPr>
          <w:ilvl w:val="0"/>
          <w:numId w:val="2"/>
        </w:numPr>
        <w:spacing w:after="80" w:line="300"/>
      </w:pPr>
      <w:r>
        <w:rPr>
          <w:rFonts w:ascii="Calibri" w:cs="Calibri" w:eastAsia="Calibri" w:hAnsi="Calibri"/>
          <w:color w:val="1A1A1A"/>
          <w:sz w:val="22"/>
          <w:szCs w:val="22"/>
        </w:rPr>
        <w:t xml:space="preserve">Monocle — mise en page, typographie, photo.</w:t>
      </w:r>
    </w:p>
    <w:p>
      <w:pPr>
        <w:pStyle w:val="ListParagraph"/>
        <w:numPr>
          <w:ilvl w:val="0"/>
          <w:numId w:val="2"/>
        </w:numPr>
        <w:spacing w:after="80" w:line="300"/>
      </w:pPr>
      <w:r>
        <w:rPr>
          <w:rFonts w:ascii="Calibri" w:cs="Calibri" w:eastAsia="Calibri" w:hAnsi="Calibri"/>
          <w:color w:val="1A1A1A"/>
          <w:sz w:val="22"/>
          <w:szCs w:val="22"/>
        </w:rPr>
        <w:t xml:space="preserve">The Drift, n+1 — registre intellectuel mature.</w:t>
      </w:r>
    </w:p>
    <w:p>
      <w:pPr>
        <w:pStyle w:val="Heading2"/>
        <w:spacing w:after="160" w:before="320"/>
      </w:pPr>
      <w:r>
        <w:rPr>
          <w:rFonts w:ascii="Calibri" w:cs="Calibri" w:eastAsia="Calibri" w:hAnsi="Calibri"/>
          <w:b/>
          <w:bCs/>
          <w:color w:val="0A0A0A"/>
          <w:sz w:val="28"/>
          <w:szCs w:val="28"/>
        </w:rPr>
        <w:t xml:space="preserve">7.3 — Anti-références (à éviter formellement)</w:t>
      </w:r>
    </w:p>
    <w:p>
      <w:pPr>
        <w:pStyle w:val="ListParagraph"/>
        <w:numPr>
          <w:ilvl w:val="0"/>
          <w:numId w:val="2"/>
        </w:numPr>
        <w:spacing w:after="80" w:line="300"/>
      </w:pPr>
      <w:r>
        <w:rPr>
          <w:rFonts w:ascii="Calibri" w:cs="Calibri" w:eastAsia="Calibri" w:hAnsi="Calibri"/>
          <w:color w:val="1A1A1A"/>
          <w:sz w:val="22"/>
          <w:szCs w:val="22"/>
        </w:rPr>
        <w:t xml:space="preserve">Sites de coachs business sur Stan Store ou Kajabi.</w:t>
      </w:r>
    </w:p>
    <w:p>
      <w:pPr>
        <w:pStyle w:val="ListParagraph"/>
        <w:numPr>
          <w:ilvl w:val="0"/>
          <w:numId w:val="2"/>
        </w:numPr>
        <w:spacing w:after="80" w:line="300"/>
      </w:pPr>
      <w:r>
        <w:rPr>
          <w:rFonts w:ascii="Calibri" w:cs="Calibri" w:eastAsia="Calibri" w:hAnsi="Calibri"/>
          <w:color w:val="1A1A1A"/>
          <w:sz w:val="22"/>
          <w:szCs w:val="22"/>
        </w:rPr>
        <w:t xml:space="preserve">Templates Webflow génériques type «agency».</w:t>
      </w:r>
    </w:p>
    <w:p>
      <w:pPr>
        <w:pStyle w:val="ListParagraph"/>
        <w:numPr>
          <w:ilvl w:val="0"/>
          <w:numId w:val="2"/>
        </w:numPr>
        <w:spacing w:after="80" w:line="300"/>
      </w:pPr>
      <w:r>
        <w:rPr>
          <w:rFonts w:ascii="Calibri" w:cs="Calibri" w:eastAsia="Calibri" w:hAnsi="Calibri"/>
          <w:color w:val="1A1A1A"/>
          <w:sz w:val="22"/>
          <w:szCs w:val="22"/>
        </w:rPr>
        <w:t xml:space="preserve">Sites SaaS startup (Stripe, Linear, etc.) — trop tech, trop clean.</w:t>
      </w:r>
    </w:p>
    <w:p>
      <w:pPr>
        <w:pStyle w:val="ListParagraph"/>
        <w:numPr>
          <w:ilvl w:val="0"/>
          <w:numId w:val="2"/>
        </w:numPr>
        <w:spacing w:after="80" w:line="300"/>
      </w:pPr>
      <w:r>
        <w:rPr>
          <w:rFonts w:ascii="Calibri" w:cs="Calibri" w:eastAsia="Calibri" w:hAnsi="Calibri"/>
          <w:color w:val="1A1A1A"/>
          <w:sz w:val="22"/>
          <w:szCs w:val="22"/>
        </w:rPr>
        <w:t xml:space="preserve">Sites de podcast personnels sur Beehiiv ou Substack.</w:t>
      </w:r>
    </w:p>
    <w:p>
      <w:r>
        <w:br w:type="page"/>
      </w:r>
    </w:p>
    <w:p>
      <w:pPr>
        <w:pStyle w:val="Heading1"/>
        <w:spacing w:after="200" w:before="360"/>
      </w:pPr>
      <w:r>
        <w:rPr>
          <w:rFonts w:ascii="Calibri" w:cs="Calibri" w:eastAsia="Calibri" w:hAnsi="Calibri"/>
          <w:b/>
          <w:bCs/>
          <w:color w:val="0A0A0A"/>
          <w:sz w:val="36"/>
          <w:szCs w:val="36"/>
        </w:rPr>
        <w:t xml:space="preserve">8. Spécifications techniques</w:t>
      </w:r>
    </w:p>
    <w:p>
      <w:pPr>
        <w:pStyle w:val="Heading2"/>
        <w:spacing w:after="160" w:before="320"/>
      </w:pPr>
      <w:r>
        <w:rPr>
          <w:rFonts w:ascii="Calibri" w:cs="Calibri" w:eastAsia="Calibri" w:hAnsi="Calibri"/>
          <w:b/>
          <w:bCs/>
          <w:color w:val="0A0A0A"/>
          <w:sz w:val="28"/>
          <w:szCs w:val="28"/>
        </w:rPr>
        <w:t xml:space="preserve">8.1 — Stack recommandée</w:t>
      </w:r>
    </w:p>
    <w:p>
      <w:pPr>
        <w:spacing w:after="120" w:line="320"/>
        <w:jc w:val="left"/>
      </w:pPr>
      <w:r>
        <w:rPr>
          <w:rFonts w:ascii="Calibri" w:cs="Calibri" w:eastAsia="Calibri" w:hAnsi="Calibri"/>
          <w:b w:val="false"/>
          <w:bCs w:val="false"/>
          <w:i w:val="false"/>
          <w:iCs w:val="false"/>
          <w:color w:val="1A1A1A"/>
          <w:sz w:val="22"/>
          <w:szCs w:val="22"/>
        </w:rPr>
        <w:t xml:space="preserve">Framer ou Webflow. Si autre proposition, justifier en termes de performance et de maintenance long-terme.</w:t>
      </w:r>
    </w:p>
    <w:p>
      <w:pPr>
        <w:pStyle w:val="Heading2"/>
        <w:spacing w:after="160" w:before="320"/>
      </w:pPr>
      <w:r>
        <w:rPr>
          <w:rFonts w:ascii="Calibri" w:cs="Calibri" w:eastAsia="Calibri" w:hAnsi="Calibri"/>
          <w:b/>
          <w:bCs/>
          <w:color w:val="0A0A0A"/>
          <w:sz w:val="28"/>
          <w:szCs w:val="28"/>
        </w:rPr>
        <w:t xml:space="preserve">8.2 — Performance</w:t>
      </w:r>
    </w:p>
    <w:p>
      <w:pPr>
        <w:pStyle w:val="ListParagraph"/>
        <w:numPr>
          <w:ilvl w:val="0"/>
          <w:numId w:val="2"/>
        </w:numPr>
        <w:spacing w:after="80" w:line="300"/>
      </w:pPr>
      <w:r>
        <w:rPr>
          <w:rFonts w:ascii="Calibri" w:cs="Calibri" w:eastAsia="Calibri" w:hAnsi="Calibri"/>
          <w:color w:val="1A1A1A"/>
          <w:sz w:val="22"/>
          <w:szCs w:val="22"/>
        </w:rPr>
        <w:t xml:space="preserve">LCP inférieur à 2.5 secondes sur 3G.</w:t>
      </w:r>
    </w:p>
    <w:p>
      <w:pPr>
        <w:pStyle w:val="ListParagraph"/>
        <w:numPr>
          <w:ilvl w:val="0"/>
          <w:numId w:val="2"/>
        </w:numPr>
        <w:spacing w:after="80" w:line="300"/>
      </w:pPr>
      <w:r>
        <w:rPr>
          <w:rFonts w:ascii="Calibri" w:cs="Calibri" w:eastAsia="Calibri" w:hAnsi="Calibri"/>
          <w:color w:val="1A1A1A"/>
          <w:sz w:val="22"/>
          <w:szCs w:val="22"/>
        </w:rPr>
        <w:t xml:space="preserve">CLS inférieur à 0.1.</w:t>
      </w:r>
    </w:p>
    <w:p>
      <w:pPr>
        <w:pStyle w:val="ListParagraph"/>
        <w:numPr>
          <w:ilvl w:val="0"/>
          <w:numId w:val="2"/>
        </w:numPr>
        <w:spacing w:after="80" w:line="300"/>
      </w:pPr>
      <w:r>
        <w:rPr>
          <w:rFonts w:ascii="Calibri" w:cs="Calibri" w:eastAsia="Calibri" w:hAnsi="Calibri"/>
          <w:color w:val="1A1A1A"/>
          <w:sz w:val="22"/>
          <w:szCs w:val="22"/>
        </w:rPr>
        <w:t xml:space="preserve">Images optimisées WebP ou AVIF, lazy load au scroll.</w:t>
      </w:r>
    </w:p>
    <w:p>
      <w:pPr>
        <w:pStyle w:val="ListParagraph"/>
        <w:numPr>
          <w:ilvl w:val="0"/>
          <w:numId w:val="2"/>
        </w:numPr>
        <w:spacing w:after="80" w:line="300"/>
      </w:pPr>
      <w:r>
        <w:rPr>
          <w:rFonts w:ascii="Calibri" w:cs="Calibri" w:eastAsia="Calibri" w:hAnsi="Calibri"/>
          <w:color w:val="1A1A1A"/>
          <w:sz w:val="22"/>
          <w:szCs w:val="22"/>
        </w:rPr>
        <w:t xml:space="preserve">Pas de vidéo autoplay en hero (poids + tonalité agressive).</w:t>
      </w:r>
    </w:p>
    <w:p>
      <w:pPr>
        <w:pStyle w:val="Heading2"/>
        <w:spacing w:after="160" w:before="320"/>
      </w:pPr>
      <w:r>
        <w:rPr>
          <w:rFonts w:ascii="Calibri" w:cs="Calibri" w:eastAsia="Calibri" w:hAnsi="Calibri"/>
          <w:b/>
          <w:bCs/>
          <w:color w:val="0A0A0A"/>
          <w:sz w:val="28"/>
          <w:szCs w:val="28"/>
        </w:rPr>
        <w:t xml:space="preserve">8.3 — SEO</w:t>
      </w:r>
    </w:p>
    <w:p>
      <w:pPr>
        <w:pStyle w:val="ListParagraph"/>
        <w:numPr>
          <w:ilvl w:val="0"/>
          <w:numId w:val="2"/>
        </w:numPr>
        <w:spacing w:after="80" w:line="300"/>
      </w:pPr>
      <w:r>
        <w:rPr>
          <w:rFonts w:ascii="Calibri" w:cs="Calibri" w:eastAsia="Calibri" w:hAnsi="Calibri"/>
          <w:color w:val="1A1A1A"/>
          <w:sz w:val="22"/>
          <w:szCs w:val="22"/>
        </w:rPr>
        <w:t xml:space="preserve">Title : «Nassim Boukrouh · Marchand de biens &amp; Cofondateur UMDB».</w:t>
      </w:r>
    </w:p>
    <w:p>
      <w:pPr>
        <w:pStyle w:val="ListParagraph"/>
        <w:numPr>
          <w:ilvl w:val="0"/>
          <w:numId w:val="2"/>
        </w:numPr>
        <w:spacing w:after="80" w:line="300"/>
      </w:pPr>
      <w:r>
        <w:rPr>
          <w:rFonts w:ascii="Calibri" w:cs="Calibri" w:eastAsia="Calibri" w:hAnsi="Calibri"/>
          <w:color w:val="1A1A1A"/>
          <w:sz w:val="22"/>
          <w:szCs w:val="22"/>
        </w:rPr>
        <w:t xml:space="preserve">Meta description : «Devenez marchand de biens avec une méthode appliquée, un réseau actif et un club deal en equity. Candidatez à l'UMDB.»</w:t>
      </w:r>
    </w:p>
    <w:p>
      <w:pPr>
        <w:pStyle w:val="ListParagraph"/>
        <w:numPr>
          <w:ilvl w:val="0"/>
          <w:numId w:val="2"/>
        </w:numPr>
        <w:spacing w:after="80" w:line="300"/>
      </w:pPr>
      <w:r>
        <w:rPr>
          <w:rFonts w:ascii="Calibri" w:cs="Calibri" w:eastAsia="Calibri" w:hAnsi="Calibri"/>
          <w:color w:val="1A1A1A"/>
          <w:sz w:val="22"/>
          <w:szCs w:val="22"/>
        </w:rPr>
        <w:t xml:space="preserve">Schema.org Person + Organization.</w:t>
      </w:r>
    </w:p>
    <w:p>
      <w:pPr>
        <w:pStyle w:val="ListParagraph"/>
        <w:numPr>
          <w:ilvl w:val="0"/>
          <w:numId w:val="2"/>
        </w:numPr>
        <w:spacing w:after="80" w:line="300"/>
      </w:pPr>
      <w:r>
        <w:rPr>
          <w:rFonts w:ascii="Calibri" w:cs="Calibri" w:eastAsia="Calibri" w:hAnsi="Calibri"/>
          <w:color w:val="1A1A1A"/>
          <w:sz w:val="22"/>
          <w:szCs w:val="22"/>
        </w:rPr>
        <w:t xml:space="preserve">OpenGraph et Twitter Cards calibrés.</w:t>
      </w:r>
    </w:p>
    <w:p>
      <w:pPr>
        <w:pStyle w:val="Heading2"/>
        <w:spacing w:after="160" w:before="320"/>
      </w:pPr>
      <w:r>
        <w:rPr>
          <w:rFonts w:ascii="Calibri" w:cs="Calibri" w:eastAsia="Calibri" w:hAnsi="Calibri"/>
          <w:b/>
          <w:bCs/>
          <w:color w:val="0A0A0A"/>
          <w:sz w:val="28"/>
          <w:szCs w:val="28"/>
        </w:rPr>
        <w:t xml:space="preserve">8.4 — Accessibilité</w:t>
      </w:r>
    </w:p>
    <w:p>
      <w:pPr>
        <w:pStyle w:val="ListParagraph"/>
        <w:numPr>
          <w:ilvl w:val="0"/>
          <w:numId w:val="2"/>
        </w:numPr>
        <w:spacing w:after="80" w:line="300"/>
      </w:pPr>
      <w:r>
        <w:rPr>
          <w:rFonts w:ascii="Calibri" w:cs="Calibri" w:eastAsia="Calibri" w:hAnsi="Calibri"/>
          <w:color w:val="1A1A1A"/>
          <w:sz w:val="22"/>
          <w:szCs w:val="22"/>
        </w:rPr>
        <w:t xml:space="preserve">Contraste AA minimum sur tout texte.</w:t>
      </w:r>
    </w:p>
    <w:p>
      <w:pPr>
        <w:pStyle w:val="ListParagraph"/>
        <w:numPr>
          <w:ilvl w:val="0"/>
          <w:numId w:val="2"/>
        </w:numPr>
        <w:spacing w:after="80" w:line="300"/>
      </w:pPr>
      <w:r>
        <w:rPr>
          <w:rFonts w:ascii="Calibri" w:cs="Calibri" w:eastAsia="Calibri" w:hAnsi="Calibri"/>
          <w:color w:val="1A1A1A"/>
          <w:sz w:val="22"/>
          <w:szCs w:val="22"/>
        </w:rPr>
        <w:t xml:space="preserve">Navigation clavier complète.</w:t>
      </w:r>
    </w:p>
    <w:p>
      <w:pPr>
        <w:pStyle w:val="ListParagraph"/>
        <w:numPr>
          <w:ilvl w:val="0"/>
          <w:numId w:val="2"/>
        </w:numPr>
        <w:spacing w:after="80" w:line="300"/>
      </w:pPr>
      <w:r>
        <w:rPr>
          <w:rFonts w:ascii="Calibri" w:cs="Calibri" w:eastAsia="Calibri" w:hAnsi="Calibri"/>
          <w:color w:val="1A1A1A"/>
          <w:sz w:val="22"/>
          <w:szCs w:val="22"/>
        </w:rPr>
        <w:t xml:space="preserve">Alt text sur toutes les images.</w:t>
      </w:r>
    </w:p>
    <w:p>
      <w:pPr>
        <w:pStyle w:val="ListParagraph"/>
        <w:numPr>
          <w:ilvl w:val="0"/>
          <w:numId w:val="2"/>
        </w:numPr>
        <w:spacing w:after="80" w:line="300"/>
      </w:pPr>
      <w:r>
        <w:rPr>
          <w:rFonts w:ascii="Calibri" w:cs="Calibri" w:eastAsia="Calibri" w:hAnsi="Calibri"/>
          <w:color w:val="1A1A1A"/>
          <w:sz w:val="22"/>
          <w:szCs w:val="22"/>
        </w:rPr>
        <w:t xml:space="preserve">Pas de texte sur image en background sans calque sombre.</w:t>
      </w:r>
    </w:p>
    <w:p>
      <w:pPr>
        <w:pStyle w:val="Heading2"/>
        <w:spacing w:after="160" w:before="320"/>
      </w:pPr>
      <w:r>
        <w:rPr>
          <w:rFonts w:ascii="Calibri" w:cs="Calibri" w:eastAsia="Calibri" w:hAnsi="Calibri"/>
          <w:b/>
          <w:bCs/>
          <w:color w:val="0A0A0A"/>
          <w:sz w:val="28"/>
          <w:szCs w:val="28"/>
        </w:rPr>
        <w:t xml:space="preserve">8.5 — Tracking</w:t>
      </w:r>
    </w:p>
    <w:p>
      <w:pPr>
        <w:pStyle w:val="ListParagraph"/>
        <w:numPr>
          <w:ilvl w:val="0"/>
          <w:numId w:val="2"/>
        </w:numPr>
        <w:spacing w:after="80" w:line="300"/>
      </w:pPr>
      <w:r>
        <w:rPr>
          <w:rFonts w:ascii="Calibri" w:cs="Calibri" w:eastAsia="Calibri" w:hAnsi="Calibri"/>
          <w:color w:val="1A1A1A"/>
          <w:sz w:val="22"/>
          <w:szCs w:val="22"/>
        </w:rPr>
        <w:t xml:space="preserve">Plausible ou Fathom (RGPD-friendly, pas de bandeau cookies invasif).</w:t>
      </w:r>
    </w:p>
    <w:p>
      <w:pPr>
        <w:pStyle w:val="ListParagraph"/>
        <w:numPr>
          <w:ilvl w:val="0"/>
          <w:numId w:val="2"/>
        </w:numPr>
        <w:spacing w:after="80" w:line="300"/>
      </w:pPr>
      <w:r>
        <w:rPr>
          <w:rFonts w:ascii="Calibri" w:cs="Calibri" w:eastAsia="Calibri" w:hAnsi="Calibri"/>
          <w:color w:val="1A1A1A"/>
          <w:sz w:val="22"/>
          <w:szCs w:val="22"/>
        </w:rPr>
        <w:t xml:space="preserve">Évènements à tracker : scroll par section, click CTA, soumission formulaire.</w:t>
      </w:r>
    </w:p>
    <w:p>
      <w:pPr>
        <w:pStyle w:val="ListParagraph"/>
        <w:numPr>
          <w:ilvl w:val="0"/>
          <w:numId w:val="2"/>
        </w:numPr>
        <w:spacing w:after="80" w:line="300"/>
      </w:pPr>
      <w:r>
        <w:rPr>
          <w:rFonts w:ascii="Calibri" w:cs="Calibri" w:eastAsia="Calibri" w:hAnsi="Calibri"/>
          <w:color w:val="1A1A1A"/>
          <w:sz w:val="22"/>
          <w:szCs w:val="22"/>
        </w:rPr>
        <w:t xml:space="preserve">Pas de Meta Pixel sur le site, pas de Hotjar (incompatible registre sobriété).</w:t>
      </w:r>
    </w:p>
    <w:p>
      <w:pPr>
        <w:pStyle w:val="Heading2"/>
        <w:spacing w:after="160" w:before="320"/>
      </w:pPr>
      <w:r>
        <w:rPr>
          <w:rFonts w:ascii="Calibri" w:cs="Calibri" w:eastAsia="Calibri" w:hAnsi="Calibri"/>
          <w:b/>
          <w:bCs/>
          <w:color w:val="0A0A0A"/>
          <w:sz w:val="28"/>
          <w:szCs w:val="28"/>
        </w:rPr>
        <w:t xml:space="preserve">8.6 — Formulaire</w:t>
      </w:r>
    </w:p>
    <w:p>
      <w:pPr>
        <w:pStyle w:val="ListParagraph"/>
        <w:numPr>
          <w:ilvl w:val="0"/>
          <w:numId w:val="2"/>
        </w:numPr>
        <w:spacing w:after="80" w:line="300"/>
      </w:pPr>
      <w:r>
        <w:rPr>
          <w:rFonts w:ascii="Calibri" w:cs="Calibri" w:eastAsia="Calibri" w:hAnsi="Calibri"/>
          <w:color w:val="1A1A1A"/>
          <w:sz w:val="22"/>
          <w:szCs w:val="22"/>
        </w:rPr>
        <w:t xml:space="preserve">Backend : Formspark, Basin ou intégration native Webflow.</w:t>
      </w:r>
    </w:p>
    <w:p>
      <w:pPr>
        <w:pStyle w:val="ListParagraph"/>
        <w:numPr>
          <w:ilvl w:val="0"/>
          <w:numId w:val="2"/>
        </w:numPr>
        <w:spacing w:after="80" w:line="300"/>
      </w:pPr>
      <w:r>
        <w:rPr>
          <w:rFonts w:ascii="Calibri" w:cs="Calibri" w:eastAsia="Calibri" w:hAnsi="Calibri"/>
          <w:color w:val="1A1A1A"/>
          <w:sz w:val="22"/>
          <w:szCs w:val="22"/>
        </w:rPr>
        <w:t xml:space="preserve">Notification email vers contact@nassimboukrouh.com.</w:t>
      </w:r>
    </w:p>
    <w:p>
      <w:pPr>
        <w:pStyle w:val="ListParagraph"/>
        <w:numPr>
          <w:ilvl w:val="0"/>
          <w:numId w:val="2"/>
        </w:numPr>
        <w:spacing w:after="80" w:line="300"/>
      </w:pPr>
      <w:r>
        <w:rPr>
          <w:rFonts w:ascii="Calibri" w:cs="Calibri" w:eastAsia="Calibri" w:hAnsi="Calibri"/>
          <w:color w:val="1A1A1A"/>
          <w:sz w:val="22"/>
          <w:szCs w:val="22"/>
        </w:rPr>
        <w:t xml:space="preserve">Confirmation par email auto avec délai de réponse annoncé.</w:t>
      </w:r>
    </w:p>
    <w:p>
      <w:pPr>
        <w:pStyle w:val="ListParagraph"/>
        <w:numPr>
          <w:ilvl w:val="0"/>
          <w:numId w:val="2"/>
        </w:numPr>
        <w:spacing w:after="80" w:line="300"/>
      </w:pPr>
      <w:r>
        <w:rPr>
          <w:rFonts w:ascii="Calibri" w:cs="Calibri" w:eastAsia="Calibri" w:hAnsi="Calibri"/>
          <w:color w:val="1A1A1A"/>
          <w:sz w:val="22"/>
          <w:szCs w:val="22"/>
        </w:rPr>
        <w:t xml:space="preserve">Pas de redirection sortante après soumission, page «Merci» inline.</w:t>
      </w:r>
    </w:p>
    <w:p>
      <w:pPr>
        <w:pStyle w:val="Heading2"/>
        <w:spacing w:after="160" w:before="320"/>
      </w:pPr>
      <w:r>
        <w:rPr>
          <w:rFonts w:ascii="Calibri" w:cs="Calibri" w:eastAsia="Calibri" w:hAnsi="Calibri"/>
          <w:b/>
          <w:bCs/>
          <w:color w:val="0A0A0A"/>
          <w:sz w:val="28"/>
          <w:szCs w:val="28"/>
        </w:rPr>
        <w:t xml:space="preserve">8.7 — Responsive</w:t>
      </w:r>
    </w:p>
    <w:p>
      <w:pPr>
        <w:pStyle w:val="ListParagraph"/>
        <w:numPr>
          <w:ilvl w:val="0"/>
          <w:numId w:val="2"/>
        </w:numPr>
        <w:spacing w:after="80" w:line="300"/>
      </w:pPr>
      <w:r>
        <w:rPr>
          <w:rFonts w:ascii="Calibri" w:cs="Calibri" w:eastAsia="Calibri" w:hAnsi="Calibri"/>
          <w:color w:val="1A1A1A"/>
          <w:sz w:val="22"/>
          <w:szCs w:val="22"/>
        </w:rPr>
        <w:t xml:space="preserve">Mobile-first impératif (trafic Instagram = 80%+ mobile).</w:t>
      </w:r>
    </w:p>
    <w:p>
      <w:pPr>
        <w:pStyle w:val="ListParagraph"/>
        <w:numPr>
          <w:ilvl w:val="0"/>
          <w:numId w:val="2"/>
        </w:numPr>
        <w:spacing w:after="80" w:line="300"/>
      </w:pPr>
      <w:r>
        <w:rPr>
          <w:rFonts w:ascii="Calibri" w:cs="Calibri" w:eastAsia="Calibri" w:hAnsi="Calibri"/>
          <w:color w:val="1A1A1A"/>
          <w:sz w:val="22"/>
          <w:szCs w:val="22"/>
        </w:rPr>
        <w:t xml:space="preserve">Breakpoints : 480 / 768 / 1024 / 1440 / 1920 pixels.</w:t>
      </w:r>
    </w:p>
    <w:p>
      <w:pPr>
        <w:pStyle w:val="ListParagraph"/>
        <w:numPr>
          <w:ilvl w:val="0"/>
          <w:numId w:val="2"/>
        </w:numPr>
        <w:spacing w:after="80" w:line="300"/>
      </w:pPr>
      <w:r>
        <w:rPr>
          <w:rFonts w:ascii="Calibri" w:cs="Calibri" w:eastAsia="Calibri" w:hAnsi="Calibri"/>
          <w:color w:val="1A1A1A"/>
          <w:sz w:val="22"/>
          <w:szCs w:val="22"/>
        </w:rPr>
        <w:t xml:space="preserve">Test prioritaire sur iPhone SE (375 pixels).</w:t>
      </w:r>
    </w:p>
    <w:p>
      <w:r>
        <w:br w:type="page"/>
      </w:r>
    </w:p>
    <w:p>
      <w:pPr>
        <w:pStyle w:val="Heading1"/>
        <w:spacing w:after="200" w:before="360"/>
      </w:pPr>
      <w:r>
        <w:rPr>
          <w:rFonts w:ascii="Calibri" w:cs="Calibri" w:eastAsia="Calibri" w:hAnsi="Calibri"/>
          <w:b/>
          <w:bCs/>
          <w:color w:val="0A0A0A"/>
          <w:sz w:val="36"/>
          <w:szCs w:val="36"/>
        </w:rPr>
        <w:t xml:space="preserve">9. Livrables attendus</w:t>
      </w:r>
    </w:p>
    <w:p>
      <w:pPr>
        <w:pStyle w:val="Heading2"/>
        <w:spacing w:after="160" w:before="320"/>
      </w:pPr>
      <w:r>
        <w:rPr>
          <w:rFonts w:ascii="Calibri" w:cs="Calibri" w:eastAsia="Calibri" w:hAnsi="Calibri"/>
          <w:b/>
          <w:bCs/>
          <w:color w:val="0A0A0A"/>
          <w:sz w:val="28"/>
          <w:szCs w:val="28"/>
        </w:rPr>
        <w:t xml:space="preserve">Phase 1 — Design statique (5 à 7 jours)</w:t>
      </w:r>
    </w:p>
    <w:p>
      <w:pPr>
        <w:pStyle w:val="ListParagraph"/>
        <w:numPr>
          <w:ilvl w:val="0"/>
          <w:numId w:val="2"/>
        </w:numPr>
        <w:spacing w:after="80" w:line="300"/>
      </w:pPr>
      <w:r>
        <w:rPr>
          <w:rFonts w:ascii="Calibri" w:cs="Calibri" w:eastAsia="Calibri" w:hAnsi="Calibri"/>
          <w:color w:val="1A1A1A"/>
          <w:sz w:val="22"/>
          <w:szCs w:val="22"/>
        </w:rPr>
        <w:t xml:space="preserve">Maquette desktop 1440 px (toutes sections).</w:t>
      </w:r>
    </w:p>
    <w:p>
      <w:pPr>
        <w:pStyle w:val="ListParagraph"/>
        <w:numPr>
          <w:ilvl w:val="0"/>
          <w:numId w:val="2"/>
        </w:numPr>
        <w:spacing w:after="80" w:line="300"/>
      </w:pPr>
      <w:r>
        <w:rPr>
          <w:rFonts w:ascii="Calibri" w:cs="Calibri" w:eastAsia="Calibri" w:hAnsi="Calibri"/>
          <w:color w:val="1A1A1A"/>
          <w:sz w:val="22"/>
          <w:szCs w:val="22"/>
        </w:rPr>
        <w:t xml:space="preserve">Maquette mobile 375 px (toutes sections).</w:t>
      </w:r>
    </w:p>
    <w:p>
      <w:pPr>
        <w:pStyle w:val="ListParagraph"/>
        <w:numPr>
          <w:ilvl w:val="0"/>
          <w:numId w:val="2"/>
        </w:numPr>
        <w:spacing w:after="80" w:line="300"/>
      </w:pPr>
      <w:r>
        <w:rPr>
          <w:rFonts w:ascii="Calibri" w:cs="Calibri" w:eastAsia="Calibri" w:hAnsi="Calibri"/>
          <w:color w:val="1A1A1A"/>
          <w:sz w:val="22"/>
          <w:szCs w:val="22"/>
        </w:rPr>
        <w:t xml:space="preserve">Variations Hero (3 options pour A/B).</w:t>
      </w:r>
    </w:p>
    <w:p>
      <w:pPr>
        <w:pStyle w:val="ListParagraph"/>
        <w:numPr>
          <w:ilvl w:val="0"/>
          <w:numId w:val="2"/>
        </w:numPr>
        <w:spacing w:after="80" w:line="300"/>
      </w:pPr>
      <w:r>
        <w:rPr>
          <w:rFonts w:ascii="Calibri" w:cs="Calibri" w:eastAsia="Calibri" w:hAnsi="Calibri"/>
          <w:color w:val="1A1A1A"/>
          <w:sz w:val="22"/>
          <w:szCs w:val="22"/>
        </w:rPr>
        <w:t xml:space="preserve">Charte composants : boutons, formulaire, cards.</w:t>
      </w:r>
    </w:p>
    <w:p>
      <w:pPr>
        <w:pStyle w:val="Heading2"/>
        <w:spacing w:after="160" w:before="320"/>
      </w:pPr>
      <w:r>
        <w:rPr>
          <w:rFonts w:ascii="Calibri" w:cs="Calibri" w:eastAsia="Calibri" w:hAnsi="Calibri"/>
          <w:b/>
          <w:bCs/>
          <w:color w:val="0A0A0A"/>
          <w:sz w:val="28"/>
          <w:szCs w:val="28"/>
        </w:rPr>
        <w:t xml:space="preserve">Phase 2 — Intégration (7 à 10 jours)</w:t>
      </w:r>
    </w:p>
    <w:p>
      <w:pPr>
        <w:pStyle w:val="ListParagraph"/>
        <w:numPr>
          <w:ilvl w:val="0"/>
          <w:numId w:val="2"/>
        </w:numPr>
        <w:spacing w:after="80" w:line="300"/>
      </w:pPr>
      <w:r>
        <w:rPr>
          <w:rFonts w:ascii="Calibri" w:cs="Calibri" w:eastAsia="Calibri" w:hAnsi="Calibri"/>
          <w:color w:val="1A1A1A"/>
          <w:sz w:val="22"/>
          <w:szCs w:val="22"/>
        </w:rPr>
        <w:t xml:space="preserve">Site déployé sur staging avec URL de preview.</w:t>
      </w:r>
    </w:p>
    <w:p>
      <w:pPr>
        <w:pStyle w:val="ListParagraph"/>
        <w:numPr>
          <w:ilvl w:val="0"/>
          <w:numId w:val="2"/>
        </w:numPr>
        <w:spacing w:after="80" w:line="300"/>
      </w:pPr>
      <w:r>
        <w:rPr>
          <w:rFonts w:ascii="Calibri" w:cs="Calibri" w:eastAsia="Calibri" w:hAnsi="Calibri"/>
          <w:color w:val="1A1A1A"/>
          <w:sz w:val="22"/>
          <w:szCs w:val="22"/>
        </w:rPr>
        <w:t xml:space="preserve">Tests responsive complets sur 5 breakpoints.</w:t>
      </w:r>
    </w:p>
    <w:p>
      <w:pPr>
        <w:pStyle w:val="ListParagraph"/>
        <w:numPr>
          <w:ilvl w:val="0"/>
          <w:numId w:val="2"/>
        </w:numPr>
        <w:spacing w:after="80" w:line="300"/>
      </w:pPr>
      <w:r>
        <w:rPr>
          <w:rFonts w:ascii="Calibri" w:cs="Calibri" w:eastAsia="Calibri" w:hAnsi="Calibri"/>
          <w:color w:val="1A1A1A"/>
          <w:sz w:val="22"/>
          <w:szCs w:val="22"/>
        </w:rPr>
        <w:t xml:space="preserve">Connexion formulaire et email de notification.</w:t>
      </w:r>
    </w:p>
    <w:p>
      <w:pPr>
        <w:pStyle w:val="ListParagraph"/>
        <w:numPr>
          <w:ilvl w:val="0"/>
          <w:numId w:val="2"/>
        </w:numPr>
        <w:spacing w:after="80" w:line="300"/>
      </w:pPr>
      <w:r>
        <w:rPr>
          <w:rFonts w:ascii="Calibri" w:cs="Calibri" w:eastAsia="Calibri" w:hAnsi="Calibri"/>
          <w:color w:val="1A1A1A"/>
          <w:sz w:val="22"/>
          <w:szCs w:val="22"/>
        </w:rPr>
        <w:t xml:space="preserve">Lighthouse supérieur à 90 sur Performance et Accessibility.</w:t>
      </w:r>
    </w:p>
    <w:p>
      <w:pPr>
        <w:pStyle w:val="Heading2"/>
        <w:spacing w:after="160" w:before="320"/>
      </w:pPr>
      <w:r>
        <w:rPr>
          <w:rFonts w:ascii="Calibri" w:cs="Calibri" w:eastAsia="Calibri" w:hAnsi="Calibri"/>
          <w:b/>
          <w:bCs/>
          <w:color w:val="0A0A0A"/>
          <w:sz w:val="28"/>
          <w:szCs w:val="28"/>
        </w:rPr>
        <w:t xml:space="preserve">Phase 3 — Mise en ligne (1 à 2 jours)</w:t>
      </w:r>
    </w:p>
    <w:p>
      <w:pPr>
        <w:pStyle w:val="ListParagraph"/>
        <w:numPr>
          <w:ilvl w:val="0"/>
          <w:numId w:val="2"/>
        </w:numPr>
        <w:spacing w:after="80" w:line="300"/>
      </w:pPr>
      <w:r>
        <w:rPr>
          <w:rFonts w:ascii="Calibri" w:cs="Calibri" w:eastAsia="Calibri" w:hAnsi="Calibri"/>
          <w:color w:val="1A1A1A"/>
          <w:sz w:val="22"/>
          <w:szCs w:val="22"/>
        </w:rPr>
        <w:t xml:space="preserve">Migration DNS sur nassimboukrouh.com.</w:t>
      </w:r>
    </w:p>
    <w:p>
      <w:pPr>
        <w:pStyle w:val="ListParagraph"/>
        <w:numPr>
          <w:ilvl w:val="0"/>
          <w:numId w:val="2"/>
        </w:numPr>
        <w:spacing w:after="80" w:line="300"/>
      </w:pPr>
      <w:r>
        <w:rPr>
          <w:rFonts w:ascii="Calibri" w:cs="Calibri" w:eastAsia="Calibri" w:hAnsi="Calibri"/>
          <w:color w:val="1A1A1A"/>
          <w:sz w:val="22"/>
          <w:szCs w:val="22"/>
        </w:rPr>
        <w:t xml:space="preserve">Setup analytics (Plausible ou Fathom).</w:t>
      </w:r>
    </w:p>
    <w:p>
      <w:pPr>
        <w:pStyle w:val="ListParagraph"/>
        <w:numPr>
          <w:ilvl w:val="0"/>
          <w:numId w:val="2"/>
        </w:numPr>
        <w:spacing w:after="80" w:line="300"/>
      </w:pPr>
      <w:r>
        <w:rPr>
          <w:rFonts w:ascii="Calibri" w:cs="Calibri" w:eastAsia="Calibri" w:hAnsi="Calibri"/>
          <w:color w:val="1A1A1A"/>
          <w:sz w:val="22"/>
          <w:szCs w:val="22"/>
        </w:rPr>
        <w:t xml:space="preserve">Documentation de maintenance pour Maison Sigma.</w:t>
      </w:r>
    </w:p>
    <w:p>
      <w:r>
        <w:br w:type="page"/>
      </w:r>
    </w:p>
    <w:p>
      <w:pPr>
        <w:pStyle w:val="Heading1"/>
        <w:spacing w:after="200" w:before="360"/>
      </w:pPr>
      <w:r>
        <w:rPr>
          <w:rFonts w:ascii="Calibri" w:cs="Calibri" w:eastAsia="Calibri" w:hAnsi="Calibri"/>
          <w:b/>
          <w:bCs/>
          <w:color w:val="0A0A0A"/>
          <w:sz w:val="36"/>
          <w:szCs w:val="36"/>
        </w:rPr>
        <w:t xml:space="preserve">10. Inputs requis avant production</w:t>
      </w:r>
    </w:p>
    <w:p>
      <w:pPr>
        <w:spacing w:after="120" w:line="320"/>
        <w:jc w:val="left"/>
      </w:pPr>
      <w:r>
        <w:rPr>
          <w:rFonts w:ascii="Calibri" w:cs="Calibri" w:eastAsia="Calibri" w:hAnsi="Calibri"/>
          <w:b w:val="false"/>
          <w:bCs w:val="false"/>
          <w:i w:val="false"/>
          <w:iCs w:val="false"/>
          <w:color w:val="1A1A1A"/>
          <w:sz w:val="22"/>
          <w:szCs w:val="22"/>
        </w:rPr>
        <w:t xml:space="preserve">Sans ces 5 éléments tranchés, le site ne peut pas être lancé.</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226"/>
      </w:tblGrid>
      <w:tr>
        <w:trPr>
          <w:tblHeader/>
        </w:trPr>
        <w:tc>
          <w:tcPr>
            <w:tcW w:type="dxa" w:w="800"/>
            <w:tcBorders>
              <w:top w:val="single" w:color="CCCCCC" w:sz="4"/>
              <w:left w:val="single" w:color="CCCCCC" w:sz="4"/>
              <w:bottom w:val="single" w:color="CCCCCC" w:sz="4"/>
              <w:right w:val="single" w:color="CCCCCC" w:sz="4"/>
            </w:tcBorders>
            <w:shd w:fill="0A0A0A" w:color="auto" w:val="clear"/>
            <w:tcMar>
              <w:top w:type="dxa" w:w="120"/>
              <w:left w:type="dxa" w:w="160"/>
              <w:bottom w:type="dxa" w:w="120"/>
              <w:right w:type="dxa" w:w="160"/>
            </w:tcMar>
          </w:tcPr>
          <w:p>
            <w:pPr>
              <w:jc w:val="center"/>
            </w:pPr>
            <w:r>
              <w:rPr>
                <w:rFonts w:ascii="Calibri" w:cs="Calibri" w:eastAsia="Calibri" w:hAnsi="Calibri"/>
                <w:b/>
                <w:bCs/>
                <w:color w:val="F5F5F0"/>
                <w:sz w:val="20"/>
                <w:szCs w:val="20"/>
              </w:rPr>
              <w:t xml:space="preserve">#</w:t>
            </w:r>
          </w:p>
        </w:tc>
        <w:tc>
          <w:tcPr>
            <w:tcW w:type="dxa" w:w="4000"/>
            <w:tcBorders>
              <w:top w:val="single" w:color="CCCCCC" w:sz="4"/>
              <w:left w:val="single" w:color="CCCCCC" w:sz="4"/>
              <w:bottom w:val="single" w:color="CCCCCC" w:sz="4"/>
              <w:right w:val="single" w:color="CCCCCC" w:sz="4"/>
            </w:tcBorders>
            <w:shd w:fill="0A0A0A" w:color="auto" w:val="clear"/>
            <w:tcMar>
              <w:top w:type="dxa" w:w="120"/>
              <w:left w:type="dxa" w:w="160"/>
              <w:bottom w:type="dxa" w:w="120"/>
              <w:right w:type="dxa" w:w="160"/>
            </w:tcMar>
          </w:tcPr>
          <w:p>
            <w:pPr>
              <w:jc w:val="left"/>
            </w:pPr>
            <w:r>
              <w:rPr>
                <w:rFonts w:ascii="Calibri" w:cs="Calibri" w:eastAsia="Calibri" w:hAnsi="Calibri"/>
                <w:b/>
                <w:bCs/>
                <w:color w:val="F5F5F0"/>
                <w:sz w:val="20"/>
                <w:szCs w:val="20"/>
              </w:rPr>
              <w:t xml:space="preserve">Élément</w:t>
            </w:r>
          </w:p>
        </w:tc>
        <w:tc>
          <w:tcPr>
            <w:tcW w:type="dxa" w:w="4226"/>
            <w:tcBorders>
              <w:top w:val="single" w:color="CCCCCC" w:sz="4"/>
              <w:left w:val="single" w:color="CCCCCC" w:sz="4"/>
              <w:bottom w:val="single" w:color="CCCCCC" w:sz="4"/>
              <w:right w:val="single" w:color="CCCCCC" w:sz="4"/>
            </w:tcBorders>
            <w:shd w:fill="0A0A0A" w:color="auto" w:val="clear"/>
            <w:tcMar>
              <w:top w:type="dxa" w:w="120"/>
              <w:left w:type="dxa" w:w="160"/>
              <w:bottom w:type="dxa" w:w="120"/>
              <w:right w:type="dxa" w:w="160"/>
            </w:tcMar>
          </w:tcPr>
          <w:p>
            <w:pPr>
              <w:jc w:val="left"/>
            </w:pPr>
            <w:r>
              <w:rPr>
                <w:rFonts w:ascii="Calibri" w:cs="Calibri" w:eastAsia="Calibri" w:hAnsi="Calibri"/>
                <w:b/>
                <w:bCs/>
                <w:color w:val="F5F5F0"/>
                <w:sz w:val="20"/>
                <w:szCs w:val="20"/>
              </w:rPr>
              <w:t xml:space="preserve">Décision attendue</w:t>
            </w:r>
          </w:p>
        </w:tc>
      </w:tr>
      <w:tr>
        <w:tc>
          <w:tcPr>
            <w:tcW w:type="dxa" w:w="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bCs/>
                <w:color w:val="E85D29"/>
                <w:sz w:val="20"/>
                <w:szCs w:val="20"/>
              </w:rPr>
              <w:t xml:space="preserve">01</w:t>
            </w:r>
          </w:p>
        </w:tc>
        <w:tc>
          <w:tcPr>
            <w:tcW w:type="dxa" w:w="40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0"/>
                <w:szCs w:val="20"/>
              </w:rPr>
              <w:t xml:space="preserve">Tagline finale</w:t>
            </w:r>
          </w:p>
        </w:tc>
        <w:tc>
          <w:tcPr>
            <w:tcW w:type="dxa" w:w="42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Choix parmi les 3 options proposées en §3, ou nouvelle proposition Nassim.</w:t>
            </w:r>
          </w:p>
        </w:tc>
      </w:tr>
      <w:tr>
        <w:tc>
          <w:tcPr>
            <w:tcW w:type="dxa" w:w="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bCs/>
                <w:color w:val="E85D29"/>
                <w:sz w:val="20"/>
                <w:szCs w:val="20"/>
              </w:rPr>
              <w:t xml:space="preserve">02</w:t>
            </w:r>
          </w:p>
        </w:tc>
        <w:tc>
          <w:tcPr>
            <w:tcW w:type="dxa" w:w="40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0"/>
                <w:szCs w:val="20"/>
              </w:rPr>
              <w:t xml:space="preserve">Chiffre agrégé 140 000 m²</w:t>
            </w:r>
          </w:p>
        </w:tc>
        <w:tc>
          <w:tcPr>
            <w:tcW w:type="dxa" w:w="42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Reconfirmation par Nassim et Hugo que ce chiffre peut être affiché publiquement.</w:t>
            </w:r>
          </w:p>
        </w:tc>
      </w:tr>
      <w:tr>
        <w:tc>
          <w:tcPr>
            <w:tcW w:type="dxa" w:w="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bCs/>
                <w:color w:val="E85D29"/>
                <w:sz w:val="20"/>
                <w:szCs w:val="20"/>
              </w:rPr>
              <w:t xml:space="preserve">03</w:t>
            </w:r>
          </w:p>
        </w:tc>
        <w:tc>
          <w:tcPr>
            <w:tcW w:type="dxa" w:w="40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0"/>
                <w:szCs w:val="20"/>
              </w:rPr>
              <w:t xml:space="preserve">3 photos clés</w:t>
            </w:r>
          </w:p>
        </w:tc>
        <w:tc>
          <w:tcPr>
            <w:tcW w:type="dxa" w:w="42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Portrait intérieur, Nassim en chantier, Nassim en réunion équipe. Shooting ou rushs existants.</w:t>
            </w:r>
          </w:p>
        </w:tc>
      </w:tr>
      <w:tr>
        <w:tc>
          <w:tcPr>
            <w:tcW w:type="dxa" w:w="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bCs/>
                <w:color w:val="E85D29"/>
                <w:sz w:val="20"/>
                <w:szCs w:val="20"/>
              </w:rPr>
              <w:t xml:space="preserve">04</w:t>
            </w:r>
          </w:p>
        </w:tc>
        <w:tc>
          <w:tcPr>
            <w:tcW w:type="dxa" w:w="40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0"/>
                <w:szCs w:val="20"/>
              </w:rPr>
              <w:t xml:space="preserve">Accord des associés sur les 3 deals</w:t>
            </w:r>
          </w:p>
        </w:tc>
        <w:tc>
          <w:tcPr>
            <w:tcW w:type="dxa" w:w="42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Honfleur (Gilles, Quentin), SFP (David), Ayse (Théo) — validation explicite avant publication.</w:t>
            </w:r>
          </w:p>
        </w:tc>
      </w:tr>
      <w:tr>
        <w:tc>
          <w:tcPr>
            <w:tcW w:type="dxa" w:w="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bCs/>
                <w:color w:val="E85D29"/>
                <w:sz w:val="20"/>
                <w:szCs w:val="20"/>
              </w:rPr>
              <w:t xml:space="preserve">05</w:t>
            </w:r>
          </w:p>
        </w:tc>
        <w:tc>
          <w:tcPr>
            <w:tcW w:type="dxa" w:w="40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bCs/>
                <w:color w:val="1A1A1A"/>
                <w:sz w:val="20"/>
                <w:szCs w:val="20"/>
              </w:rPr>
              <w:t xml:space="preserve">Stack technique</w:t>
            </w:r>
          </w:p>
        </w:tc>
        <w:tc>
          <w:tcPr>
            <w:tcW w:type="dxa" w:w="42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Framer vs Webflow. Décision Sabrina selon coût et maintenance long-terme.</w:t>
            </w:r>
          </w:p>
        </w:tc>
      </w:tr>
    </w:tbl>
    <w:p>
      <w:r>
        <w:br w:type="page"/>
      </w:r>
    </w:p>
    <w:p>
      <w:pPr>
        <w:pStyle w:val="Heading1"/>
        <w:spacing w:after="200" w:before="360"/>
      </w:pPr>
      <w:r>
        <w:rPr>
          <w:rFonts w:ascii="Calibri" w:cs="Calibri" w:eastAsia="Calibri" w:hAnsi="Calibri"/>
          <w:b/>
          <w:bCs/>
          <w:color w:val="0A0A0A"/>
          <w:sz w:val="36"/>
          <w:szCs w:val="36"/>
        </w:rPr>
        <w:t xml:space="preserve">11. Risques anticipés</w:t>
      </w:r>
    </w:p>
    <w:p>
      <w:pPr>
        <w:spacing w:after="120" w:line="320"/>
        <w:jc w:val="left"/>
      </w:pPr>
      <w:r>
        <w:rPr>
          <w:rFonts w:ascii="Calibri" w:cs="Calibri" w:eastAsia="Calibri" w:hAnsi="Calibri"/>
          <w:b w:val="false"/>
          <w:bCs w:val="false"/>
          <w:i w:val="false"/>
          <w:iCs w:val="false"/>
          <w:color w:val="1A1A1A"/>
          <w:sz w:val="22"/>
          <w:szCs w:val="22"/>
        </w:rPr>
        <w:t xml:space="preserve">Cinq risques identifiés. Mitigation prévue pour chacun.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026"/>
      </w:tblGrid>
      <w:tr>
        <w:trPr>
          <w:tblHeader/>
        </w:trPr>
        <w:tc>
          <w:tcPr>
            <w:tcW w:type="dxa" w:w="3500"/>
            <w:tcBorders>
              <w:top w:val="single" w:color="CCCCCC" w:sz="4"/>
              <w:left w:val="single" w:color="CCCCCC" w:sz="4"/>
              <w:bottom w:val="single" w:color="CCCCCC" w:sz="4"/>
              <w:right w:val="single" w:color="CCCCCC" w:sz="4"/>
            </w:tcBorders>
            <w:shd w:fill="0A0A0A" w:color="auto" w:val="clear"/>
            <w:tcMar>
              <w:top w:type="dxa" w:w="120"/>
              <w:left w:type="dxa" w:w="160"/>
              <w:bottom w:type="dxa" w:w="120"/>
              <w:right w:type="dxa" w:w="160"/>
            </w:tcMar>
          </w:tcPr>
          <w:p>
            <w:pPr>
              <w:jc w:val="left"/>
            </w:pPr>
            <w:r>
              <w:rPr>
                <w:rFonts w:ascii="Calibri" w:cs="Calibri" w:eastAsia="Calibri" w:hAnsi="Calibri"/>
                <w:b/>
                <w:bCs/>
                <w:color w:val="F5F5F0"/>
                <w:sz w:val="20"/>
                <w:szCs w:val="20"/>
              </w:rPr>
              <w:t xml:space="preserve">Risque</w:t>
            </w:r>
          </w:p>
        </w:tc>
        <w:tc>
          <w:tcPr>
            <w:tcW w:type="dxa" w:w="1500"/>
            <w:tcBorders>
              <w:top w:val="single" w:color="CCCCCC" w:sz="4"/>
              <w:left w:val="single" w:color="CCCCCC" w:sz="4"/>
              <w:bottom w:val="single" w:color="CCCCCC" w:sz="4"/>
              <w:right w:val="single" w:color="CCCCCC" w:sz="4"/>
            </w:tcBorders>
            <w:shd w:fill="0A0A0A" w:color="auto" w:val="clear"/>
            <w:tcMar>
              <w:top w:type="dxa" w:w="120"/>
              <w:left w:type="dxa" w:w="160"/>
              <w:bottom w:type="dxa" w:w="120"/>
              <w:right w:type="dxa" w:w="160"/>
            </w:tcMar>
          </w:tcPr>
          <w:p>
            <w:pPr>
              <w:jc w:val="center"/>
            </w:pPr>
            <w:r>
              <w:rPr>
                <w:rFonts w:ascii="Calibri" w:cs="Calibri" w:eastAsia="Calibri" w:hAnsi="Calibri"/>
                <w:b/>
                <w:bCs/>
                <w:color w:val="F5F5F0"/>
                <w:sz w:val="20"/>
                <w:szCs w:val="20"/>
              </w:rPr>
              <w:t xml:space="preserve">Probabilité</w:t>
            </w:r>
          </w:p>
        </w:tc>
        <w:tc>
          <w:tcPr>
            <w:tcW w:type="dxa" w:w="4026"/>
            <w:tcBorders>
              <w:top w:val="single" w:color="CCCCCC" w:sz="4"/>
              <w:left w:val="single" w:color="CCCCCC" w:sz="4"/>
              <w:bottom w:val="single" w:color="CCCCCC" w:sz="4"/>
              <w:right w:val="single" w:color="CCCCCC" w:sz="4"/>
            </w:tcBorders>
            <w:shd w:fill="0A0A0A" w:color="auto" w:val="clear"/>
            <w:tcMar>
              <w:top w:type="dxa" w:w="120"/>
              <w:left w:type="dxa" w:w="160"/>
              <w:bottom w:type="dxa" w:w="120"/>
              <w:right w:type="dxa" w:w="160"/>
            </w:tcMar>
          </w:tcPr>
          <w:p>
            <w:pPr>
              <w:jc w:val="left"/>
            </w:pPr>
            <w:r>
              <w:rPr>
                <w:rFonts w:ascii="Calibri" w:cs="Calibri" w:eastAsia="Calibri" w:hAnsi="Calibri"/>
                <w:b/>
                <w:bCs/>
                <w:color w:val="F5F5F0"/>
                <w:sz w:val="20"/>
                <w:szCs w:val="20"/>
              </w:rPr>
              <w:t xml:space="preserve">Mitigation</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Tonalité «anti-guru» perçue comme guru malgré la sobriété.</w:t>
            </w:r>
          </w:p>
        </w:tc>
        <w:tc>
          <w:tcPr>
            <w:tcW w:type="dxa" w:w="1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bCs/>
                <w:color w:val="E85D29"/>
                <w:sz w:val="20"/>
                <w:szCs w:val="20"/>
              </w:rPr>
              <w:t xml:space="preserve">Moyenne</w:t>
            </w:r>
          </w:p>
        </w:tc>
        <w:tc>
          <w:tcPr>
            <w:tcW w:type="dxa" w:w="4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Test utilisateur sur 5 prospects qualifiés avant mise en ligne.</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Formulaire trop long = abandon élevé.</w:t>
            </w:r>
          </w:p>
        </w:tc>
        <w:tc>
          <w:tcPr>
            <w:tcW w:type="dxa" w:w="1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bCs/>
                <w:color w:val="E85D29"/>
                <w:sz w:val="20"/>
                <w:szCs w:val="20"/>
              </w:rPr>
              <w:t xml:space="preserve">Élevée</w:t>
            </w:r>
          </w:p>
        </w:tc>
        <w:tc>
          <w:tcPr>
            <w:tcW w:type="dxa" w:w="4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A/B test sur 2 versions : version courte (3 champs) vs version qualifiante (7 champs).</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Concurrents UMDB perçus comme attaqués.</w:t>
            </w:r>
          </w:p>
        </w:tc>
        <w:tc>
          <w:tcPr>
            <w:tcW w:type="dxa" w:w="1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val="false"/>
                <w:bCs w:val="false"/>
                <w:color w:val="1A1A1A"/>
                <w:sz w:val="20"/>
                <w:szCs w:val="20"/>
              </w:rPr>
              <w:t xml:space="preserve">Faible</w:t>
            </w:r>
          </w:p>
        </w:tc>
        <w:tc>
          <w:tcPr>
            <w:tcW w:type="dxa" w:w="4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Aucune mention concurrente directe, différenciation par specificity uniquement.</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Trafic Instagram qui se perd sur version desktop.</w:t>
            </w:r>
          </w:p>
        </w:tc>
        <w:tc>
          <w:tcPr>
            <w:tcW w:type="dxa" w:w="1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val="false"/>
                <w:bCs w:val="false"/>
                <w:color w:val="1A1A1A"/>
                <w:sz w:val="20"/>
                <w:szCs w:val="20"/>
              </w:rPr>
              <w:t xml:space="preserve">Faible</w:t>
            </w:r>
          </w:p>
        </w:tc>
        <w:tc>
          <w:tcPr>
            <w:tcW w:type="dxa" w:w="4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Mobile-first strict, tests prioritaires 375 pixels.</w:t>
            </w:r>
          </w:p>
        </w:tc>
      </w:tr>
      <w:tr>
        <w:tc>
          <w:tcPr>
            <w:tcW w:type="dxa" w:w="3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Demande de la part de candidats non qualifiés.</w:t>
            </w:r>
          </w:p>
        </w:tc>
        <w:tc>
          <w:tcPr>
            <w:tcW w:type="dxa" w:w="1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center"/>
            </w:pPr>
            <w:r>
              <w:rPr>
                <w:rFonts w:ascii="Calibri" w:cs="Calibri" w:eastAsia="Calibri" w:hAnsi="Calibri"/>
                <w:b/>
                <w:bCs/>
                <w:color w:val="E85D29"/>
                <w:sz w:val="20"/>
                <w:szCs w:val="20"/>
              </w:rPr>
              <w:t xml:space="preserve">Élevée</w:t>
            </w:r>
          </w:p>
        </w:tc>
        <w:tc>
          <w:tcPr>
            <w:tcW w:type="dxa" w:w="4026"/>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jc w:val="left"/>
            </w:pPr>
            <w:r>
              <w:rPr>
                <w:rFonts w:ascii="Calibri" w:cs="Calibri" w:eastAsia="Calibri" w:hAnsi="Calibri"/>
                <w:b w:val="false"/>
                <w:bCs w:val="false"/>
                <w:color w:val="1A1A1A"/>
                <w:sz w:val="20"/>
                <w:szCs w:val="20"/>
              </w:rPr>
              <w:t xml:space="preserve">Section 6 (conditions) filtre en amont. Réponse type pré-rédigée pour refus.</w:t>
            </w:r>
          </w:p>
        </w:tc>
      </w:tr>
    </w:tbl>
    <w:p>
      <w:r>
        <w:br w:type="page"/>
      </w:r>
    </w:p>
    <w:p>
      <w:pPr>
        <w:spacing w:after="800"/>
      </w:pPr>
      <w:r>
        <w:t xml:space="preserve"/>
      </w:r>
    </w:p>
    <w:p>
      <w:pPr>
        <w:pBdr>
          <w:bottom w:val="single" w:color="E85D29" w:sz="6" w:space="4"/>
        </w:pBdr>
        <w:spacing w:after="200" w:before="80"/>
      </w:pPr>
      <w:r>
        <w:t xml:space="preserve"/>
      </w:r>
    </w:p>
    <w:p>
      <w:pPr>
        <w:spacing w:after="80"/>
        <w:jc w:val="left"/>
      </w:pPr>
      <w:r>
        <w:rPr>
          <w:rFonts w:ascii="Calibri" w:cs="Calibri" w:eastAsia="Calibri" w:hAnsi="Calibri"/>
          <w:b/>
          <w:bCs/>
          <w:i w:val="false"/>
          <w:iCs w:val="false"/>
          <w:color w:val="0A0A0A"/>
          <w:sz w:val="32"/>
          <w:szCs w:val="32"/>
        </w:rPr>
        <w:t xml:space="preserve">Fin du brief</w:t>
      </w:r>
    </w:p>
    <w:p>
      <w:pPr>
        <w:spacing w:after="1000"/>
        <w:jc w:val="left"/>
      </w:pPr>
      <w:r>
        <w:rPr>
          <w:rFonts w:ascii="Calibri" w:cs="Calibri" w:eastAsia="Calibri" w:hAnsi="Calibri"/>
          <w:b w:val="false"/>
          <w:bCs w:val="false"/>
          <w:i/>
          <w:iCs/>
          <w:color w:val="888888"/>
          <w:sz w:val="18"/>
          <w:szCs w:val="18"/>
        </w:rPr>
        <w:t xml:space="preserve">Document de travail · Confidentiel · Ne pas diffuser</w:t>
      </w:r>
    </w:p>
    <w:p>
      <w:pPr>
        <w:spacing w:after="60"/>
        <w:jc w:val="left"/>
      </w:pPr>
      <w:r>
        <w:rPr>
          <w:rFonts w:ascii="Calibri" w:cs="Calibri" w:eastAsia="Calibri" w:hAnsi="Calibri"/>
          <w:b/>
          <w:bCs/>
          <w:i w:val="false"/>
          <w:iCs w:val="false"/>
          <w:color w:val="E85D29"/>
          <w:sz w:val="16"/>
          <w:szCs w:val="16"/>
        </w:rPr>
        <w:t xml:space="preserve">MAISON SIGMA</w:t>
      </w:r>
    </w:p>
    <w:p>
      <w:pPr>
        <w:spacing w:after="400"/>
        <w:jc w:val="left"/>
      </w:pPr>
      <w:r>
        <w:rPr>
          <w:rFonts w:ascii="Calibri" w:cs="Calibri" w:eastAsia="Calibri" w:hAnsi="Calibri"/>
          <w:b w:val="false"/>
          <w:bCs w:val="false"/>
          <w:i w:val="false"/>
          <w:iCs w:val="false"/>
          <w:color w:val="555555"/>
          <w:sz w:val="18"/>
          <w:szCs w:val="18"/>
        </w:rPr>
        <w:t xml:space="preserve">Direction éditoriale et stratégie de contenu</w:t>
      </w:r>
    </w:p>
    <w:p>
      <w:pPr>
        <w:spacing w:after="120" w:line="320"/>
        <w:jc w:val="left"/>
      </w:pPr>
      <w:r>
        <w:rPr>
          <w:rFonts w:ascii="Calibri" w:cs="Calibri" w:eastAsia="Calibri" w:hAnsi="Calibri"/>
          <w:b w:val="false"/>
          <w:bCs w:val="false"/>
          <w:i w:val="false"/>
          <w:iCs w:val="false"/>
          <w:color w:val="555555"/>
          <w:sz w:val="18"/>
          <w:szCs w:val="18"/>
        </w:rPr>
        <w:t xml:space="preserve">Pour toute question sur ce brief : </w:t>
      </w:r>
      <w:r>
        <w:rPr>
          <w:rFonts w:ascii="Calibri" w:cs="Calibri" w:eastAsia="Calibri" w:hAnsi="Calibri"/>
          <w:b/>
          <w:bCs/>
          <w:i w:val="false"/>
          <w:iCs w:val="false"/>
          <w:color w:val="1A1A1A"/>
          <w:sz w:val="18"/>
          <w:szCs w:val="18"/>
        </w:rPr>
        <w:t xml:space="preserve">Sabrina, Maison Sigma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Mai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29" w:sz="4" w:space="4"/>
      </w:pBdr>
      <w:spacing w:after="60"/>
      <w:jc w:val="left"/>
    </w:pPr>
    <w:r>
      <w:rPr>
        <w:rFonts w:ascii="Calibri" w:cs="Calibri" w:eastAsia="Calibri" w:hAnsi="Calibri"/>
        <w:b/>
        <w:bCs/>
        <w:color w:val="E85D29"/>
        <w:sz w:val="14"/>
        <w:szCs w:val="14"/>
      </w:rPr>
      <w:t xml:space="preserve">MAISON SIGMA</w:t>
    </w:r>
    <w:r>
      <w:rPr>
        <w:rFonts w:ascii="Calibri" w:cs="Calibri" w:eastAsia="Calibri" w:hAnsi="Calibri"/>
        <w:color w:val="888888"/>
        <w:sz w:val="14"/>
        <w:szCs w:val="14"/>
      </w:rPr>
      <w:t xml:space="preserve">    •    Brief design • nassimboukrouh.com • v1.1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A0A0A"/>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0A0A0A"/>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design — nassimboukrouh.com</dc:title>
  <dc:creator>Maison Sigma</dc:creator>
  <dc:description>Document de référence pour la production design et copy du site Nassim Boukrouh</dc:description>
  <cp:lastModifiedBy>Un-named</cp:lastModifiedBy>
  <cp:revision>1</cp:revision>
  <dcterms:created xsi:type="dcterms:W3CDTF">2026-05-10T20:45:31.240Z</dcterms:created>
  <dcterms:modified xsi:type="dcterms:W3CDTF">2026-05-10T20:45:31.240Z</dcterms:modified>
</cp:coreProperties>
</file>

<file path=docProps/custom.xml><?xml version="1.0" encoding="utf-8"?>
<Properties xmlns="http://schemas.openxmlformats.org/officeDocument/2006/custom-properties" xmlns:vt="http://schemas.openxmlformats.org/officeDocument/2006/docPropsVTypes"/>
</file>