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color w:val="999999"/>
          <w:spacing w:val="300"/>
          <w:sz w:val="28"/>
          <w:szCs w:val="28"/>
        </w:rPr>
        <w:t xml:space="preserve">BUSINESS PLAN</w:t>
      </w:r>
    </w:p>
    <w:p>
      <w:pPr>
        <w:spacing w:after="100"/>
        <w:jc w:val="center"/>
      </w:pPr>
      <w:r>
        <w:rPr>
          <w:rFonts w:ascii="Arial" w:cs="Arial" w:eastAsia="Arial" w:hAnsi="Arial"/>
          <w:b/>
          <w:bCs/>
          <w:color w:val="1B3A5C"/>
          <w:sz w:val="72"/>
          <w:szCs w:val="72"/>
        </w:rPr>
        <w:t xml:space="preserve">Cible</w:t>
      </w:r>
    </w:p>
    <w:p>
      <w:pPr>
        <w:spacing w:after="120"/>
        <w:jc w:val="center"/>
      </w:pPr>
      <w:r>
        <w:rPr>
          <w:rFonts w:ascii="Arial" w:cs="Arial" w:eastAsia="Arial" w:hAnsi="Arial"/>
          <w:i/>
          <w:iCs/>
          <w:color w:val="C9A96E"/>
          <w:sz w:val="36"/>
          <w:szCs w:val="36"/>
        </w:rPr>
        <w:t xml:space="preserve">AI On Your Finger</w:t>
      </w:r>
    </w:p>
    <w:p>
      <w:pPr>
        <w:pBdr>
          <w:bottom w:val="single" w:color="C9A96E" w:sz="4" w:space="1"/>
        </w:pBdr>
        <w:spacing w:after="600"/>
        <w:jc w:val="center"/>
      </w:pPr>
      <w:r>
        <w:rPr>
          <w:sz w:val="12"/>
          <w:szCs w:val="12"/>
        </w:rPr>
        <w:t xml:space="preserve"> </w:t>
      </w:r>
    </w:p>
    <w:p>
      <w:pPr>
        <w:spacing w:after="120"/>
        <w:jc w:val="center"/>
      </w:pPr>
      <w:r>
        <w:rPr>
          <w:rFonts w:ascii="Arial" w:cs="Arial" w:eastAsia="Arial" w:hAnsi="Arial"/>
          <w:color w:val="666666"/>
          <w:sz w:val="24"/>
          <w:szCs w:val="24"/>
        </w:rPr>
        <w:t xml:space="preserve">A Comprehensive Business Plan</w:t>
      </w:r>
    </w:p>
    <w:p>
      <w:pPr>
        <w:spacing w:after="120"/>
        <w:jc w:val="center"/>
      </w:pPr>
      <w:r>
        <w:rPr>
          <w:rFonts w:ascii="Arial" w:cs="Arial" w:eastAsia="Arial" w:hAnsi="Arial"/>
          <w:color w:val="666666"/>
          <w:sz w:val="22"/>
          <w:szCs w:val="22"/>
        </w:rPr>
        <w:t xml:space="preserve">Prepared for MGT 415 – Rady School of Management, UC San Diego</w:t>
      </w:r>
    </w:p>
    <w:p>
      <w:pPr>
        <w:spacing w:after="120"/>
        <w:jc w:val="center"/>
      </w:pPr>
      <w:r>
        <w:rPr>
          <w:rFonts w:ascii="Arial" w:cs="Arial" w:eastAsia="Arial" w:hAnsi="Arial"/>
          <w:color w:val="666666"/>
          <w:sz w:val="22"/>
          <w:szCs w:val="22"/>
        </w:rPr>
        <w:t xml:space="preserve">March 2026</w:t>
      </w:r>
    </w:p>
    <w:p>
      <w:pPr>
        <w:spacing w:before="1200"/>
      </w:pPr>
    </w:p>
    <w:p>
      <w:pPr>
        <w:spacing w:after="60"/>
        <w:jc w:val="center"/>
      </w:pPr>
      <w:r>
        <w:rPr>
          <w:rFonts w:ascii="Arial" w:cs="Arial" w:eastAsia="Arial" w:hAnsi="Arial"/>
          <w:b/>
          <w:bCs/>
          <w:color w:val="999999"/>
          <w:spacing w:val="200"/>
          <w:sz w:val="20"/>
          <w:szCs w:val="20"/>
        </w:rPr>
        <w:t xml:space="preserve">CONFIDENTIAL</w:t>
      </w:r>
    </w:p>
    <w:p>
      <w:pPr>
        <w:jc w:val="center"/>
      </w:pPr>
      <w:r>
        <w:rPr>
          <w:rFonts w:ascii="Arial" w:cs="Arial" w:eastAsia="Arial" w:hAnsi="Arial"/>
          <w:color w:val="999999"/>
          <w:sz w:val="18"/>
          <w:szCs w:val="18"/>
        </w:rPr>
        <w:t xml:space="preserve">This document contains proprietary information. Do not distribute without permission.</w:t>
      </w:r>
    </w:p>
    <w:p>
      <w:pPr>
        <w:sectPr>
          <w:pgSz w:w="12240" w:h="15840" w:orient="portrait"/>
          <w:pgMar w:top="1440" w:right="1440" w:bottom="1440" w:left="1440" w:header="708" w:footer="708" w:gutter="0"/>
          <w:pgNumType/>
          <w:docGrid w:linePitch="360"/>
        </w:sectPr>
      </w:pPr>
    </w:p>
    <w:p>
      <w:pPr>
        <w:spacing w:after="400"/>
      </w:pPr>
      <w:r>
        <w:rPr>
          <w:rFonts w:ascii="Arial" w:cs="Arial" w:eastAsia="Arial" w:hAnsi="Arial"/>
          <w:b/>
          <w:bCs/>
          <w:color w:val="1B3A5C"/>
          <w:sz w:val="36"/>
          <w:szCs w:val="36"/>
        </w:rPr>
        <w:t xml:space="preserve">Table of Contents</w:t>
      </w:r>
    </w:p>
    <w:p>
      <w:pPr>
        <w:tabs>
          <w:tab w:val="right" w:pos="9026" w:leader="dot"/>
        </w:tabs>
        <w:spacing w:after="160"/>
      </w:pPr>
      <w:r>
        <w:rPr>
          <w:rFonts w:ascii="Arial" w:cs="Arial" w:eastAsia="Arial" w:hAnsi="Arial"/>
          <w:color w:val="333333"/>
          <w:sz w:val="24"/>
          <w:szCs w:val="24"/>
        </w:rPr>
        <w:t xml:space="preserve">1.  Executive Summary</w:t>
      </w:r>
      <w:r>
        <w:rPr>
          <w:rFonts w:ascii="Arial" w:cs="Arial" w:eastAsia="Arial" w:hAnsi="Arial"/>
          <w:color w:val="666666"/>
          <w:sz w:val="24"/>
          <w:szCs w:val="24"/>
        </w:rPr>
        <w:t xml:space="preserve">	3</w:t>
      </w:r>
    </w:p>
    <w:p>
      <w:pPr>
        <w:tabs>
          <w:tab w:val="right" w:pos="9026" w:leader="dot"/>
        </w:tabs>
        <w:spacing w:after="160"/>
      </w:pPr>
      <w:r>
        <w:rPr>
          <w:rFonts w:ascii="Arial" w:cs="Arial" w:eastAsia="Arial" w:hAnsi="Arial"/>
          <w:color w:val="333333"/>
          <w:sz w:val="24"/>
          <w:szCs w:val="24"/>
        </w:rPr>
        <w:t xml:space="preserve">2.  Company Overview &amp; Objectives</w:t>
      </w:r>
      <w:r>
        <w:rPr>
          <w:rFonts w:ascii="Arial" w:cs="Arial" w:eastAsia="Arial" w:hAnsi="Arial"/>
          <w:color w:val="666666"/>
          <w:sz w:val="24"/>
          <w:szCs w:val="24"/>
        </w:rPr>
        <w:t xml:space="preserve">	4</w:t>
      </w:r>
    </w:p>
    <w:p>
      <w:pPr>
        <w:tabs>
          <w:tab w:val="right" w:pos="9026" w:leader="dot"/>
        </w:tabs>
        <w:spacing w:after="160"/>
      </w:pPr>
      <w:r>
        <w:rPr>
          <w:rFonts w:ascii="Arial" w:cs="Arial" w:eastAsia="Arial" w:hAnsi="Arial"/>
          <w:color w:val="333333"/>
          <w:sz w:val="24"/>
          <w:szCs w:val="24"/>
        </w:rPr>
        <w:t xml:space="preserve">3.  Products &amp; Services</w:t>
      </w:r>
      <w:r>
        <w:rPr>
          <w:rFonts w:ascii="Arial" w:cs="Arial" w:eastAsia="Arial" w:hAnsi="Arial"/>
          <w:color w:val="666666"/>
          <w:sz w:val="24"/>
          <w:szCs w:val="24"/>
        </w:rPr>
        <w:t xml:space="preserve">	5</w:t>
      </w:r>
    </w:p>
    <w:p>
      <w:pPr>
        <w:tabs>
          <w:tab w:val="right" w:pos="9026" w:leader="dot"/>
        </w:tabs>
        <w:spacing w:after="160"/>
      </w:pPr>
      <w:r>
        <w:rPr>
          <w:rFonts w:ascii="Arial" w:cs="Arial" w:eastAsia="Arial" w:hAnsi="Arial"/>
          <w:color w:val="333333"/>
          <w:sz w:val="24"/>
          <w:szCs w:val="24"/>
        </w:rPr>
        <w:t xml:space="preserve">4.  Market Opportunity</w:t>
      </w:r>
      <w:r>
        <w:rPr>
          <w:rFonts w:ascii="Arial" w:cs="Arial" w:eastAsia="Arial" w:hAnsi="Arial"/>
          <w:color w:val="666666"/>
          <w:sz w:val="24"/>
          <w:szCs w:val="24"/>
        </w:rPr>
        <w:t xml:space="preserve">	7</w:t>
      </w:r>
    </w:p>
    <w:p>
      <w:pPr>
        <w:tabs>
          <w:tab w:val="right" w:pos="9026" w:leader="dot"/>
        </w:tabs>
        <w:spacing w:after="160"/>
      </w:pPr>
      <w:r>
        <w:rPr>
          <w:rFonts w:ascii="Arial" w:cs="Arial" w:eastAsia="Arial" w:hAnsi="Arial"/>
          <w:color w:val="333333"/>
          <w:sz w:val="24"/>
          <w:szCs w:val="24"/>
        </w:rPr>
        <w:t xml:space="preserve">5.  Sales &amp; Marketing Strategy</w:t>
      </w:r>
      <w:r>
        <w:rPr>
          <w:rFonts w:ascii="Arial" w:cs="Arial" w:eastAsia="Arial" w:hAnsi="Arial"/>
          <w:color w:val="666666"/>
          <w:sz w:val="24"/>
          <w:szCs w:val="24"/>
        </w:rPr>
        <w:t xml:space="preserve">	9</w:t>
      </w:r>
    </w:p>
    <w:p>
      <w:pPr>
        <w:tabs>
          <w:tab w:val="right" w:pos="9026" w:leader="dot"/>
        </w:tabs>
        <w:spacing w:after="160"/>
      </w:pPr>
      <w:r>
        <w:rPr>
          <w:rFonts w:ascii="Arial" w:cs="Arial" w:eastAsia="Arial" w:hAnsi="Arial"/>
          <w:color w:val="333333"/>
          <w:sz w:val="24"/>
          <w:szCs w:val="24"/>
        </w:rPr>
        <w:t xml:space="preserve">6.  Competitive Analysis</w:t>
      </w:r>
      <w:r>
        <w:rPr>
          <w:rFonts w:ascii="Arial" w:cs="Arial" w:eastAsia="Arial" w:hAnsi="Arial"/>
          <w:color w:val="666666"/>
          <w:sz w:val="24"/>
          <w:szCs w:val="24"/>
        </w:rPr>
        <w:t xml:space="preserve">	10</w:t>
      </w:r>
    </w:p>
    <w:p>
      <w:pPr>
        <w:tabs>
          <w:tab w:val="right" w:pos="9026" w:leader="dot"/>
        </w:tabs>
        <w:spacing w:after="160"/>
      </w:pPr>
      <w:r>
        <w:rPr>
          <w:rFonts w:ascii="Arial" w:cs="Arial" w:eastAsia="Arial" w:hAnsi="Arial"/>
          <w:color w:val="333333"/>
          <w:sz w:val="24"/>
          <w:szCs w:val="24"/>
        </w:rPr>
        <w:t xml:space="preserve">7.  Operations Plan</w:t>
      </w:r>
      <w:r>
        <w:rPr>
          <w:rFonts w:ascii="Arial" w:cs="Arial" w:eastAsia="Arial" w:hAnsi="Arial"/>
          <w:color w:val="666666"/>
          <w:sz w:val="24"/>
          <w:szCs w:val="24"/>
        </w:rPr>
        <w:t xml:space="preserve">	12</w:t>
      </w:r>
    </w:p>
    <w:p>
      <w:pPr>
        <w:tabs>
          <w:tab w:val="right" w:pos="9026" w:leader="dot"/>
        </w:tabs>
        <w:spacing w:after="160"/>
      </w:pPr>
      <w:r>
        <w:rPr>
          <w:rFonts w:ascii="Arial" w:cs="Arial" w:eastAsia="Arial" w:hAnsi="Arial"/>
          <w:color w:val="333333"/>
          <w:sz w:val="24"/>
          <w:szCs w:val="24"/>
        </w:rPr>
        <w:t xml:space="preserve">8.  Management Team</w:t>
      </w:r>
      <w:r>
        <w:rPr>
          <w:rFonts w:ascii="Arial" w:cs="Arial" w:eastAsia="Arial" w:hAnsi="Arial"/>
          <w:color w:val="666666"/>
          <w:sz w:val="24"/>
          <w:szCs w:val="24"/>
        </w:rPr>
        <w:t xml:space="preserve">	13</w:t>
      </w:r>
    </w:p>
    <w:p>
      <w:pPr>
        <w:tabs>
          <w:tab w:val="right" w:pos="9026" w:leader="dot"/>
        </w:tabs>
        <w:spacing w:after="160"/>
      </w:pPr>
      <w:r>
        <w:rPr>
          <w:rFonts w:ascii="Arial" w:cs="Arial" w:eastAsia="Arial" w:hAnsi="Arial"/>
          <w:color w:val="333333"/>
          <w:sz w:val="24"/>
          <w:szCs w:val="24"/>
        </w:rPr>
        <w:t xml:space="preserve">9.  Financial Projections</w:t>
      </w:r>
      <w:r>
        <w:rPr>
          <w:rFonts w:ascii="Arial" w:cs="Arial" w:eastAsia="Arial" w:hAnsi="Arial"/>
          <w:color w:val="666666"/>
          <w:sz w:val="24"/>
          <w:szCs w:val="24"/>
        </w:rPr>
        <w:t xml:space="preserve">	14</w:t>
      </w:r>
    </w:p>
    <w:p>
      <w:pPr>
        <w:tabs>
          <w:tab w:val="right" w:pos="9026" w:leader="dot"/>
        </w:tabs>
        <w:spacing w:after="160"/>
      </w:pPr>
      <w:r>
        <w:rPr>
          <w:rFonts w:ascii="Arial" w:cs="Arial" w:eastAsia="Arial" w:hAnsi="Arial"/>
          <w:color w:val="333333"/>
          <w:sz w:val="24"/>
          <w:szCs w:val="24"/>
        </w:rPr>
        <w:t xml:space="preserve">10.  Milestones &amp; Roadmap</w:t>
      </w:r>
      <w:r>
        <w:rPr>
          <w:rFonts w:ascii="Arial" w:cs="Arial" w:eastAsia="Arial" w:hAnsi="Arial"/>
          <w:color w:val="666666"/>
          <w:sz w:val="24"/>
          <w:szCs w:val="24"/>
        </w:rPr>
        <w:t xml:space="preserve">	16</w:t>
      </w:r>
    </w:p>
    <w:p>
      <w:pPr>
        <w:tabs>
          <w:tab w:val="right" w:pos="9026" w:leader="dot"/>
        </w:tabs>
        <w:spacing w:after="160"/>
      </w:pPr>
      <w:r>
        <w:rPr>
          <w:rFonts w:ascii="Arial" w:cs="Arial" w:eastAsia="Arial" w:hAnsi="Arial"/>
          <w:color w:val="333333"/>
          <w:sz w:val="24"/>
          <w:szCs w:val="24"/>
        </w:rPr>
        <w:t xml:space="preserve">11.  Funding Requirements</w:t>
      </w:r>
      <w:r>
        <w:rPr>
          <w:rFonts w:ascii="Arial" w:cs="Arial" w:eastAsia="Arial" w:hAnsi="Arial"/>
          <w:color w:val="666666"/>
          <w:sz w:val="24"/>
          <w:szCs w:val="24"/>
        </w:rPr>
        <w:t xml:space="preserve">	17</w:t>
      </w:r>
    </w:p>
    <w:p>
      <w:pPr>
        <w:tabs>
          <w:tab w:val="right" w:pos="9026" w:leader="dot"/>
        </w:tabs>
        <w:spacing w:after="160"/>
      </w:pPr>
      <w:r>
        <w:rPr>
          <w:rFonts w:ascii="Arial" w:cs="Arial" w:eastAsia="Arial" w:hAnsi="Arial"/>
          <w:color w:val="333333"/>
          <w:sz w:val="24"/>
          <w:szCs w:val="24"/>
        </w:rPr>
        <w:t xml:space="preserve">12.  Appendix</w:t>
      </w:r>
      <w:r>
        <w:rPr>
          <w:rFonts w:ascii="Arial" w:cs="Arial" w:eastAsia="Arial" w:hAnsi="Arial"/>
          <w:color w:val="666666"/>
          <w:sz w:val="24"/>
          <w:szCs w:val="24"/>
        </w:rPr>
        <w:t xml:space="preserve">	18</w:t>
      </w:r>
    </w:p>
    <w:p>
      <w:pPr>
        <w:sectPr>
          <w:pgSz w:w="12240" w:h="15840" w:orient="portrait"/>
          <w:pgMar w:top="1440" w:right="1440" w:bottom="1440" w:left="1440" w:header="708" w:footer="708" w:gutter="0"/>
          <w:pgNumType/>
          <w:docGrid w:linePitch="360"/>
        </w:sectPr>
      </w:pPr>
    </w:p>
    <w:p>
      <w:pPr>
        <w:pStyle w:val="Heading1"/>
        <w:spacing w:before="360" w:after="200"/>
      </w:pPr>
      <w:r>
        <w:rPr>
          <w:color w:val="1B3A5C"/>
        </w:rPr>
        <w:t xml:space="preserve">1. Executive Summary</w:t>
      </w:r>
    </w:p>
    <w:p>
      <w:pPr>
        <w:spacing w:after="160"/>
      </w:pPr>
      <w:r>
        <w:rPr>
          <w:rFonts w:ascii="Arial" w:cs="Arial" w:eastAsia="Arial" w:hAnsi="Arial"/>
          <w:color w:val="333333"/>
          <w:sz w:val="22"/>
          <w:szCs w:val="22"/>
        </w:rPr>
        <w:t xml:space="preserve">Cible is a premium AI-powered smart ring that transforms artificial intelligence into a personal assistant accessible anytime, anywhere, with just a twist of the hand. Unlike existing smart rings that prioritize fitness tracking over design, Cible is jewelry first—beautiful, comfortable, and something users genuinely want to wear every day—while delivering the power of AI at their fingertips.</w:t>
      </w:r>
    </w:p>
    <w:p>
      <w:pPr>
        <w:pStyle w:val="Heading2"/>
        <w:spacing w:before="240" w:after="160"/>
      </w:pPr>
      <w:r>
        <w:rPr>
          <w:color w:val="2E75B6"/>
        </w:rPr>
        <w:t xml:space="preserve">The Problem</w:t>
      </w:r>
    </w:p>
    <w:p>
      <w:pPr>
        <w:spacing w:after="160"/>
      </w:pPr>
      <w:r>
        <w:rPr>
          <w:rFonts w:ascii="Arial" w:cs="Arial" w:eastAsia="Arial" w:hAnsi="Arial"/>
          <w:color w:val="333333"/>
          <w:sz w:val="22"/>
          <w:szCs w:val="22"/>
        </w:rPr>
        <w:t xml:space="preserve">Modern knowledge workers face three interconnected challenges that current technology exacerbates rather than solves. First, we have lost our innate curiosity: the friction of pulling out a phone, unlocking it, and navigating to a search app means most spontaneous questions go unanswered. Second, we struggle with the difficulty of starting—not because we lack knowledge of what to do, but because initiating action on complex tasks is psychologically demanding. Third, our days blur together without meaningful reflection; traditional journaling is time-consuming, and no technology helps us effortlessly capture and review our lived experience.</w:t>
      </w:r>
    </w:p>
    <w:p>
      <w:pPr>
        <w:pStyle w:val="Heading2"/>
        <w:spacing w:before="240" w:after="160"/>
      </w:pPr>
      <w:r>
        <w:rPr>
          <w:color w:val="2E75B6"/>
        </w:rPr>
        <w:t xml:space="preserve">The Solution</w:t>
      </w:r>
    </w:p>
    <w:p>
      <w:pPr>
        <w:spacing w:after="160"/>
      </w:pPr>
      <w:r>
        <w:rPr>
          <w:rFonts w:ascii="Arial" w:cs="Arial" w:eastAsia="Arial" w:hAnsi="Arial"/>
          <w:color w:val="333333"/>
          <w:sz w:val="22"/>
          <w:szCs w:val="22"/>
        </w:rPr>
        <w:t xml:space="preserve">Cible addresses all three problems through a single, elegant interaction: twist the ring to activate voice-based AI. The ring delivers three core capabilities—Personal Encyclopedia (ask questions when curiosity strikes), AI To-Do List (transform intentions into guided, step-by-step actions with LED-gemstone feedback), and Emotion &amp; Life Journal (automatically generate reflective daily journals from captured moments). No screens. No apps. Just a beautiful ring that thinks.</w:t>
      </w:r>
    </w:p>
    <w:p>
      <w:pPr>
        <w:pStyle w:val="Heading2"/>
        <w:spacing w:before="240" w:after="160"/>
      </w:pPr>
      <w:r>
        <w:rPr>
          <w:color w:val="2E75B6"/>
        </w:rPr>
        <w:t xml:space="preserve">The Opportunity</w:t>
      </w:r>
    </w:p>
    <w:p>
      <w:pPr>
        <w:spacing w:after="160"/>
      </w:pPr>
      <w:r>
        <w:rPr>
          <w:rFonts w:ascii="Arial" w:cs="Arial" w:eastAsia="Arial" w:hAnsi="Arial"/>
          <w:color w:val="333333"/>
          <w:sz w:val="22"/>
          <w:szCs w:val="22"/>
        </w:rPr>
        <w:t xml:space="preserve">The global wearable technology market is projected to reach $265 billion, with smart rings as the fastest-growing segment. Cible targets the $12 billion premium ring market ($300–$600 range) with a differentiated product that no competitor currently offers: the intersection of jewelry-grade design and conversational AI.</w:t>
      </w:r>
    </w:p>
    <w:p>
      <w:pPr>
        <w:pStyle w:val="Heading2"/>
        <w:spacing w:before="240" w:after="160"/>
      </w:pPr>
      <w:r>
        <w:rPr>
          <w:color w:val="2E75B6"/>
        </w:rPr>
        <w:t xml:space="preserve">Financial Highlights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Hardware Price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$449 per ring</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Subscription</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$9.99/month (Premium AI)</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Gross Margin (Hardware)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67%</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LTV / CAC Ratio</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11.3x ($850 / $75)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Year 1 Revenue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$674K (1,500 units)</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Year 5 Revenue</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$14.8M (33,000 units)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Path to Profitability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Month 18</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Seed Round</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$750K – $1M</w:t>
            </w:r>
          </w:p>
        </w:tc>
      </w:tr>
    </w:tbl>
    <w:p>
      <w:pPr>
        <w:spacing w:after="120"/>
      </w:pPr>
    </w:p>
    <w:p>
      <w:pPr>
        <w:spacing w:after="160"/>
      </w:pPr>
      <w:r>
        <w:rPr>
          <w:rFonts w:ascii="Arial" w:cs="Arial" w:eastAsia="Arial" w:hAnsi="Arial"/>
          <w:color w:val="333333"/>
          <w:sz w:val="22"/>
          <w:szCs w:val="22"/>
        </w:rPr>
        <w:t xml:space="preserve">Cible is seeking $750K–$1M in seed funding to finalize the prototype, establish manufacturing partnerships, and execute a direct-to-consumer launch in Q3 2026. The founding team combines expertise in AI technology, consumer electronics, jewelry design, and business strategy from UC San Diego’s Rady School of Management.</w:t>
      </w:r>
    </w:p>
    <w:p>
      <w:r>
        <w:br w:type="page"/>
      </w:r>
    </w:p>
    <w:p>
      <w:pPr>
        <w:pStyle w:val="Heading1"/>
        <w:spacing w:before="360" w:after="200"/>
      </w:pPr>
      <w:r>
        <w:rPr>
          <w:color w:val="1B3A5C"/>
        </w:rPr>
        <w:t xml:space="preserve">2. Company Overview &amp; Objectives</w:t>
      </w:r>
    </w:p>
    <w:p>
      <w:pPr>
        <w:pStyle w:val="Heading2"/>
        <w:spacing w:before="240" w:after="160"/>
      </w:pPr>
      <w:r>
        <w:rPr>
          <w:color w:val="2E75B6"/>
        </w:rPr>
        <w:t xml:space="preserve">Company Description</w:t>
      </w:r>
    </w:p>
    <w:p>
      <w:pPr>
        <w:spacing w:after="160"/>
      </w:pPr>
      <w:r>
        <w:rPr>
          <w:rFonts w:ascii="Arial" w:cs="Arial" w:eastAsia="Arial" w:hAnsi="Arial"/>
          <w:color w:val="333333"/>
          <w:sz w:val="22"/>
          <w:szCs w:val="22"/>
        </w:rPr>
        <w:t xml:space="preserve">Cible (pronounced “see-bluh,” French for “target”) is a consumer technology startup headquartered in San Diego, California, developing the world’s first AI-native smart ring designed with a jewelry-first philosophy. The company operates at the intersection of wearable technology, artificial intelligence, and premium lifestyle products.</w:t>
      </w:r>
    </w:p>
    <w:p>
      <w:pPr>
        <w:pStyle w:val="Heading2"/>
        <w:spacing w:before="240" w:after="160"/>
      </w:pPr>
      <w:r>
        <w:rPr>
          <w:color w:val="2E75B6"/>
        </w:rPr>
        <w:t xml:space="preserve">Mission Statement</w:t>
      </w:r>
    </w:p>
    <w:p>
      <w:pPr>
        <w:spacing w:after="160"/>
      </w:pPr>
      <w:r>
        <w:rPr>
          <w:rFonts w:ascii="Arial" w:cs="Arial" w:eastAsia="Arial" w:hAnsi="Arial"/>
          <w:i/>
          <w:iCs/>
          <w:color w:val="333333"/>
          <w:sz w:val="22"/>
          <w:szCs w:val="22"/>
        </w:rPr>
        <w:t xml:space="preserve">To return humanity to curiosity, action, and reflection by embedding AI into the most natural, beautiful form factor possible—a ring you’ll never want to take off.</w:t>
      </w:r>
    </w:p>
    <w:p>
      <w:pPr>
        <w:pStyle w:val="Heading2"/>
        <w:spacing w:before="240" w:after="160"/>
      </w:pPr>
      <w:r>
        <w:rPr>
          <w:color w:val="2E75B6"/>
        </w:rPr>
        <w:t xml:space="preserve">Vision</w:t>
      </w:r>
    </w:p>
    <w:p>
      <w:pPr>
        <w:spacing w:after="160"/>
      </w:pPr>
      <w:r>
        <w:rPr>
          <w:rFonts w:ascii="Arial" w:cs="Arial" w:eastAsia="Arial" w:hAnsi="Arial"/>
          <w:color w:val="333333"/>
          <w:sz w:val="22"/>
          <w:szCs w:val="22"/>
        </w:rPr>
        <w:t xml:space="preserve">A world where AI elevates humanity—not by replacing screens, but by returning us to what makes us human: the desire to learn, the courage to act, and the wisdom to reflect.</w:t>
      </w:r>
    </w:p>
    <w:p>
      <w:pPr>
        <w:pStyle w:val="Heading2"/>
        <w:spacing w:before="240" w:after="160"/>
      </w:pPr>
      <w:r>
        <w:rPr>
          <w:color w:val="2E75B6"/>
        </w:rPr>
        <w:t xml:space="preserve">Business Objectives</w:t>
      </w:r>
    </w:p>
    <w:p>
      <w:pPr>
        <w:pStyle w:val="ListParagraph"/>
        <w:numPr>
          <w:ilvl w:val="0"/>
          <w:numId w:val="2"/>
        </w:numPr>
        <w:spacing w:after="100"/>
      </w:pPr>
      <w:r>
        <w:rPr>
          <w:rFonts w:ascii="Arial" w:cs="Arial" w:eastAsia="Arial" w:hAnsi="Arial"/>
          <w:b/>
          <w:bCs/>
          <w:color w:val="333333"/>
          <w:sz w:val="22"/>
          <w:szCs w:val="22"/>
        </w:rPr>
        <w:t xml:space="preserve">Short-term (2026): </w:t>
      </w:r>
      <w:r>
        <w:rPr>
          <w:rFonts w:ascii="Arial" w:cs="Arial" w:eastAsia="Arial" w:hAnsi="Arial"/>
          <w:color w:val="333333"/>
          <w:sz w:val="22"/>
          <w:szCs w:val="22"/>
        </w:rPr>
        <w:t xml:space="preserve">Complete functional prototype, launch 100-unit beta program in Q3, secure 2,000 pre-orders by Q4, and close seed funding round.</w:t>
      </w:r>
    </w:p>
    <w:p>
      <w:pPr>
        <w:pStyle w:val="ListParagraph"/>
        <w:numPr>
          <w:ilvl w:val="0"/>
          <w:numId w:val="2"/>
        </w:numPr>
        <w:spacing w:after="100"/>
      </w:pPr>
      <w:r>
        <w:rPr>
          <w:rFonts w:ascii="Arial" w:cs="Arial" w:eastAsia="Arial" w:hAnsi="Arial"/>
          <w:b/>
          <w:bCs/>
          <w:color w:val="333333"/>
          <w:sz w:val="22"/>
          <w:szCs w:val="22"/>
        </w:rPr>
        <w:t xml:space="preserve">Medium-term (2027–2028): </w:t>
      </w:r>
      <w:r>
        <w:rPr>
          <w:rFonts w:ascii="Arial" w:cs="Arial" w:eastAsia="Arial" w:hAnsi="Arial"/>
          <w:color w:val="333333"/>
          <w:sz w:val="22"/>
          <w:szCs w:val="22"/>
        </w:rPr>
        <w:t xml:space="preserve">Ship first 1,500+ consumer units, achieve $4M+ annual revenue, establish premium retail partnerships, and reach profitability by Month 18.</w:t>
      </w:r>
    </w:p>
    <w:p>
      <w:pPr>
        <w:pStyle w:val="ListParagraph"/>
        <w:numPr>
          <w:ilvl w:val="0"/>
          <w:numId w:val="2"/>
        </w:numPr>
        <w:spacing w:after="100"/>
      </w:pPr>
      <w:r>
        <w:rPr>
          <w:rFonts w:ascii="Arial" w:cs="Arial" w:eastAsia="Arial" w:hAnsi="Arial"/>
          <w:b/>
          <w:bCs/>
          <w:color w:val="333333"/>
          <w:sz w:val="22"/>
          <w:szCs w:val="22"/>
        </w:rPr>
        <w:t xml:space="preserve">Long-term (2029–2030): </w:t>
      </w:r>
      <w:r>
        <w:rPr>
          <w:rFonts w:ascii="Arial" w:cs="Arial" w:eastAsia="Arial" w:hAnsi="Arial"/>
          <w:color w:val="333333"/>
          <w:sz w:val="22"/>
          <w:szCs w:val="22"/>
        </w:rPr>
        <w:t xml:space="preserve">Scale to 33,000 annual units, expand internationally, grow subscription attach rate to 40%+, and achieve $14.8M annual revenue.</w:t>
      </w:r>
    </w:p>
    <w:p>
      <w:pPr>
        <w:pStyle w:val="Heading2"/>
        <w:spacing w:before="240" w:after="160"/>
      </w:pPr>
      <w:r>
        <w:rPr>
          <w:color w:val="2E75B6"/>
        </w:rPr>
        <w:t xml:space="preserve">Legal Structure &amp; Intellectual Property</w:t>
      </w:r>
    </w:p>
    <w:p>
      <w:pPr>
        <w:spacing w:after="160"/>
      </w:pPr>
      <w:r>
        <w:rPr>
          <w:rFonts w:ascii="Arial" w:cs="Arial" w:eastAsia="Arial" w:hAnsi="Arial"/>
          <w:color w:val="333333"/>
          <w:sz w:val="22"/>
          <w:szCs w:val="22"/>
        </w:rPr>
        <w:t xml:space="preserve">Cible will be incorporated as a Delaware C-Corporation. The company is pursuing patent protection for the twist-to-activate interaction mechanism and the LED-gemstone feedback system. All AI algorithms and personalization engines will be protected as trade secrets.</w:t>
      </w:r>
    </w:p>
    <w:p>
      <w:r>
        <w:br w:type="page"/>
      </w:r>
    </w:p>
    <w:p>
      <w:pPr>
        <w:pStyle w:val="Heading1"/>
        <w:spacing w:before="360" w:after="200"/>
      </w:pPr>
      <w:r>
        <w:rPr>
          <w:color w:val="1B3A5C"/>
        </w:rPr>
        <w:t xml:space="preserve">3. Products &amp; Services</w:t>
      </w:r>
    </w:p>
    <w:p>
      <w:pPr>
        <w:pStyle w:val="Heading2"/>
        <w:spacing w:before="240" w:after="160"/>
      </w:pPr>
      <w:r>
        <w:rPr>
          <w:color w:val="2E75B6"/>
        </w:rPr>
        <w:t xml:space="preserve">Product Description: The Cible Smart Ring</w:t>
      </w:r>
    </w:p>
    <w:p>
      <w:pPr>
        <w:spacing w:after="160"/>
      </w:pPr>
      <w:r>
        <w:rPr>
          <w:rFonts w:ascii="Arial" w:cs="Arial" w:eastAsia="Arial" w:hAnsi="Arial"/>
          <w:color w:val="333333"/>
          <w:sz w:val="22"/>
          <w:szCs w:val="22"/>
        </w:rPr>
        <w:t xml:space="preserve">Cible is a premium smart ring that combines jewelry-grade craftsmanship with conversational AI capabilities. The ring’s interaction is elegantly simple: a gentle twist activates “quick record” mode, allowing users to speak naturally without pulling out a phone or opening an app.</w:t>
      </w:r>
    </w:p>
    <w:p>
      <w:pPr>
        <w:pStyle w:val="Heading2"/>
        <w:spacing w:before="240" w:after="160"/>
      </w:pPr>
      <w:r>
        <w:rPr>
          <w:color w:val="2E75B6"/>
        </w:rPr>
        <w:t xml:space="preserve">Hardware Specifications</w:t>
      </w:r>
    </w:p>
    <w:p>
      <w:pPr>
        <w:pStyle w:val="ListParagraph"/>
        <w:numPr>
          <w:ilvl w:val="0"/>
          <w:numId w:val="2"/>
        </w:numPr>
        <w:spacing w:after="100"/>
      </w:pPr>
      <w:r>
        <w:rPr>
          <w:rFonts w:ascii="Arial" w:cs="Arial" w:eastAsia="Arial" w:hAnsi="Arial"/>
          <w:b/>
          <w:bCs/>
          <w:color w:val="333333"/>
          <w:sz w:val="22"/>
          <w:szCs w:val="22"/>
        </w:rPr>
        <w:t xml:space="preserve">Materials: </w:t>
      </w:r>
      <w:r>
        <w:rPr>
          <w:rFonts w:ascii="Arial" w:cs="Arial" w:eastAsia="Arial" w:hAnsi="Arial"/>
          <w:color w:val="333333"/>
          <w:sz w:val="22"/>
          <w:szCs w:val="22"/>
        </w:rPr>
        <w:t xml:space="preserve">Available in sterling silver, rose gold, and black titanium finishes</w:t>
      </w:r>
    </w:p>
    <w:p>
      <w:pPr>
        <w:pStyle w:val="ListParagraph"/>
        <w:numPr>
          <w:ilvl w:val="0"/>
          <w:numId w:val="2"/>
        </w:numPr>
        <w:spacing w:after="100"/>
      </w:pPr>
      <w:r>
        <w:rPr>
          <w:rFonts w:ascii="Arial" w:cs="Arial" w:eastAsia="Arial" w:hAnsi="Arial"/>
          <w:b/>
          <w:bCs/>
          <w:color w:val="333333"/>
          <w:sz w:val="22"/>
          <w:szCs w:val="22"/>
        </w:rPr>
        <w:t xml:space="preserve">Microphone Array: </w:t>
      </w:r>
      <w:r>
        <w:rPr>
          <w:rFonts w:ascii="Arial" w:cs="Arial" w:eastAsia="Arial" w:hAnsi="Arial"/>
          <w:color w:val="333333"/>
          <w:sz w:val="22"/>
          <w:szCs w:val="22"/>
        </w:rPr>
        <w:t xml:space="preserve">Dual MEMS microphones with beamforming for crystal-clear voice capture in ambient environments</w:t>
      </w:r>
    </w:p>
    <w:p>
      <w:pPr>
        <w:pStyle w:val="ListParagraph"/>
        <w:numPr>
          <w:ilvl w:val="0"/>
          <w:numId w:val="2"/>
        </w:numPr>
        <w:spacing w:after="100"/>
      </w:pPr>
      <w:r>
        <w:rPr>
          <w:rFonts w:ascii="Arial" w:cs="Arial" w:eastAsia="Arial" w:hAnsi="Arial"/>
          <w:b/>
          <w:bCs/>
          <w:color w:val="333333"/>
          <w:sz w:val="22"/>
          <w:szCs w:val="22"/>
        </w:rPr>
        <w:t xml:space="preserve">LED Gemstone: </w:t>
      </w:r>
      <w:r>
        <w:rPr>
          <w:rFonts w:ascii="Arial" w:cs="Arial" w:eastAsia="Arial" w:hAnsi="Arial"/>
          <w:color w:val="333333"/>
          <w:sz w:val="22"/>
          <w:szCs w:val="22"/>
        </w:rPr>
        <w:t xml:space="preserve">Color-changing indicator (red/yellow/green) providing real-time visual feedback for system status and task progress</w:t>
      </w:r>
    </w:p>
    <w:p>
      <w:pPr>
        <w:pStyle w:val="ListParagraph"/>
        <w:numPr>
          <w:ilvl w:val="0"/>
          <w:numId w:val="2"/>
        </w:numPr>
        <w:spacing w:after="100"/>
      </w:pPr>
      <w:r>
        <w:rPr>
          <w:rFonts w:ascii="Arial" w:cs="Arial" w:eastAsia="Arial" w:hAnsi="Arial"/>
          <w:b/>
          <w:bCs/>
          <w:color w:val="333333"/>
          <w:sz w:val="22"/>
          <w:szCs w:val="22"/>
        </w:rPr>
        <w:t xml:space="preserve">Connectivity: </w:t>
      </w:r>
      <w:r>
        <w:rPr>
          <w:rFonts w:ascii="Arial" w:cs="Arial" w:eastAsia="Arial" w:hAnsi="Arial"/>
          <w:color w:val="333333"/>
          <w:sz w:val="22"/>
          <w:szCs w:val="22"/>
        </w:rPr>
        <w:t xml:space="preserve">Bluetooth 5.3 Low Energy for seamless smartphone pairing</w:t>
      </w:r>
    </w:p>
    <w:p>
      <w:pPr>
        <w:pStyle w:val="ListParagraph"/>
        <w:numPr>
          <w:ilvl w:val="0"/>
          <w:numId w:val="2"/>
        </w:numPr>
        <w:spacing w:after="100"/>
      </w:pPr>
      <w:r>
        <w:rPr>
          <w:rFonts w:ascii="Arial" w:cs="Arial" w:eastAsia="Arial" w:hAnsi="Arial"/>
          <w:b/>
          <w:bCs/>
          <w:color w:val="333333"/>
          <w:sz w:val="22"/>
          <w:szCs w:val="22"/>
        </w:rPr>
        <w:t xml:space="preserve">Battery: </w:t>
      </w:r>
      <w:r>
        <w:rPr>
          <w:rFonts w:ascii="Arial" w:cs="Arial" w:eastAsia="Arial" w:hAnsi="Arial"/>
          <w:color w:val="333333"/>
          <w:sz w:val="22"/>
          <w:szCs w:val="22"/>
        </w:rPr>
        <w:t xml:space="preserve">5–7 days per charge with normal use (10–15 voice interactions/day); AI processing occurs in the cloud to maximize battery life</w:t>
      </w:r>
    </w:p>
    <w:p>
      <w:pPr>
        <w:pStyle w:val="ListParagraph"/>
        <w:numPr>
          <w:ilvl w:val="0"/>
          <w:numId w:val="2"/>
        </w:numPr>
        <w:spacing w:after="100"/>
      </w:pPr>
      <w:r>
        <w:rPr>
          <w:rFonts w:ascii="Arial" w:cs="Arial" w:eastAsia="Arial" w:hAnsi="Arial"/>
          <w:b/>
          <w:bCs/>
          <w:color w:val="333333"/>
          <w:sz w:val="22"/>
          <w:szCs w:val="22"/>
        </w:rPr>
        <w:t xml:space="preserve">Sizing: </w:t>
      </w:r>
      <w:r>
        <w:rPr>
          <w:rFonts w:ascii="Arial" w:cs="Arial" w:eastAsia="Arial" w:hAnsi="Arial"/>
          <w:color w:val="333333"/>
          <w:sz w:val="22"/>
          <w:szCs w:val="22"/>
        </w:rPr>
        <w:t xml:space="preserve">Available in US sizes 5–13 with half-size options</w:t>
      </w:r>
    </w:p>
    <w:p>
      <w:pPr>
        <w:pStyle w:val="Heading2"/>
        <w:spacing w:before="240" w:after="160"/>
      </w:pPr>
      <w:r>
        <w:rPr>
          <w:color w:val="2E75B6"/>
        </w:rPr>
        <w:t xml:space="preserve">Core Features</w:t>
      </w:r>
    </w:p>
    <w:p>
      <w:pPr>
        <w:spacing w:after="160"/>
      </w:pPr>
      <w:r>
        <w:rPr>
          <w:rFonts w:ascii="Arial" w:cs="Arial" w:eastAsia="Arial" w:hAnsi="Arial"/>
          <w:b/>
          <w:bCs/>
          <w:color w:val="2E75B6"/>
          <w:sz w:val="24"/>
          <w:szCs w:val="24"/>
        </w:rPr>
        <w:t xml:space="preserve">Feature 1: Personal Encyclopedia</w:t>
      </w:r>
    </w:p>
    <w:p>
      <w:pPr>
        <w:spacing w:after="160"/>
      </w:pPr>
      <w:r>
        <w:rPr>
          <w:rFonts w:ascii="Arial" w:cs="Arial" w:eastAsia="Arial" w:hAnsi="Arial"/>
          <w:color w:val="333333"/>
          <w:sz w:val="22"/>
          <w:szCs w:val="22"/>
        </w:rPr>
        <w:t xml:space="preserve">Cible brings curiosity back into everyday life. When a question arises—“Why is California’s sky so blue?” or “How does latte art work?”—the user simply twists the ring and asks. The AI processes the query and delivers a concise, contextually rich answer. All questions and answers are automatically saved, cross-referenced, and organized into a personal knowledge base that grows over time. The goal is not just information delivery but the restoration of the habit of asking—a habit most adults have lost.</w:t>
      </w:r>
    </w:p>
    <w:p>
      <w:pPr>
        <w:spacing w:after="160"/>
      </w:pPr>
      <w:r>
        <w:rPr>
          <w:rFonts w:ascii="Arial" w:cs="Arial" w:eastAsia="Arial" w:hAnsi="Arial"/>
          <w:b/>
          <w:bCs/>
          <w:color w:val="2E75B6"/>
          <w:sz w:val="24"/>
          <w:szCs w:val="24"/>
        </w:rPr>
        <w:t xml:space="preserve">Feature 2: AI To-Do List</w:t>
      </w:r>
    </w:p>
    <w:p>
      <w:pPr>
        <w:spacing w:after="160"/>
      </w:pPr>
      <w:r>
        <w:rPr>
          <w:rFonts w:ascii="Arial" w:cs="Arial" w:eastAsia="Arial" w:hAnsi="Arial"/>
          <w:color w:val="333333"/>
          <w:sz w:val="22"/>
          <w:szCs w:val="22"/>
        </w:rPr>
        <w:t xml:space="preserve">Cible transforms vague intentions into executable action sequences. When a user says “I want to start studying,” the AI decomposes this into concrete, manageable steps: put down your phone, take a deep breath, open your materials, work for 10 minutes. The LED gemstone tracks progress—each completed step transitions the light from red to yellow to green with a twist confirmation. This is not a reminder system; it is an accompaniment system that addresses the psychological “difficulty of starting” that plagues modern productivity.</w:t>
      </w:r>
    </w:p>
    <w:p>
      <w:pPr>
        <w:spacing w:after="160"/>
      </w:pPr>
      <w:r>
        <w:rPr>
          <w:rFonts w:ascii="Arial" w:cs="Arial" w:eastAsia="Arial" w:hAnsi="Arial"/>
          <w:b/>
          <w:bCs/>
          <w:color w:val="2E75B6"/>
          <w:sz w:val="24"/>
          <w:szCs w:val="24"/>
        </w:rPr>
        <w:t xml:space="preserve">Feature 3: Emotion &amp; Life Journal</w:t>
      </w:r>
    </w:p>
    <w:p>
      <w:pPr>
        <w:spacing w:after="160"/>
      </w:pPr>
      <w:r>
        <w:rPr>
          <w:rFonts w:ascii="Arial" w:cs="Arial" w:eastAsia="Arial" w:hAnsi="Arial"/>
          <w:color w:val="333333"/>
          <w:sz w:val="22"/>
          <w:szCs w:val="22"/>
        </w:rPr>
        <w:t xml:space="preserve">At the end of each day, the user asks Cible to “summarize today.” The AI synthesizes all captured moments—questions asked, tasks completed, emotional tones detected—into a reflective journal entry. This is not a bullet list of tasks or a productivity score. It is a narrative mirror that shows users their growth trajectory: what they learned, how they overcame challenges, and where tomorrow’s momentum lies. Recording becomes effortless; reflection becomes habitual.</w:t>
      </w:r>
    </w:p>
    <w:p>
      <w:pPr>
        <w:pStyle w:val="Heading2"/>
        <w:spacing w:before="240" w:after="160"/>
      </w:pPr>
      <w:r>
        <w:rPr>
          <w:color w:val="2E75B6"/>
        </w:rPr>
        <w:t xml:space="preserve">Subscription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Free Tier</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Premium ($9.99/mo)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Daily voice queries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Unlimited</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AI To-Do steps</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3 tasks/day</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Unlimited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Journal generation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Weekly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Daily + insights</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Knowledge base</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Basic search</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AI-powered connections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Priority support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w:t>
            </w:r>
          </w:p>
        </w:tc>
      </w:tr>
    </w:tbl>
    <w:p>
      <w:pPr>
        <w:pStyle w:val="Heading2"/>
        <w:spacing w:before="240" w:after="160"/>
      </w:pPr>
      <w:r>
        <w:rPr>
          <w:color w:val="2E75B6"/>
        </w:rPr>
        <w:t xml:space="preserve">Product Differentiation</w:t>
      </w:r>
    </w:p>
    <w:p>
      <w:pPr>
        <w:spacing w:after="160"/>
      </w:pPr>
      <w:r>
        <w:rPr>
          <w:rFonts w:ascii="Arial" w:cs="Arial" w:eastAsia="Arial" w:hAnsi="Arial"/>
          <w:color w:val="333333"/>
          <w:sz w:val="22"/>
          <w:szCs w:val="22"/>
        </w:rPr>
        <w:t xml:space="preserve">Cible is fundamentally different from every smart ring on the market today. While competitors like Oura Ring focus on biometric tracking (sleep, heart rate, activity), Cible elevates the mind—capturing curiosity, guiding action, and enabling reflection. The design philosophy starts from jewelry, not electronics: premium materials, elegant aesthetics, and comfortable all-day wear come first. Intelligence is embedded invisibly.</w:t>
      </w:r>
    </w:p>
    <w:p>
      <w:r>
        <w:br w:type="page"/>
      </w:r>
    </w:p>
    <w:p>
      <w:pPr>
        <w:pStyle w:val="Heading1"/>
        <w:spacing w:before="360" w:after="200"/>
      </w:pPr>
      <w:r>
        <w:rPr>
          <w:color w:val="1B3A5C"/>
        </w:rPr>
        <w:t xml:space="preserve">4. Market Opportunity</w:t>
      </w:r>
    </w:p>
    <w:p>
      <w:pPr>
        <w:pStyle w:val="Heading2"/>
        <w:spacing w:before="240" w:after="160"/>
      </w:pPr>
      <w:r>
        <w:rPr>
          <w:color w:val="2E75B6"/>
        </w:rPr>
        <w:t xml:space="preserve">Industry Overview</w:t>
      </w:r>
    </w:p>
    <w:p>
      <w:pPr>
        <w:spacing w:after="160"/>
      </w:pPr>
      <w:r>
        <w:rPr>
          <w:rFonts w:ascii="Arial" w:cs="Arial" w:eastAsia="Arial" w:hAnsi="Arial"/>
          <w:color w:val="333333"/>
          <w:sz w:val="22"/>
          <w:szCs w:val="22"/>
        </w:rPr>
        <w:t xml:space="preserve">The global wearable technology market is experiencing explosive growth, projected to reach $265 billion by 2026. Within this market, smart rings represent the fastest-growing segment, driven by consumer demand for less intrusive, more fashionable wearable devices. Three macro trends create a uniquely favorable window for Cible’s launch:</w:t>
      </w:r>
    </w:p>
    <w:p>
      <w:pPr>
        <w:pStyle w:val="ListParagraph"/>
        <w:numPr>
          <w:ilvl w:val="0"/>
          <w:numId w:val="3"/>
        </w:numPr>
        <w:spacing w:after="100"/>
      </w:pPr>
      <w:r>
        <w:rPr>
          <w:rFonts w:ascii="Arial" w:cs="Arial" w:eastAsia="Arial" w:hAnsi="Arial"/>
          <w:b/>
          <w:bCs/>
          <w:color w:val="333333"/>
          <w:sz w:val="22"/>
          <w:szCs w:val="22"/>
        </w:rPr>
        <w:t xml:space="preserve">AI Goes Mainstream: </w:t>
      </w:r>
      <w:r>
        <w:rPr>
          <w:rFonts w:ascii="Arial" w:cs="Arial" w:eastAsia="Arial" w:hAnsi="Arial"/>
          <w:color w:val="333333"/>
          <w:sz w:val="22"/>
          <w:szCs w:val="22"/>
        </w:rPr>
        <w:t xml:space="preserve">ChatGPT reached 100 million users in two months, demonstrating unprecedented consumer appetite for AI-powered tools. People no longer fear AI—they actively seek it in their daily lives.</w:t>
      </w:r>
    </w:p>
    <w:p>
      <w:pPr>
        <w:pStyle w:val="ListParagraph"/>
        <w:numPr>
          <w:ilvl w:val="0"/>
          <w:numId w:val="3"/>
        </w:numPr>
        <w:spacing w:after="100"/>
      </w:pPr>
      <w:r>
        <w:rPr>
          <w:rFonts w:ascii="Arial" w:cs="Arial" w:eastAsia="Arial" w:hAnsi="Arial"/>
          <w:b/>
          <w:bCs/>
          <w:color w:val="333333"/>
          <w:sz w:val="22"/>
          <w:szCs w:val="22"/>
        </w:rPr>
        <w:t xml:space="preserve">Wearable Design Awakening: </w:t>
      </w:r>
      <w:r>
        <w:rPr>
          <w:rFonts w:ascii="Arial" w:cs="Arial" w:eastAsia="Arial" w:hAnsi="Arial"/>
          <w:color w:val="333333"/>
          <w:sz w:val="22"/>
          <w:szCs w:val="22"/>
        </w:rPr>
        <w:t xml:space="preserve">Consumers are rejecting “tech for tech’s sake.” The era of clunky, unattractive gadgets is ending. Today’s buyers demand products that are both beautiful and functional.</w:t>
      </w:r>
    </w:p>
    <w:p>
      <w:pPr>
        <w:pStyle w:val="ListParagraph"/>
        <w:numPr>
          <w:ilvl w:val="0"/>
          <w:numId w:val="3"/>
        </w:numPr>
        <w:spacing w:after="100"/>
      </w:pPr>
      <w:r>
        <w:rPr>
          <w:rFonts w:ascii="Arial" w:cs="Arial" w:eastAsia="Arial" w:hAnsi="Arial"/>
          <w:b/>
          <w:bCs/>
          <w:color w:val="333333"/>
          <w:sz w:val="22"/>
          <w:szCs w:val="22"/>
        </w:rPr>
        <w:t xml:space="preserve">Ring Form Factor Acceptance: </w:t>
      </w:r>
      <w:r>
        <w:rPr>
          <w:rFonts w:ascii="Arial" w:cs="Arial" w:eastAsia="Arial" w:hAnsi="Arial"/>
          <w:color w:val="333333"/>
          <w:sz w:val="22"/>
          <w:szCs w:val="22"/>
        </w:rPr>
        <w:t xml:space="preserve">Oura Ring’s commercial success has normalized smart rings as a product category. Consumers are ready for a ring that does more than track steps and sleep.</w:t>
      </w:r>
    </w:p>
    <w:p>
      <w:pPr>
        <w:pStyle w:val="Heading2"/>
        <w:spacing w:before="240" w:after="160"/>
      </w:pPr>
      <w:r>
        <w:rPr>
          <w:color w:val="2E75B6"/>
        </w:rPr>
        <w:t xml:space="preserve">Target Market</w:t>
      </w:r>
    </w:p>
    <w:p>
      <w:pPr>
        <w:spacing w:after="160"/>
      </w:pPr>
      <w:r>
        <w:rPr>
          <w:rFonts w:ascii="Arial" w:cs="Arial" w:eastAsia="Arial" w:hAnsi="Arial"/>
          <w:b/>
          <w:bCs/>
          <w:color w:val="333333"/>
          <w:sz w:val="22"/>
          <w:szCs w:val="22"/>
        </w:rPr>
        <w:t xml:space="preserve">Primary Segment: Curious Professionals (Ages 25–45)</w:t>
      </w:r>
    </w:p>
    <w:p>
      <w:pPr>
        <w:spacing w:after="160"/>
      </w:pPr>
      <w:r>
        <w:rPr>
          <w:rFonts w:ascii="Arial" w:cs="Arial" w:eastAsia="Arial" w:hAnsi="Arial"/>
          <w:color w:val="333333"/>
          <w:sz w:val="22"/>
          <w:szCs w:val="22"/>
        </w:rPr>
        <w:t xml:space="preserve">These are product managers, designers, researchers, entrepreneurs, and knowledge workers who value learning and personal growth but are increasingly frustrated with screen time. They have household incomes of $80,000+ and are willing to invest in premium tools that enhance their cognitive and emotional lives. They represent the early adopters who will drive initial traction and word-of-mouth growth.</w:t>
      </w:r>
    </w:p>
    <w:p>
      <w:pPr>
        <w:spacing w:after="160"/>
      </w:pPr>
      <w:r>
        <w:rPr>
          <w:rFonts w:ascii="Arial" w:cs="Arial" w:eastAsia="Arial" w:hAnsi="Arial"/>
          <w:b/>
          <w:bCs/>
          <w:color w:val="333333"/>
          <w:sz w:val="22"/>
          <w:szCs w:val="22"/>
        </w:rPr>
        <w:t xml:space="preserve">Secondary Segments:</w:t>
      </w:r>
    </w:p>
    <w:p>
      <w:pPr>
        <w:pStyle w:val="ListParagraph"/>
        <w:numPr>
          <w:ilvl w:val="0"/>
          <w:numId w:val="2"/>
        </w:numPr>
        <w:spacing w:after="100"/>
      </w:pPr>
      <w:r>
        <w:rPr>
          <w:rFonts w:ascii="Arial" w:cs="Arial" w:eastAsia="Arial" w:hAnsi="Arial"/>
          <w:b/>
          <w:bCs/>
          <w:color w:val="333333"/>
          <w:sz w:val="22"/>
          <w:szCs w:val="22"/>
        </w:rPr>
        <w:t xml:space="preserve">Students &amp; Lifelong Learners: </w:t>
      </w:r>
      <w:r>
        <w:rPr>
          <w:rFonts w:ascii="Arial" w:cs="Arial" w:eastAsia="Arial" w:hAnsi="Arial"/>
          <w:color w:val="333333"/>
          <w:sz w:val="22"/>
          <w:szCs w:val="22"/>
        </w:rPr>
        <w:t xml:space="preserve">Graduate students and self-directed learners who want to capture knowledge efficiently</w:t>
      </w:r>
    </w:p>
    <w:p>
      <w:pPr>
        <w:pStyle w:val="ListParagraph"/>
        <w:numPr>
          <w:ilvl w:val="0"/>
          <w:numId w:val="2"/>
        </w:numPr>
        <w:spacing w:after="100"/>
      </w:pPr>
      <w:r>
        <w:rPr>
          <w:rFonts w:ascii="Arial" w:cs="Arial" w:eastAsia="Arial" w:hAnsi="Arial"/>
          <w:b/>
          <w:bCs/>
          <w:color w:val="333333"/>
          <w:sz w:val="22"/>
          <w:szCs w:val="22"/>
        </w:rPr>
        <w:t xml:space="preserve">Wellness &amp; Mindfulness Seekers: </w:t>
      </w:r>
      <w:r>
        <w:rPr>
          <w:rFonts w:ascii="Arial" w:cs="Arial" w:eastAsia="Arial" w:hAnsi="Arial"/>
          <w:color w:val="333333"/>
          <w:sz w:val="22"/>
          <w:szCs w:val="22"/>
        </w:rPr>
        <w:t xml:space="preserve">Individuals invested in self-reflection, emotional awareness, and intentional living</w:t>
      </w:r>
    </w:p>
    <w:p>
      <w:pPr>
        <w:pStyle w:val="ListParagraph"/>
        <w:numPr>
          <w:ilvl w:val="0"/>
          <w:numId w:val="2"/>
        </w:numPr>
        <w:spacing w:after="100"/>
      </w:pPr>
      <w:r>
        <w:rPr>
          <w:rFonts w:ascii="Arial" w:cs="Arial" w:eastAsia="Arial" w:hAnsi="Arial"/>
          <w:b/>
          <w:bCs/>
          <w:color w:val="333333"/>
          <w:sz w:val="22"/>
          <w:szCs w:val="22"/>
        </w:rPr>
        <w:t xml:space="preserve">Creative Professionals: </w:t>
      </w:r>
      <w:r>
        <w:rPr>
          <w:rFonts w:ascii="Arial" w:cs="Arial" w:eastAsia="Arial" w:hAnsi="Arial"/>
          <w:color w:val="333333"/>
          <w:sz w:val="22"/>
          <w:szCs w:val="22"/>
        </w:rPr>
        <w:t xml:space="preserve">Writers, artists, and designers who need to capture inspiration in the moment</w:t>
      </w:r>
    </w:p>
    <w:p>
      <w:pPr>
        <w:pStyle w:val="Heading2"/>
        <w:spacing w:before="240" w:after="160"/>
      </w:pPr>
      <w:r>
        <w:rPr>
          <w:color w:val="2E75B6"/>
        </w:rPr>
        <w:t xml:space="preserve">Market Sizing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504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Level</w:t>
            </w:r>
          </w:p>
        </w:tc>
        <w:tc>
          <w:tcPr>
            <w:tcW w:type="dxa" w:w="25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Size</w:t>
            </w:r>
          </w:p>
        </w:tc>
        <w:tc>
          <w:tcPr>
            <w:tcW w:type="dxa" w:w="50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TAM</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$265B</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Global wearable technology market</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SAM</w:t>
            </w:r>
          </w:p>
        </w:tc>
        <w:tc>
          <w:tcPr>
            <w:tcW w:type="dxa" w:w="25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$12B</w:t>
            </w:r>
          </w:p>
        </w:tc>
        <w:tc>
          <w:tcPr>
            <w:tcW w:type="dxa" w:w="50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Premium smart rings ($300–$600 price range)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SOM</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$6.7M (Yr 1)</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1,500 units in Year 1; scaling to $14.8M / 33,000 units by Year 5</w:t>
            </w:r>
          </w:p>
        </w:tc>
      </w:tr>
    </w:tbl>
    <w:p>
      <w:pPr>
        <w:spacing w:after="120"/>
      </w:pPr>
    </w:p>
    <w:p>
      <w:pPr>
        <w:pStyle w:val="Heading2"/>
        <w:spacing w:before="240" w:after="160"/>
      </w:pPr>
      <w:r>
        <w:rPr>
          <w:color w:val="2E75B6"/>
        </w:rPr>
        <w:t xml:space="preserve">Customer Validation</w:t>
      </w:r>
    </w:p>
    <w:p>
      <w:pPr>
        <w:spacing w:after="160"/>
      </w:pPr>
      <w:r>
        <w:rPr>
          <w:rFonts w:ascii="Arial" w:cs="Arial" w:eastAsia="Arial" w:hAnsi="Arial"/>
          <w:color w:val="333333"/>
          <w:sz w:val="22"/>
          <w:szCs w:val="22"/>
        </w:rPr>
        <w:t xml:space="preserve">Initial surveys conducted with 200+ potential customers in the target demographic reveal strong purchase intent: 72% of respondents indicated they would consider purchasing a smart ring in the $399–$499 price range, with aesthetic design cited as the single most important differentiator from existing smart rings. Respondents consistently identified “friction of reaching for my phone” as the primary barrier to using AI tools in daily life.</w:t>
      </w:r>
    </w:p>
    <w:p>
      <w:r>
        <w:br w:type="page"/>
      </w:r>
    </w:p>
    <w:p>
      <w:pPr>
        <w:pStyle w:val="Heading1"/>
        <w:spacing w:before="360" w:after="200"/>
      </w:pPr>
      <w:r>
        <w:rPr>
          <w:color w:val="1B3A5C"/>
        </w:rPr>
        <w:t xml:space="preserve">5. Sales &amp; Marketing Strategy</w:t>
      </w:r>
    </w:p>
    <w:p>
      <w:pPr>
        <w:pStyle w:val="Heading2"/>
        <w:spacing w:before="240" w:after="160"/>
      </w:pPr>
      <w:r>
        <w:rPr>
          <w:color w:val="2E75B6"/>
        </w:rPr>
        <w:t xml:space="preserve">Positioning Statement</w:t>
      </w:r>
    </w:p>
    <w:p>
      <w:pPr>
        <w:spacing w:after="160"/>
      </w:pPr>
      <w:r>
        <w:rPr>
          <w:rFonts w:ascii="Arial" w:cs="Arial" w:eastAsia="Arial" w:hAnsi="Arial"/>
          <w:b/>
          <w:bCs/>
          <w:i/>
          <w:iCs/>
          <w:color w:val="C9A96E"/>
          <w:sz w:val="24"/>
          <w:szCs w:val="24"/>
        </w:rPr>
        <w:t xml:space="preserve">Others track your body. Cible elevates your mind.</w:t>
      </w:r>
    </w:p>
    <w:p>
      <w:pPr>
        <w:spacing w:after="160"/>
      </w:pPr>
      <w:r>
        <w:rPr>
          <w:rFonts w:ascii="Arial" w:cs="Arial" w:eastAsia="Arial" w:hAnsi="Arial"/>
          <w:color w:val="333333"/>
          <w:sz w:val="22"/>
          <w:szCs w:val="22"/>
        </w:rPr>
        <w:t xml:space="preserve">Cible is positioned as a premium lifestyle product—not a gadget, not a fitness tracker, but a thinking companion that happens to be beautiful jewelry. This positioning allows us to command premium pricing and attract customers who self-identify as intellectually curious, growth-oriented individuals.</w:t>
      </w:r>
    </w:p>
    <w:p>
      <w:pPr>
        <w:pStyle w:val="Heading2"/>
        <w:spacing w:before="240" w:after="160"/>
      </w:pPr>
      <w:r>
        <w:rPr>
          <w:color w:val="2E75B6"/>
        </w:rPr>
        <w:t xml:space="preserve">Marketing Strategy</w:t>
      </w:r>
    </w:p>
    <w:p>
      <w:pPr>
        <w:spacing w:after="160"/>
      </w:pPr>
      <w:r>
        <w:rPr>
          <w:rFonts w:ascii="Arial" w:cs="Arial" w:eastAsia="Arial" w:hAnsi="Arial"/>
          <w:b/>
          <w:bCs/>
          <w:color w:val="333333"/>
          <w:sz w:val="22"/>
          <w:szCs w:val="22"/>
        </w:rPr>
        <w:t xml:space="preserve">Phase 1: Community Building (Pre-Launch)</w:t>
      </w:r>
    </w:p>
    <w:p>
      <w:pPr>
        <w:pStyle w:val="ListParagraph"/>
        <w:numPr>
          <w:ilvl w:val="0"/>
          <w:numId w:val="2"/>
        </w:numPr>
        <w:spacing w:after="100"/>
      </w:pPr>
      <w:r>
        <w:rPr>
          <w:rFonts w:ascii="Arial" w:cs="Arial" w:eastAsia="Arial" w:hAnsi="Arial"/>
          <w:color w:val="333333"/>
          <w:sz w:val="22"/>
          <w:szCs w:val="22"/>
        </w:rPr>
        <w:t xml:space="preserve">Establish waitlist at cible.ai/early with 20% pre-order discount incentive</w:t>
      </w:r>
    </w:p>
    <w:p>
      <w:pPr>
        <w:pStyle w:val="ListParagraph"/>
        <w:numPr>
          <w:ilvl w:val="0"/>
          <w:numId w:val="2"/>
        </w:numPr>
        <w:spacing w:after="100"/>
      </w:pPr>
      <w:r>
        <w:rPr>
          <w:rFonts w:ascii="Arial" w:cs="Arial" w:eastAsia="Arial" w:hAnsi="Arial"/>
          <w:color w:val="333333"/>
          <w:sz w:val="22"/>
          <w:szCs w:val="22"/>
        </w:rPr>
        <w:t xml:space="preserve">Content marketing targeting productivity, self-improvement, and mindfulness communities</w:t>
      </w:r>
    </w:p>
    <w:p>
      <w:pPr>
        <w:pStyle w:val="ListParagraph"/>
        <w:numPr>
          <w:ilvl w:val="0"/>
          <w:numId w:val="2"/>
        </w:numPr>
        <w:spacing w:after="100"/>
      </w:pPr>
      <w:r>
        <w:rPr>
          <w:rFonts w:ascii="Arial" w:cs="Arial" w:eastAsia="Arial" w:hAnsi="Arial"/>
          <w:color w:val="333333"/>
          <w:sz w:val="22"/>
          <w:szCs w:val="22"/>
        </w:rPr>
        <w:t xml:space="preserve">Strategic partnerships with thought leaders, podcasters, and productivity influencers</w:t>
      </w:r>
    </w:p>
    <w:p>
      <w:pPr>
        <w:pStyle w:val="ListParagraph"/>
        <w:numPr>
          <w:ilvl w:val="0"/>
          <w:numId w:val="2"/>
        </w:numPr>
        <w:spacing w:after="100"/>
      </w:pPr>
      <w:r>
        <w:rPr>
          <w:rFonts w:ascii="Arial" w:cs="Arial" w:eastAsia="Arial" w:hAnsi="Arial"/>
          <w:color w:val="333333"/>
          <w:sz w:val="22"/>
          <w:szCs w:val="22"/>
        </w:rPr>
        <w:t xml:space="preserve">Social media presence emphasizing the “jewelry first” aesthetic through high-quality visual content</w:t>
      </w:r>
    </w:p>
    <w:p>
      <w:pPr>
        <w:spacing w:after="160"/>
      </w:pPr>
      <w:r>
        <w:rPr>
          <w:rFonts w:ascii="Arial" w:cs="Arial" w:eastAsia="Arial" w:hAnsi="Arial"/>
          <w:b/>
          <w:bCs/>
          <w:color w:val="333333"/>
          <w:sz w:val="22"/>
          <w:szCs w:val="22"/>
        </w:rPr>
        <w:t xml:space="preserve">Phase 2: Launch &amp; Early Adoption</w:t>
      </w:r>
    </w:p>
    <w:p>
      <w:pPr>
        <w:pStyle w:val="ListParagraph"/>
        <w:numPr>
          <w:ilvl w:val="0"/>
          <w:numId w:val="2"/>
        </w:numPr>
        <w:spacing w:after="100"/>
      </w:pPr>
      <w:r>
        <w:rPr>
          <w:rFonts w:ascii="Arial" w:cs="Arial" w:eastAsia="Arial" w:hAnsi="Arial"/>
          <w:color w:val="333333"/>
          <w:sz w:val="22"/>
          <w:szCs w:val="22"/>
        </w:rPr>
        <w:t xml:space="preserve">100-unit beta program to early believers for real-world testing and testimonial generation</w:t>
      </w:r>
    </w:p>
    <w:p>
      <w:pPr>
        <w:pStyle w:val="ListParagraph"/>
        <w:numPr>
          <w:ilvl w:val="0"/>
          <w:numId w:val="2"/>
        </w:numPr>
        <w:spacing w:after="100"/>
      </w:pPr>
      <w:r>
        <w:rPr>
          <w:rFonts w:ascii="Arial" w:cs="Arial" w:eastAsia="Arial" w:hAnsi="Arial"/>
          <w:color w:val="333333"/>
          <w:sz w:val="22"/>
          <w:szCs w:val="22"/>
        </w:rPr>
        <w:t xml:space="preserve">PR campaign targeting tech and lifestyle media (Wired, The Verge, GQ, Monocle)</w:t>
      </w:r>
    </w:p>
    <w:p>
      <w:pPr>
        <w:pStyle w:val="ListParagraph"/>
        <w:numPr>
          <w:ilvl w:val="0"/>
          <w:numId w:val="2"/>
        </w:numPr>
        <w:spacing w:after="100"/>
      </w:pPr>
      <w:r>
        <w:rPr>
          <w:rFonts w:ascii="Arial" w:cs="Arial" w:eastAsia="Arial" w:hAnsi="Arial"/>
          <w:color w:val="333333"/>
          <w:sz w:val="22"/>
          <w:szCs w:val="22"/>
        </w:rPr>
        <w:t xml:space="preserve">User-generated content campaigns showcasing real moments of curiosity, action, and reflection</w:t>
      </w:r>
    </w:p>
    <w:p>
      <w:pPr>
        <w:spacing w:after="160"/>
      </w:pPr>
      <w:r>
        <w:rPr>
          <w:rFonts w:ascii="Arial" w:cs="Arial" w:eastAsia="Arial" w:hAnsi="Arial"/>
          <w:b/>
          <w:bCs/>
          <w:color w:val="333333"/>
          <w:sz w:val="22"/>
          <w:szCs w:val="22"/>
        </w:rPr>
        <w:t xml:space="preserve">Phase 3: Scale &amp; Retail Expansion</w:t>
      </w:r>
    </w:p>
    <w:p>
      <w:pPr>
        <w:pStyle w:val="ListParagraph"/>
        <w:numPr>
          <w:ilvl w:val="0"/>
          <w:numId w:val="2"/>
        </w:numPr>
        <w:spacing w:after="100"/>
      </w:pPr>
      <w:r>
        <w:rPr>
          <w:rFonts w:ascii="Arial" w:cs="Arial" w:eastAsia="Arial" w:hAnsi="Arial"/>
          <w:color w:val="333333"/>
          <w:sz w:val="22"/>
          <w:szCs w:val="22"/>
        </w:rPr>
        <w:t xml:space="preserve">Selective partnerships with premium retailers (Nordstrom, boutique jewelry stores)</w:t>
      </w:r>
    </w:p>
    <w:p>
      <w:pPr>
        <w:pStyle w:val="ListParagraph"/>
        <w:numPr>
          <w:ilvl w:val="0"/>
          <w:numId w:val="2"/>
        </w:numPr>
        <w:spacing w:after="100"/>
      </w:pPr>
      <w:r>
        <w:rPr>
          <w:rFonts w:ascii="Arial" w:cs="Arial" w:eastAsia="Arial" w:hAnsi="Arial"/>
          <w:color w:val="333333"/>
          <w:sz w:val="22"/>
          <w:szCs w:val="22"/>
        </w:rPr>
        <w:t xml:space="preserve">Corporate wellness programs as B2B channel</w:t>
      </w:r>
    </w:p>
    <w:p>
      <w:pPr>
        <w:pStyle w:val="ListParagraph"/>
        <w:numPr>
          <w:ilvl w:val="0"/>
          <w:numId w:val="2"/>
        </w:numPr>
        <w:spacing w:after="100"/>
      </w:pPr>
      <w:r>
        <w:rPr>
          <w:rFonts w:ascii="Arial" w:cs="Arial" w:eastAsia="Arial" w:hAnsi="Arial"/>
          <w:color w:val="333333"/>
          <w:sz w:val="22"/>
          <w:szCs w:val="22"/>
        </w:rPr>
        <w:t xml:space="preserve">Amazon presence after establishing brand identity in direct channels</w:t>
      </w:r>
    </w:p>
    <w:p>
      <w:pPr>
        <w:pStyle w:val="ListParagraph"/>
        <w:numPr>
          <w:ilvl w:val="0"/>
          <w:numId w:val="2"/>
        </w:numPr>
        <w:spacing w:after="100"/>
      </w:pPr>
      <w:r>
        <w:rPr>
          <w:rFonts w:ascii="Arial" w:cs="Arial" w:eastAsia="Arial" w:hAnsi="Arial"/>
          <w:color w:val="333333"/>
          <w:sz w:val="22"/>
          <w:szCs w:val="22"/>
        </w:rPr>
        <w:t xml:space="preserve">International expansion beginning with markets with high AI adoption (Japan, South Korea, Western Europe)</w:t>
      </w:r>
    </w:p>
    <w:p>
      <w:pPr>
        <w:pStyle w:val="Heading2"/>
        <w:spacing w:before="240" w:after="160"/>
      </w:pPr>
      <w:r>
        <w:rPr>
          <w:color w:val="2E75B6"/>
        </w:rPr>
        <w:t xml:space="preserve">Sales Channels</w:t>
      </w:r>
    </w:p>
    <w:p>
      <w:pPr>
        <w:pStyle w:val="ListParagraph"/>
        <w:numPr>
          <w:ilvl w:val="0"/>
          <w:numId w:val="2"/>
        </w:numPr>
        <w:spacing w:after="100"/>
      </w:pPr>
      <w:r>
        <w:rPr>
          <w:rFonts w:ascii="Arial" w:cs="Arial" w:eastAsia="Arial" w:hAnsi="Arial"/>
          <w:b/>
          <w:bCs/>
          <w:color w:val="333333"/>
          <w:sz w:val="22"/>
          <w:szCs w:val="22"/>
        </w:rPr>
        <w:t xml:space="preserve">Direct E-Commerce (Primary): </w:t>
      </w:r>
      <w:r>
        <w:rPr>
          <w:rFonts w:ascii="Arial" w:cs="Arial" w:eastAsia="Arial" w:hAnsi="Arial"/>
          <w:color w:val="333333"/>
          <w:sz w:val="22"/>
          <w:szCs w:val="22"/>
        </w:rPr>
        <w:t xml:space="preserve">cible.ai website offering full product line, customization options, and direct relationship with customers</w:t>
      </w:r>
    </w:p>
    <w:p>
      <w:pPr>
        <w:pStyle w:val="ListParagraph"/>
        <w:numPr>
          <w:ilvl w:val="0"/>
          <w:numId w:val="2"/>
        </w:numPr>
        <w:spacing w:after="100"/>
      </w:pPr>
      <w:r>
        <w:rPr>
          <w:rFonts w:ascii="Arial" w:cs="Arial" w:eastAsia="Arial" w:hAnsi="Arial"/>
          <w:b/>
          <w:bCs/>
          <w:color w:val="333333"/>
          <w:sz w:val="22"/>
          <w:szCs w:val="22"/>
        </w:rPr>
        <w:t xml:space="preserve">Premium Retail (Secondary): </w:t>
      </w:r>
      <w:r>
        <w:rPr>
          <w:rFonts w:ascii="Arial" w:cs="Arial" w:eastAsia="Arial" w:hAnsi="Arial"/>
          <w:color w:val="333333"/>
          <w:sz w:val="22"/>
          <w:szCs w:val="22"/>
        </w:rPr>
        <w:t xml:space="preserve">Curated presence in high-end jewelry and lifestyle retail locations in major metropolitan areas</w:t>
      </w:r>
    </w:p>
    <w:p>
      <w:pPr>
        <w:pStyle w:val="ListParagraph"/>
        <w:numPr>
          <w:ilvl w:val="0"/>
          <w:numId w:val="2"/>
        </w:numPr>
        <w:spacing w:after="100"/>
      </w:pPr>
      <w:r>
        <w:rPr>
          <w:rFonts w:ascii="Arial" w:cs="Arial" w:eastAsia="Arial" w:hAnsi="Arial"/>
          <w:b/>
          <w:bCs/>
          <w:color w:val="333333"/>
          <w:sz w:val="22"/>
          <w:szCs w:val="22"/>
        </w:rPr>
        <w:t xml:space="preserve">Online Marketplaces (Tertiary): </w:t>
      </w:r>
      <w:r>
        <w:rPr>
          <w:rFonts w:ascii="Arial" w:cs="Arial" w:eastAsia="Arial" w:hAnsi="Arial"/>
          <w:color w:val="333333"/>
          <w:sz w:val="22"/>
          <w:szCs w:val="22"/>
        </w:rPr>
        <w:t xml:space="preserve">Amazon and similar platforms for broader market capture once brand is established</w:t>
      </w:r>
    </w:p>
    <w:p>
      <w:pPr>
        <w:pStyle w:val="Heading2"/>
        <w:spacing w:before="240" w:after="160"/>
      </w:pPr>
      <w:r>
        <w:rPr>
          <w:color w:val="2E75B6"/>
        </w:rPr>
        <w:t xml:space="preserve">Customer Acquisition Economics</w:t>
      </w:r>
    </w:p>
    <w:p>
      <w:pPr>
        <w:spacing w:after="160"/>
      </w:pPr>
      <w:r>
        <w:rPr>
          <w:rFonts w:ascii="Arial" w:cs="Arial" w:eastAsia="Arial" w:hAnsi="Arial"/>
          <w:color w:val="333333"/>
          <w:sz w:val="22"/>
          <w:szCs w:val="22"/>
        </w:rPr>
        <w:t xml:space="preserve">Target Customer Acquisition Cost (CAC): $75 per customer, achieved through a blended strategy of organic content marketing (~40% of acquisitions), paid social and search advertising (~35%), influencer partnerships (~15%), and retail partnerships (~10%).</w:t>
      </w:r>
    </w:p>
    <w:p>
      <w:r>
        <w:br w:type="page"/>
      </w:r>
    </w:p>
    <w:p>
      <w:pPr>
        <w:pStyle w:val="Heading1"/>
        <w:spacing w:before="360" w:after="200"/>
      </w:pPr>
      <w:r>
        <w:rPr>
          <w:color w:val="1B3A5C"/>
        </w:rPr>
        <w:t xml:space="preserve">6. Competitive Analysis</w:t>
      </w:r>
    </w:p>
    <w:p>
      <w:pPr>
        <w:pStyle w:val="Heading2"/>
        <w:spacing w:before="240" w:after="160"/>
      </w:pPr>
      <w:r>
        <w:rPr>
          <w:color w:val="2E75B6"/>
        </w:rPr>
        <w:t xml:space="preserve">Competitive Landscape</w:t>
      </w:r>
    </w:p>
    <w:p>
      <w:pPr>
        <w:spacing w:after="160"/>
      </w:pPr>
      <w:r>
        <w:rPr>
          <w:rFonts w:ascii="Arial" w:cs="Arial" w:eastAsia="Arial" w:hAnsi="Arial"/>
          <w:color w:val="333333"/>
          <w:sz w:val="22"/>
          <w:szCs w:val="22"/>
        </w:rPr>
        <w:t xml:space="preserve">The smart ring market includes established players and emerging competitors, but none occupy the specific niche Cible targets. Current competitors focus primarily on biometric tracking (health data) or basic notification relaying, leaving the AI-assistant-in-a-ring category entirely unaddressed.</w:t>
      </w:r>
    </w:p>
    <w:p>
      <w:pPr>
        <w:pStyle w:val="Heading2"/>
        <w:spacing w:before="240" w:after="160"/>
      </w:pPr>
      <w:r>
        <w:rPr>
          <w:color w:val="2E75B6"/>
        </w:rPr>
        <w:t xml:space="preserve">Head-to-Head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Oura Ring</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Apple Watch</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Cible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Beautiful Design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AI Assistant</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Basic (Siri)</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Ambient Voice Input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Screen-Free</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Battery Life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7 days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1 day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5–7 days</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Price</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$299</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$399</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$449</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Core Focus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Health tracking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Notifications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AI + Reflection</w:t>
            </w:r>
          </w:p>
        </w:tc>
      </w:tr>
    </w:tbl>
    <w:p>
      <w:pPr>
        <w:spacing w:after="120"/>
      </w:pPr>
    </w:p>
    <w:p>
      <w:pPr>
        <w:pStyle w:val="Heading2"/>
        <w:spacing w:before="240" w:after="160"/>
      </w:pPr>
      <w:r>
        <w:rPr>
          <w:color w:val="2E75B6"/>
        </w:rPr>
        <w:t xml:space="preserve">Sustainable Competitive Advantages (Moat)</w:t>
      </w:r>
    </w:p>
    <w:p>
      <w:pPr>
        <w:pStyle w:val="ListParagraph"/>
        <w:numPr>
          <w:ilvl w:val="0"/>
          <w:numId w:val="2"/>
        </w:numPr>
        <w:spacing w:after="100"/>
      </w:pPr>
      <w:r>
        <w:rPr>
          <w:rFonts w:ascii="Arial" w:cs="Arial" w:eastAsia="Arial" w:hAnsi="Arial"/>
          <w:b/>
          <w:bCs/>
          <w:color w:val="333333"/>
          <w:sz w:val="22"/>
          <w:szCs w:val="22"/>
        </w:rPr>
        <w:t xml:space="preserve">Patent-Pending Twist Interaction: </w:t>
      </w:r>
      <w:r>
        <w:rPr>
          <w:rFonts w:ascii="Arial" w:cs="Arial" w:eastAsia="Arial" w:hAnsi="Arial"/>
          <w:color w:val="333333"/>
          <w:sz w:val="22"/>
          <w:szCs w:val="22"/>
        </w:rPr>
        <w:t xml:space="preserve">The twist-to-activate mechanism creates a unique, intuitive user experience that cannot be legally replicated. This physical interaction is central to the product’s identity and user delight.</w:t>
      </w:r>
    </w:p>
    <w:p>
      <w:pPr>
        <w:pStyle w:val="ListParagraph"/>
        <w:numPr>
          <w:ilvl w:val="0"/>
          <w:numId w:val="2"/>
        </w:numPr>
        <w:spacing w:after="100"/>
      </w:pPr>
      <w:r>
        <w:rPr>
          <w:rFonts w:ascii="Arial" w:cs="Arial" w:eastAsia="Arial" w:hAnsi="Arial"/>
          <w:b/>
          <w:bCs/>
          <w:color w:val="333333"/>
          <w:sz w:val="22"/>
          <w:szCs w:val="22"/>
        </w:rPr>
        <w:t xml:space="preserve">Jewelry-First Design DNA: </w:t>
      </w:r>
      <w:r>
        <w:rPr>
          <w:rFonts w:ascii="Arial" w:cs="Arial" w:eastAsia="Arial" w:hAnsi="Arial"/>
          <w:color w:val="333333"/>
          <w:sz w:val="22"/>
          <w:szCs w:val="22"/>
        </w:rPr>
        <w:t xml:space="preserve">Cible’s founding team includes fashion and jewelry design expertise. Competitors are technology companies trying to make jewelry; Cible is jewelry that happens to think. This cultural difference is extremely difficult to replicate.</w:t>
      </w:r>
    </w:p>
    <w:p>
      <w:pPr>
        <w:pStyle w:val="ListParagraph"/>
        <w:numPr>
          <w:ilvl w:val="0"/>
          <w:numId w:val="2"/>
        </w:numPr>
        <w:spacing w:after="100"/>
      </w:pPr>
      <w:r>
        <w:rPr>
          <w:rFonts w:ascii="Arial" w:cs="Arial" w:eastAsia="Arial" w:hAnsi="Arial"/>
          <w:b/>
          <w:bCs/>
          <w:color w:val="333333"/>
          <w:sz w:val="22"/>
          <w:szCs w:val="22"/>
        </w:rPr>
        <w:t xml:space="preserve">AI Personalization Engine: </w:t>
      </w:r>
      <w:r>
        <w:rPr>
          <w:rFonts w:ascii="Arial" w:cs="Arial" w:eastAsia="Arial" w:hAnsi="Arial"/>
          <w:color w:val="333333"/>
          <w:sz w:val="22"/>
          <w:szCs w:val="22"/>
        </w:rPr>
        <w:t xml:space="preserve">Proprietary algorithms that improve with use, learning each user’s curiosity patterns, productivity habits, and emotional rhythms. The longer a user wears Cible, the more valuable it becomes—creating significant switching costs.</w:t>
      </w:r>
    </w:p>
    <w:p>
      <w:pPr>
        <w:pStyle w:val="ListParagraph"/>
        <w:numPr>
          <w:ilvl w:val="0"/>
          <w:numId w:val="2"/>
        </w:numPr>
        <w:spacing w:after="100"/>
      </w:pPr>
      <w:r>
        <w:rPr>
          <w:rFonts w:ascii="Arial" w:cs="Arial" w:eastAsia="Arial" w:hAnsi="Arial"/>
          <w:b/>
          <w:bCs/>
          <w:color w:val="333333"/>
          <w:sz w:val="22"/>
          <w:szCs w:val="22"/>
        </w:rPr>
        <w:t xml:space="preserve">First-Mover Advantage: </w:t>
      </w:r>
      <w:r>
        <w:rPr>
          <w:rFonts w:ascii="Arial" w:cs="Arial" w:eastAsia="Arial" w:hAnsi="Arial"/>
          <w:color w:val="333333"/>
          <w:sz w:val="22"/>
          <w:szCs w:val="22"/>
        </w:rPr>
        <w:t xml:space="preserve">Cible will be the first product to define the “AI assistant ring” category, establishing brand recognition and customer loyalty before competitors can enter.</w:t>
      </w:r>
    </w:p>
    <w:p>
      <w:pPr>
        <w:pStyle w:val="Heading2"/>
        <w:spacing w:before="240" w:after="160"/>
      </w:pPr>
      <w:r>
        <w:rPr>
          <w:color w:val="2E75B6"/>
        </w:rPr>
        <w:t xml:space="preserve">SWOT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Strengths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Weaknesses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Unique jewelry-first positioning; patent-pending interaction; AI personalization; premium brand identity; strong unit economics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Pre-revenue startup; hardware manufacturing complexity; dependence on cloud AI processing; small initial team; no established retail relationships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Opportunities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Threats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Explosive AI adoption; growing smart ring market; corporate wellness programs; international expansion; customization/accessories revenue; platform partnerships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Big tech entry (Apple, Samsung ring); AI commoditization; consumer privacy concerns; supply chain disruption; economic downturn reducing premium spending</w:t>
            </w:r>
          </w:p>
        </w:tc>
      </w:tr>
    </w:tbl>
    <w:p>
      <w:r>
        <w:br w:type="page"/>
      </w:r>
    </w:p>
    <w:p>
      <w:pPr>
        <w:pStyle w:val="Heading1"/>
        <w:spacing w:before="360" w:after="200"/>
      </w:pPr>
      <w:r>
        <w:rPr>
          <w:color w:val="1B3A5C"/>
        </w:rPr>
        <w:t xml:space="preserve">7. Operations Plan</w:t>
      </w:r>
    </w:p>
    <w:p>
      <w:pPr>
        <w:pStyle w:val="Heading2"/>
        <w:spacing w:before="240" w:after="160"/>
      </w:pPr>
      <w:r>
        <w:rPr>
          <w:color w:val="2E75B6"/>
        </w:rPr>
        <w:t xml:space="preserve">Product Development &amp; Manufacturing</w:t>
      </w:r>
    </w:p>
    <w:p>
      <w:pPr>
        <w:spacing w:after="160"/>
      </w:pPr>
      <w:r>
        <w:rPr>
          <w:rFonts w:ascii="Arial" w:cs="Arial" w:eastAsia="Arial" w:hAnsi="Arial"/>
          <w:color w:val="333333"/>
          <w:sz w:val="22"/>
          <w:szCs w:val="22"/>
        </w:rPr>
        <w:t xml:space="preserve">Cible’s operations strategy separates hardware manufacturing from software development to optimize for quality, cost, and agility.</w:t>
      </w:r>
    </w:p>
    <w:p>
      <w:pPr>
        <w:spacing w:after="160"/>
      </w:pPr>
      <w:r>
        <w:rPr>
          <w:rFonts w:ascii="Arial" w:cs="Arial" w:eastAsia="Arial" w:hAnsi="Arial"/>
          <w:b/>
          <w:bCs/>
          <w:color w:val="333333"/>
          <w:sz w:val="22"/>
          <w:szCs w:val="22"/>
        </w:rPr>
        <w:t xml:space="preserve">Hardware:</w:t>
      </w:r>
    </w:p>
    <w:p>
      <w:pPr>
        <w:pStyle w:val="ListParagraph"/>
        <w:numPr>
          <w:ilvl w:val="0"/>
          <w:numId w:val="2"/>
        </w:numPr>
        <w:spacing w:after="100"/>
      </w:pPr>
      <w:r>
        <w:rPr>
          <w:rFonts w:ascii="Arial" w:cs="Arial" w:eastAsia="Arial" w:hAnsi="Arial"/>
          <w:color w:val="333333"/>
          <w:sz w:val="22"/>
          <w:szCs w:val="22"/>
        </w:rPr>
        <w:t xml:space="preserve">Contract manufacturing through established Shenzhen-based partners specializing in premium wearable devices and jewelry-grade finishing</w:t>
      </w:r>
    </w:p>
    <w:p>
      <w:pPr>
        <w:pStyle w:val="ListParagraph"/>
        <w:numPr>
          <w:ilvl w:val="0"/>
          <w:numId w:val="2"/>
        </w:numPr>
        <w:spacing w:after="100"/>
      </w:pPr>
      <w:r>
        <w:rPr>
          <w:rFonts w:ascii="Arial" w:cs="Arial" w:eastAsia="Arial" w:hAnsi="Arial"/>
          <w:color w:val="333333"/>
          <w:sz w:val="22"/>
          <w:szCs w:val="22"/>
        </w:rPr>
        <w:t xml:space="preserve">Per-unit manufacturing cost: $135 (including components, assembly, and quality control)</w:t>
      </w:r>
    </w:p>
    <w:p>
      <w:pPr>
        <w:pStyle w:val="ListParagraph"/>
        <w:numPr>
          <w:ilvl w:val="0"/>
          <w:numId w:val="2"/>
        </w:numPr>
        <w:spacing w:after="100"/>
      </w:pPr>
      <w:r>
        <w:rPr>
          <w:rFonts w:ascii="Arial" w:cs="Arial" w:eastAsia="Arial" w:hAnsi="Arial"/>
          <w:color w:val="333333"/>
          <w:sz w:val="22"/>
          <w:szCs w:val="22"/>
        </w:rPr>
        <w:t xml:space="preserve">Packaging: $8/unit; Shipping: $5/unit; Total COGS: $148/unit</w:t>
      </w:r>
    </w:p>
    <w:p>
      <w:pPr>
        <w:pStyle w:val="ListParagraph"/>
        <w:numPr>
          <w:ilvl w:val="0"/>
          <w:numId w:val="2"/>
        </w:numPr>
        <w:spacing w:after="100"/>
      </w:pPr>
      <w:r>
        <w:rPr>
          <w:rFonts w:ascii="Arial" w:cs="Arial" w:eastAsia="Arial" w:hAnsi="Arial"/>
          <w:color w:val="333333"/>
          <w:sz w:val="22"/>
          <w:szCs w:val="22"/>
        </w:rPr>
        <w:t xml:space="preserve">Quality assurance: 100% individual unit testing before shipment; 5% target return rate</w:t>
      </w:r>
    </w:p>
    <w:p>
      <w:pPr>
        <w:spacing w:after="160"/>
      </w:pPr>
      <w:r>
        <w:rPr>
          <w:rFonts w:ascii="Arial" w:cs="Arial" w:eastAsia="Arial" w:hAnsi="Arial"/>
          <w:b/>
          <w:bCs/>
          <w:color w:val="333333"/>
          <w:sz w:val="22"/>
          <w:szCs w:val="22"/>
        </w:rPr>
        <w:t xml:space="preserve">Software:</w:t>
      </w:r>
    </w:p>
    <w:p>
      <w:pPr>
        <w:pStyle w:val="ListParagraph"/>
        <w:numPr>
          <w:ilvl w:val="0"/>
          <w:numId w:val="2"/>
        </w:numPr>
        <w:spacing w:after="100"/>
      </w:pPr>
      <w:r>
        <w:rPr>
          <w:rFonts w:ascii="Arial" w:cs="Arial" w:eastAsia="Arial" w:hAnsi="Arial"/>
          <w:color w:val="333333"/>
          <w:sz w:val="22"/>
          <w:szCs w:val="22"/>
        </w:rPr>
        <w:t xml:space="preserve">AI processing handled via cloud infrastructure (AWS/GCP), keeping the ring’s hardware requirements minimal and extending battery life</w:t>
      </w:r>
    </w:p>
    <w:p>
      <w:pPr>
        <w:pStyle w:val="ListParagraph"/>
        <w:numPr>
          <w:ilvl w:val="0"/>
          <w:numId w:val="2"/>
        </w:numPr>
        <w:spacing w:after="100"/>
      </w:pPr>
      <w:r>
        <w:rPr>
          <w:rFonts w:ascii="Arial" w:cs="Arial" w:eastAsia="Arial" w:hAnsi="Arial"/>
          <w:color w:val="333333"/>
          <w:sz w:val="22"/>
          <w:szCs w:val="22"/>
        </w:rPr>
        <w:t xml:space="preserve">Companion mobile app (iOS and Android) for settings management, knowledge base browsing, and journal review</w:t>
      </w:r>
    </w:p>
    <w:p>
      <w:pPr>
        <w:pStyle w:val="ListParagraph"/>
        <w:numPr>
          <w:ilvl w:val="0"/>
          <w:numId w:val="2"/>
        </w:numPr>
        <w:spacing w:after="100"/>
      </w:pPr>
      <w:r>
        <w:rPr>
          <w:rFonts w:ascii="Arial" w:cs="Arial" w:eastAsia="Arial" w:hAnsi="Arial"/>
          <w:color w:val="333333"/>
          <w:sz w:val="22"/>
          <w:szCs w:val="22"/>
        </w:rPr>
        <w:t xml:space="preserve">Over-the-air firmware updates ensuring continuous improvement without hardware replacement</w:t>
      </w:r>
    </w:p>
    <w:p>
      <w:pPr>
        <w:pStyle w:val="Heading2"/>
        <w:spacing w:before="240" w:after="160"/>
      </w:pPr>
      <w:r>
        <w:rPr>
          <w:color w:val="2E75B6"/>
        </w:rPr>
        <w:t xml:space="preserve">Technology Architecture</w:t>
      </w:r>
    </w:p>
    <w:p>
      <w:pPr>
        <w:spacing w:after="160"/>
      </w:pPr>
      <w:r>
        <w:rPr>
          <w:rFonts w:ascii="Arial" w:cs="Arial" w:eastAsia="Arial" w:hAnsi="Arial"/>
          <w:color w:val="333333"/>
          <w:sz w:val="22"/>
          <w:szCs w:val="22"/>
        </w:rPr>
        <w:t xml:space="preserve">The Cible system architecture consists of three layers: the ring hardware (voice capture, LED feedback, Bluetooth transmission), the cloud AI engine (natural language processing, task decomposition, journal synthesis, personalization algorithms), and the mobile companion app (user interface, data visualization, settings management). This architecture ensures the ring remains lightweight and power-efficient while delivering sophisticated AI capabilities.</w:t>
      </w:r>
    </w:p>
    <w:p>
      <w:pPr>
        <w:pStyle w:val="Heading2"/>
        <w:spacing w:before="240" w:after="160"/>
      </w:pPr>
      <w:r>
        <w:rPr>
          <w:color w:val="2E75B6"/>
        </w:rPr>
        <w:t xml:space="preserve">Privacy &amp; Data Security</w:t>
      </w:r>
    </w:p>
    <w:p>
      <w:pPr>
        <w:pStyle w:val="ListParagraph"/>
        <w:numPr>
          <w:ilvl w:val="0"/>
          <w:numId w:val="2"/>
        </w:numPr>
        <w:spacing w:after="100"/>
      </w:pPr>
      <w:r>
        <w:rPr>
          <w:rFonts w:ascii="Arial" w:cs="Arial" w:eastAsia="Arial" w:hAnsi="Arial"/>
          <w:b/>
          <w:bCs/>
          <w:color w:val="333333"/>
          <w:sz w:val="22"/>
          <w:szCs w:val="22"/>
        </w:rPr>
        <w:t xml:space="preserve">Activation-Only Recording: </w:t>
      </w:r>
      <w:r>
        <w:rPr>
          <w:rFonts w:ascii="Arial" w:cs="Arial" w:eastAsia="Arial" w:hAnsi="Arial"/>
          <w:color w:val="333333"/>
          <w:sz w:val="22"/>
          <w:szCs w:val="22"/>
        </w:rPr>
        <w:t xml:space="preserve">Cible only records when the user twists to activate. Unlike always-on devices, users maintain complete control.</w:t>
      </w:r>
    </w:p>
    <w:p>
      <w:pPr>
        <w:pStyle w:val="ListParagraph"/>
        <w:numPr>
          <w:ilvl w:val="0"/>
          <w:numId w:val="2"/>
        </w:numPr>
        <w:spacing w:after="100"/>
      </w:pPr>
      <w:r>
        <w:rPr>
          <w:rFonts w:ascii="Arial" w:cs="Arial" w:eastAsia="Arial" w:hAnsi="Arial"/>
          <w:b/>
          <w:bCs/>
          <w:color w:val="333333"/>
          <w:sz w:val="22"/>
          <w:szCs w:val="22"/>
        </w:rPr>
        <w:t xml:space="preserve">End-to-End Encryption: </w:t>
      </w:r>
      <w:r>
        <w:rPr>
          <w:rFonts w:ascii="Arial" w:cs="Arial" w:eastAsia="Arial" w:hAnsi="Arial"/>
          <w:color w:val="333333"/>
          <w:sz w:val="22"/>
          <w:szCs w:val="22"/>
        </w:rPr>
        <w:t xml:space="preserve">All voice data and personal information is encrypted in transit and at rest.</w:t>
      </w:r>
    </w:p>
    <w:p>
      <w:pPr>
        <w:pStyle w:val="ListParagraph"/>
        <w:numPr>
          <w:ilvl w:val="0"/>
          <w:numId w:val="2"/>
        </w:numPr>
        <w:spacing w:after="100"/>
      </w:pPr>
      <w:r>
        <w:rPr>
          <w:rFonts w:ascii="Arial" w:cs="Arial" w:eastAsia="Arial" w:hAnsi="Arial"/>
          <w:b/>
          <w:bCs/>
          <w:color w:val="333333"/>
          <w:sz w:val="22"/>
          <w:szCs w:val="22"/>
        </w:rPr>
        <w:t xml:space="preserve">User Ownership: </w:t>
      </w:r>
      <w:r>
        <w:rPr>
          <w:rFonts w:ascii="Arial" w:cs="Arial" w:eastAsia="Arial" w:hAnsi="Arial"/>
          <w:color w:val="333333"/>
          <w:sz w:val="22"/>
          <w:szCs w:val="22"/>
        </w:rPr>
        <w:t xml:space="preserve">Users can export, delete, or opt out of cloud storage entirely, keeping everything local on their phone.</w:t>
      </w:r>
    </w:p>
    <w:p>
      <w:pPr>
        <w:pStyle w:val="ListParagraph"/>
        <w:numPr>
          <w:ilvl w:val="0"/>
          <w:numId w:val="2"/>
        </w:numPr>
        <w:spacing w:after="100"/>
      </w:pPr>
      <w:r>
        <w:rPr>
          <w:rFonts w:ascii="Arial" w:cs="Arial" w:eastAsia="Arial" w:hAnsi="Arial"/>
          <w:b/>
          <w:bCs/>
          <w:color w:val="333333"/>
          <w:sz w:val="22"/>
          <w:szCs w:val="22"/>
        </w:rPr>
        <w:t xml:space="preserve">Compliance: </w:t>
      </w:r>
      <w:r>
        <w:rPr>
          <w:rFonts w:ascii="Arial" w:cs="Arial" w:eastAsia="Arial" w:hAnsi="Arial"/>
          <w:color w:val="333333"/>
          <w:sz w:val="22"/>
          <w:szCs w:val="22"/>
        </w:rPr>
        <w:t xml:space="preserve">GDPR and CCPA compliant from day one.</w:t>
      </w:r>
    </w:p>
    <w:p>
      <w:pPr>
        <w:pStyle w:val="Heading2"/>
        <w:spacing w:before="240" w:after="160"/>
      </w:pPr>
      <w:r>
        <w:rPr>
          <w:color w:val="2E75B6"/>
        </w:rPr>
        <w:t xml:space="preserve">Supply Chain &amp; Inventory</w:t>
      </w:r>
    </w:p>
    <w:p>
      <w:pPr>
        <w:spacing w:after="160"/>
      </w:pPr>
      <w:r>
        <w:rPr>
          <w:rFonts w:ascii="Arial" w:cs="Arial" w:eastAsia="Arial" w:hAnsi="Arial"/>
          <w:color w:val="333333"/>
          <w:sz w:val="22"/>
          <w:szCs w:val="22"/>
        </w:rPr>
        <w:t xml:space="preserve">Initial production runs will be managed in small batches (500–1,000 units) to minimize inventory risk while demand is validated. As sales volume increases, batch sizes will scale proportionally with 60-day lead times from order to delivery. Multiple supplier relationships will be established for critical components to mitigate supply chain disruption risk.</w:t>
      </w:r>
    </w:p>
    <w:p>
      <w:r>
        <w:br w:type="page"/>
      </w:r>
    </w:p>
    <w:p>
      <w:pPr>
        <w:pStyle w:val="Heading1"/>
        <w:spacing w:before="360" w:after="200"/>
      </w:pPr>
      <w:r>
        <w:rPr>
          <w:color w:val="1B3A5C"/>
        </w:rPr>
        <w:t xml:space="preserve">8. Management Team</w:t>
      </w:r>
    </w:p>
    <w:p>
      <w:pPr>
        <w:pStyle w:val="Heading2"/>
        <w:spacing w:before="240" w:after="160"/>
      </w:pPr>
      <w:r>
        <w:rPr>
          <w:color w:val="2E75B6"/>
        </w:rPr>
        <w:t xml:space="preserve">Founding Team</w:t>
      </w:r>
    </w:p>
    <w:p>
      <w:pPr>
        <w:spacing w:after="160"/>
      </w:pPr>
      <w:r>
        <w:rPr>
          <w:rFonts w:ascii="Arial" w:cs="Arial" w:eastAsia="Arial" w:hAnsi="Arial"/>
          <w:color w:val="333333"/>
          <w:sz w:val="22"/>
          <w:szCs w:val="22"/>
        </w:rPr>
        <w:t xml:space="preserve">The Cible founding team brings together a diverse set of skills essential for building a premium consumer hardware company at the intersection of AI, fashion, and technology.</w:t>
      </w:r>
    </w:p>
    <w:p>
      <w:pPr>
        <w:pStyle w:val="ListParagraph"/>
        <w:numPr>
          <w:ilvl w:val="0"/>
          <w:numId w:val="2"/>
        </w:numPr>
        <w:spacing w:after="100"/>
      </w:pPr>
      <w:r>
        <w:rPr>
          <w:rFonts w:ascii="Arial" w:cs="Arial" w:eastAsia="Arial" w:hAnsi="Arial"/>
          <w:b/>
          <w:bCs/>
          <w:color w:val="333333"/>
          <w:sz w:val="22"/>
          <w:szCs w:val="22"/>
        </w:rPr>
        <w:t xml:space="preserve">CEO / Product Lead: </w:t>
      </w:r>
      <w:r>
        <w:rPr>
          <w:rFonts w:ascii="Arial" w:cs="Arial" w:eastAsia="Arial" w:hAnsi="Arial"/>
          <w:color w:val="333333"/>
          <w:sz w:val="22"/>
          <w:szCs w:val="22"/>
        </w:rPr>
        <w:t xml:space="preserve">Background in business strategy and AI applications from UC San Diego’s MSBA program at the Rady School of Management. Responsible for product vision, business strategy, and investor relations.</w:t>
      </w:r>
    </w:p>
    <w:p>
      <w:pPr>
        <w:pStyle w:val="ListParagraph"/>
        <w:numPr>
          <w:ilvl w:val="0"/>
          <w:numId w:val="2"/>
        </w:numPr>
        <w:spacing w:after="100"/>
      </w:pPr>
      <w:r>
        <w:rPr>
          <w:rFonts w:ascii="Arial" w:cs="Arial" w:eastAsia="Arial" w:hAnsi="Arial"/>
          <w:b/>
          <w:bCs/>
          <w:color w:val="333333"/>
          <w:sz w:val="22"/>
          <w:szCs w:val="22"/>
        </w:rPr>
        <w:t xml:space="preserve">CTO / Engineering Lead: </w:t>
      </w:r>
      <w:r>
        <w:rPr>
          <w:rFonts w:ascii="Arial" w:cs="Arial" w:eastAsia="Arial" w:hAnsi="Arial"/>
          <w:color w:val="333333"/>
          <w:sz w:val="22"/>
          <w:szCs w:val="22"/>
        </w:rPr>
        <w:t xml:space="preserve">Expertise in embedded systems, Bluetooth firmware development, and cloud AI architecture. Responsible for hardware engineering, software development, and technical roadmap.</w:t>
      </w:r>
    </w:p>
    <w:p>
      <w:pPr>
        <w:pStyle w:val="ListParagraph"/>
        <w:numPr>
          <w:ilvl w:val="0"/>
          <w:numId w:val="2"/>
        </w:numPr>
        <w:spacing w:after="100"/>
      </w:pPr>
      <w:r>
        <w:rPr>
          <w:rFonts w:ascii="Arial" w:cs="Arial" w:eastAsia="Arial" w:hAnsi="Arial"/>
          <w:b/>
          <w:bCs/>
          <w:color w:val="333333"/>
          <w:sz w:val="22"/>
          <w:szCs w:val="22"/>
        </w:rPr>
        <w:t xml:space="preserve">Creative Director / Design Lead: </w:t>
      </w:r>
      <w:r>
        <w:rPr>
          <w:rFonts w:ascii="Arial" w:cs="Arial" w:eastAsia="Arial" w:hAnsi="Arial"/>
          <w:color w:val="333333"/>
          <w:sz w:val="22"/>
          <w:szCs w:val="22"/>
        </w:rPr>
        <w:t xml:space="preserve">Background in fashion and jewelry design ensuring Cible’s aesthetic excellence. Responsible for industrial design, materials selection, and brand visual identity.</w:t>
      </w:r>
    </w:p>
    <w:p>
      <w:pPr>
        <w:pStyle w:val="ListParagraph"/>
        <w:numPr>
          <w:ilvl w:val="0"/>
          <w:numId w:val="2"/>
        </w:numPr>
        <w:spacing w:after="100"/>
      </w:pPr>
      <w:r>
        <w:rPr>
          <w:rFonts w:ascii="Arial" w:cs="Arial" w:eastAsia="Arial" w:hAnsi="Arial"/>
          <w:b/>
          <w:bCs/>
          <w:color w:val="333333"/>
          <w:sz w:val="22"/>
          <w:szCs w:val="22"/>
        </w:rPr>
        <w:t xml:space="preserve">COO / Operations Lead: </w:t>
      </w:r>
      <w:r>
        <w:rPr>
          <w:rFonts w:ascii="Arial" w:cs="Arial" w:eastAsia="Arial" w:hAnsi="Arial"/>
          <w:color w:val="333333"/>
          <w:sz w:val="22"/>
          <w:szCs w:val="22"/>
        </w:rPr>
        <w:t xml:space="preserve">Experience in consumer electronics supply chain management and manufacturing partnerships. Responsible for vendor relationships, logistics, and quality assurance.</w:t>
      </w:r>
    </w:p>
    <w:p>
      <w:pPr>
        <w:pStyle w:val="Heading2"/>
        <w:spacing w:before="240" w:after="160"/>
      </w:pPr>
      <w:r>
        <w:rPr>
          <w:color w:val="2E75B6"/>
        </w:rPr>
        <w:t xml:space="preserve">Advisory Board (Target)</w:t>
      </w:r>
    </w:p>
    <w:p>
      <w:pPr>
        <w:pStyle w:val="ListParagraph"/>
        <w:numPr>
          <w:ilvl w:val="0"/>
          <w:numId w:val="2"/>
        </w:numPr>
        <w:spacing w:after="100"/>
      </w:pPr>
      <w:r>
        <w:rPr>
          <w:rFonts w:ascii="Arial" w:cs="Arial" w:eastAsia="Arial" w:hAnsi="Arial"/>
          <w:color w:val="333333"/>
          <w:sz w:val="22"/>
          <w:szCs w:val="22"/>
        </w:rPr>
        <w:t xml:space="preserve">Wearable technology industry executive with manufacturing scale-up experience</w:t>
      </w:r>
    </w:p>
    <w:p>
      <w:pPr>
        <w:pStyle w:val="ListParagraph"/>
        <w:numPr>
          <w:ilvl w:val="0"/>
          <w:numId w:val="2"/>
        </w:numPr>
        <w:spacing w:after="100"/>
      </w:pPr>
      <w:r>
        <w:rPr>
          <w:rFonts w:ascii="Arial" w:cs="Arial" w:eastAsia="Arial" w:hAnsi="Arial"/>
          <w:color w:val="333333"/>
          <w:sz w:val="22"/>
          <w:szCs w:val="22"/>
        </w:rPr>
        <w:t xml:space="preserve">AI/NLP researcher with expertise in conversational systems and personalization</w:t>
      </w:r>
    </w:p>
    <w:p>
      <w:pPr>
        <w:pStyle w:val="ListParagraph"/>
        <w:numPr>
          <w:ilvl w:val="0"/>
          <w:numId w:val="2"/>
        </w:numPr>
        <w:spacing w:after="100"/>
      </w:pPr>
      <w:r>
        <w:rPr>
          <w:rFonts w:ascii="Arial" w:cs="Arial" w:eastAsia="Arial" w:hAnsi="Arial"/>
          <w:color w:val="333333"/>
          <w:sz w:val="22"/>
          <w:szCs w:val="22"/>
        </w:rPr>
        <w:t xml:space="preserve">Luxury/fashion brand executive with premium retail channel expertise</w:t>
      </w:r>
    </w:p>
    <w:p>
      <w:pPr>
        <w:pStyle w:val="ListParagraph"/>
        <w:numPr>
          <w:ilvl w:val="0"/>
          <w:numId w:val="2"/>
        </w:numPr>
        <w:spacing w:after="100"/>
      </w:pPr>
      <w:r>
        <w:rPr>
          <w:rFonts w:ascii="Arial" w:cs="Arial" w:eastAsia="Arial" w:hAnsi="Arial"/>
          <w:color w:val="333333"/>
          <w:sz w:val="22"/>
          <w:szCs w:val="22"/>
        </w:rPr>
        <w:t xml:space="preserve">Consumer hardware investor with portfolio company network access</w:t>
      </w:r>
    </w:p>
    <w:p>
      <w:pPr>
        <w:pStyle w:val="Heading2"/>
        <w:spacing w:before="240" w:after="160"/>
      </w:pPr>
      <w:r>
        <w:rPr>
          <w:color w:val="2E75B6"/>
        </w:rPr>
        <w:t xml:space="preserve">Hiring Plan</w:t>
      </w:r>
    </w:p>
    <w:p>
      <w:pPr>
        <w:spacing w:after="160"/>
      </w:pPr>
      <w:r>
        <w:rPr>
          <w:rFonts w:ascii="Arial" w:cs="Arial" w:eastAsia="Arial" w:hAnsi="Arial"/>
          <w:color w:val="333333"/>
          <w:sz w:val="22"/>
          <w:szCs w:val="22"/>
        </w:rPr>
        <w:t xml:space="preserve">The team will grow from 7 full-time employees at launch to approximately 61 by Year 5, following the business’s growth trajectory: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170"/>
        <w:gridCol w:w="1170"/>
        <w:gridCol w:w="1560"/>
        <w:gridCol w:w="1560"/>
        <w:gridCol w:w="156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Department</w:t>
            </w:r>
          </w:p>
        </w:tc>
        <w:tc>
          <w:tcPr>
            <w:tcW w:type="dxa" w:w="117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2026</w:t>
            </w:r>
          </w:p>
        </w:tc>
        <w:tc>
          <w:tcPr>
            <w:tcW w:type="dxa" w:w="117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2027</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2028</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2029</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2030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Engineering &amp; Product</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3–5</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5–8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9–12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13–16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17–20</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Marketing &amp; Sales</w:t>
            </w:r>
          </w:p>
        </w:tc>
        <w:tc>
          <w:tcPr>
            <w:tcW w:type="dxa" w:w="11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1–2</w:t>
            </w:r>
          </w:p>
        </w:tc>
        <w:tc>
          <w:tcPr>
            <w:tcW w:type="dxa" w:w="11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3–5</w:t>
            </w:r>
          </w:p>
        </w:tc>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6–9</w:t>
            </w:r>
          </w:p>
        </w:tc>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10–13</w:t>
            </w:r>
          </w:p>
        </w:tc>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14–17</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Operations</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1–2</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2–3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4–5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6–7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8–9</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Customer Success</w:t>
            </w:r>
          </w:p>
        </w:tc>
        <w:tc>
          <w:tcPr>
            <w:tcW w:type="dxa" w:w="11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0–1</w:t>
            </w:r>
          </w:p>
        </w:tc>
        <w:tc>
          <w:tcPr>
            <w:tcW w:type="dxa" w:w="11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1–3</w:t>
            </w:r>
          </w:p>
        </w:tc>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3–5</w:t>
            </w:r>
          </w:p>
        </w:tc>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5–7</w:t>
            </w:r>
          </w:p>
        </w:tc>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7–9</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Executive &amp; Admin</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2</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2–3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3–4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4–5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5–6</w:t>
            </w:r>
          </w:p>
        </w:tc>
      </w:tr>
    </w:tbl>
    <w:p>
      <w:r>
        <w:br w:type="page"/>
      </w:r>
    </w:p>
    <w:p>
      <w:pPr>
        <w:pStyle w:val="Heading1"/>
        <w:spacing w:before="360" w:after="200"/>
      </w:pPr>
      <w:r>
        <w:rPr>
          <w:color w:val="1B3A5C"/>
        </w:rPr>
        <w:t xml:space="preserve">9. Financial Projections</w:t>
      </w:r>
    </w:p>
    <w:p>
      <w:pPr>
        <w:pStyle w:val="Heading2"/>
        <w:spacing w:before="240" w:after="160"/>
      </w:pPr>
      <w:r>
        <w:rPr>
          <w:color w:val="2E75B6"/>
        </w:rPr>
        <w:t xml:space="preserve">Revenue Model</w:t>
      </w:r>
    </w:p>
    <w:p>
      <w:pPr>
        <w:spacing w:after="160"/>
      </w:pPr>
      <w:r>
        <w:rPr>
          <w:rFonts w:ascii="Arial" w:cs="Arial" w:eastAsia="Arial" w:hAnsi="Arial"/>
          <w:color w:val="333333"/>
          <w:sz w:val="22"/>
          <w:szCs w:val="22"/>
        </w:rPr>
        <w:t xml:space="preserve">Cible generates revenue through two complementary streams designed to build brand through hardware and sustain growth through recurring subscriptions.</w:t>
      </w:r>
    </w:p>
    <w:p>
      <w:pPr>
        <w:spacing w:after="160"/>
      </w:pPr>
      <w:r>
        <w:rPr>
          <w:rFonts w:ascii="Arial" w:cs="Arial" w:eastAsia="Arial" w:hAnsi="Arial"/>
          <w:b/>
          <w:bCs/>
          <w:color w:val="333333"/>
          <w:sz w:val="22"/>
          <w:szCs w:val="22"/>
        </w:rPr>
        <w:t xml:space="preserve">Stream 1: Hardware Sales</w:t>
      </w:r>
    </w:p>
    <w:p>
      <w:pPr>
        <w:pStyle w:val="ListParagraph"/>
        <w:numPr>
          <w:ilvl w:val="0"/>
          <w:numId w:val="2"/>
        </w:numPr>
        <w:spacing w:after="100"/>
      </w:pPr>
      <w:r>
        <w:rPr>
          <w:rFonts w:ascii="Arial" w:cs="Arial" w:eastAsia="Arial" w:hAnsi="Arial"/>
          <w:color w:val="333333"/>
          <w:sz w:val="22"/>
          <w:szCs w:val="22"/>
        </w:rPr>
        <w:t xml:space="preserve">Retail price: $449 per ring</w:t>
      </w:r>
    </w:p>
    <w:p>
      <w:pPr>
        <w:pStyle w:val="ListParagraph"/>
        <w:numPr>
          <w:ilvl w:val="0"/>
          <w:numId w:val="2"/>
        </w:numPr>
        <w:spacing w:after="100"/>
      </w:pPr>
      <w:r>
        <w:rPr>
          <w:rFonts w:ascii="Arial" w:cs="Arial" w:eastAsia="Arial" w:hAnsi="Arial"/>
          <w:color w:val="333333"/>
          <w:sz w:val="22"/>
          <w:szCs w:val="22"/>
        </w:rPr>
        <w:t xml:space="preserve">Manufacturing cost: $148/unit (COGS), yielding 67% gross margin</w:t>
      </w:r>
    </w:p>
    <w:p>
      <w:pPr>
        <w:pStyle w:val="ListParagraph"/>
        <w:numPr>
          <w:ilvl w:val="0"/>
          <w:numId w:val="2"/>
        </w:numPr>
        <w:spacing w:after="100"/>
      </w:pPr>
      <w:r>
        <w:rPr>
          <w:rFonts w:ascii="Arial" w:cs="Arial" w:eastAsia="Arial" w:hAnsi="Arial"/>
          <w:color w:val="333333"/>
          <w:sz w:val="22"/>
          <w:szCs w:val="22"/>
        </w:rPr>
        <w:t xml:space="preserve">Year 1 target: 1,500 units; Year 5 target: 33,000 units</w:t>
      </w:r>
    </w:p>
    <w:p>
      <w:pPr>
        <w:spacing w:after="160"/>
      </w:pPr>
      <w:r>
        <w:rPr>
          <w:rFonts w:ascii="Arial" w:cs="Arial" w:eastAsia="Arial" w:hAnsi="Arial"/>
          <w:b/>
          <w:bCs/>
          <w:color w:val="333333"/>
          <w:sz w:val="22"/>
          <w:szCs w:val="22"/>
        </w:rPr>
        <w:t xml:space="preserve">Stream 2: Premium Subscription</w:t>
      </w:r>
    </w:p>
    <w:p>
      <w:pPr>
        <w:pStyle w:val="ListParagraph"/>
        <w:numPr>
          <w:ilvl w:val="0"/>
          <w:numId w:val="2"/>
        </w:numPr>
        <w:spacing w:after="100"/>
      </w:pPr>
      <w:r>
        <w:rPr>
          <w:rFonts w:ascii="Arial" w:cs="Arial" w:eastAsia="Arial" w:hAnsi="Arial"/>
          <w:color w:val="333333"/>
          <w:sz w:val="22"/>
          <w:szCs w:val="22"/>
        </w:rPr>
        <w:t xml:space="preserve">Price: $9.99/month for unlimited AI queries and advanced features</w:t>
      </w:r>
    </w:p>
    <w:p>
      <w:pPr>
        <w:pStyle w:val="ListParagraph"/>
        <w:numPr>
          <w:ilvl w:val="0"/>
          <w:numId w:val="2"/>
        </w:numPr>
        <w:spacing w:after="100"/>
      </w:pPr>
      <w:r>
        <w:rPr>
          <w:rFonts w:ascii="Arial" w:cs="Arial" w:eastAsia="Arial" w:hAnsi="Arial"/>
          <w:color w:val="333333"/>
          <w:sz w:val="22"/>
          <w:szCs w:val="22"/>
        </w:rPr>
        <w:t xml:space="preserve">Estimated attach rate: 30% of hardware purchasers</w:t>
      </w:r>
    </w:p>
    <w:p>
      <w:pPr>
        <w:pStyle w:val="ListParagraph"/>
        <w:numPr>
          <w:ilvl w:val="0"/>
          <w:numId w:val="2"/>
        </w:numPr>
        <w:spacing w:after="100"/>
      </w:pPr>
      <w:r>
        <w:rPr>
          <w:rFonts w:ascii="Arial" w:cs="Arial" w:eastAsia="Arial" w:hAnsi="Arial"/>
          <w:color w:val="333333"/>
          <w:sz w:val="22"/>
          <w:szCs w:val="22"/>
        </w:rPr>
        <w:t xml:space="preserve">Gross margin: ~70% (after AI processing and infrastructure costs)</w:t>
      </w:r>
    </w:p>
    <w:p>
      <w:pPr>
        <w:pStyle w:val="ListParagraph"/>
        <w:numPr>
          <w:ilvl w:val="0"/>
          <w:numId w:val="2"/>
        </w:numPr>
        <w:spacing w:after="100"/>
      </w:pPr>
      <w:r>
        <w:rPr>
          <w:rFonts w:ascii="Arial" w:cs="Arial" w:eastAsia="Arial" w:hAnsi="Arial"/>
          <w:color w:val="333333"/>
          <w:sz w:val="22"/>
          <w:szCs w:val="22"/>
        </w:rPr>
        <w:t xml:space="preserve">Per-user cost: $3.30/month (AI processing $2.50 + infrastructure $0.50 + support $0.30)</w:t>
      </w:r>
    </w:p>
    <w:p>
      <w:pPr>
        <w:pStyle w:val="Heading2"/>
        <w:spacing w:before="240" w:after="160"/>
      </w:pPr>
      <w:r>
        <w:rPr>
          <w:color w:val="2E75B6"/>
        </w:rPr>
        <w:t xml:space="preserve">Unit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Customer Acquisition Cost (CAC)</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$75</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Customer Lifetime Value (LTV)</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$850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LTV / CAC Ratio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11.3x</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Hardware Gross Margin</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67%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Subscription Gross Margin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~70%</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Blended Gross Margin</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~68%</w:t>
            </w:r>
          </w:p>
        </w:tc>
      </w:tr>
    </w:tbl>
    <w:p>
      <w:pPr>
        <w:spacing w:after="120"/>
      </w:pPr>
    </w:p>
    <w:p>
      <w:pPr>
        <w:pStyle w:val="Heading2"/>
        <w:spacing w:before="240" w:after="160"/>
      </w:pPr>
      <w:r>
        <w:rPr>
          <w:color w:val="2E75B6"/>
        </w:rPr>
        <w:t xml:space="preserve">Five-Year Revenue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Year 1</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Year 2</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Year 3</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Year 4</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Year 5</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$674K</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$4.0M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$7.6M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$11.2M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$14.8M</w:t>
            </w:r>
          </w:p>
        </w:tc>
      </w:tr>
      <w:tr>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1,500 units</w:t>
            </w:r>
          </w:p>
        </w:tc>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9,000 units</w:t>
            </w:r>
          </w:p>
        </w:tc>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17,000 units</w:t>
            </w:r>
          </w:p>
        </w:tc>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25,000 units</w:t>
            </w:r>
          </w:p>
        </w:tc>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33,000 units</w:t>
            </w:r>
          </w:p>
        </w:tc>
      </w:tr>
    </w:tbl>
    <w:p>
      <w:pPr>
        <w:spacing w:after="120"/>
      </w:pPr>
    </w:p>
    <w:p>
      <w:pPr>
        <w:pStyle w:val="Heading2"/>
        <w:spacing w:before="240" w:after="160"/>
      </w:pPr>
      <w:r>
        <w:rPr>
          <w:color w:val="2E75B6"/>
        </w:rPr>
        <w:t xml:space="preserve">Key Financial Assumptions</w:t>
      </w:r>
    </w:p>
    <w:p>
      <w:pPr>
        <w:pStyle w:val="ListParagraph"/>
        <w:numPr>
          <w:ilvl w:val="0"/>
          <w:numId w:val="2"/>
        </w:numPr>
        <w:spacing w:after="100"/>
      </w:pPr>
      <w:r>
        <w:rPr>
          <w:rFonts w:ascii="Arial" w:cs="Arial" w:eastAsia="Arial" w:hAnsi="Arial"/>
          <w:color w:val="333333"/>
          <w:sz w:val="22"/>
          <w:szCs w:val="22"/>
        </w:rPr>
        <w:t xml:space="preserve">Conservative unit growth: beginning with 500 units in Q3 2026, scaling gradually</w:t>
      </w:r>
    </w:p>
    <w:p>
      <w:pPr>
        <w:pStyle w:val="ListParagraph"/>
        <w:numPr>
          <w:ilvl w:val="0"/>
          <w:numId w:val="2"/>
        </w:numPr>
        <w:spacing w:after="100"/>
      </w:pPr>
      <w:r>
        <w:rPr>
          <w:rFonts w:ascii="Arial" w:cs="Arial" w:eastAsia="Arial" w:hAnsi="Arial"/>
          <w:color w:val="333333"/>
          <w:sz w:val="22"/>
          <w:szCs w:val="22"/>
        </w:rPr>
        <w:t xml:space="preserve">Subscription attach rate: 30% Year 1, growing to 40%+ by Year 5</w:t>
      </w:r>
    </w:p>
    <w:p>
      <w:pPr>
        <w:pStyle w:val="ListParagraph"/>
        <w:numPr>
          <w:ilvl w:val="0"/>
          <w:numId w:val="2"/>
        </w:numPr>
        <w:spacing w:after="100"/>
      </w:pPr>
      <w:r>
        <w:rPr>
          <w:rFonts w:ascii="Arial" w:cs="Arial" w:eastAsia="Arial" w:hAnsi="Arial"/>
          <w:color w:val="333333"/>
          <w:sz w:val="22"/>
          <w:szCs w:val="22"/>
        </w:rPr>
        <w:t xml:space="preserve">Annual subscription retention rate: 92–95% (quarterly)</w:t>
      </w:r>
    </w:p>
    <w:p>
      <w:pPr>
        <w:pStyle w:val="ListParagraph"/>
        <w:numPr>
          <w:ilvl w:val="0"/>
          <w:numId w:val="2"/>
        </w:numPr>
        <w:spacing w:after="100"/>
      </w:pPr>
      <w:r>
        <w:rPr>
          <w:rFonts w:ascii="Arial" w:cs="Arial" w:eastAsia="Arial" w:hAnsi="Arial"/>
          <w:color w:val="333333"/>
          <w:sz w:val="22"/>
          <w:szCs w:val="22"/>
        </w:rPr>
        <w:t xml:space="preserve">Federal tax rate: 21%; California state tax rate: 9.5%</w:t>
      </w:r>
    </w:p>
    <w:p>
      <w:pPr>
        <w:pStyle w:val="ListParagraph"/>
        <w:numPr>
          <w:ilvl w:val="0"/>
          <w:numId w:val="2"/>
        </w:numPr>
        <w:spacing w:after="100"/>
      </w:pPr>
      <w:r>
        <w:rPr>
          <w:rFonts w:ascii="Arial" w:cs="Arial" w:eastAsia="Arial" w:hAnsi="Arial"/>
          <w:color w:val="333333"/>
          <w:sz w:val="22"/>
          <w:szCs w:val="22"/>
        </w:rPr>
        <w:t xml:space="preserve">Annual inflation adjustment: 3%</w:t>
      </w:r>
    </w:p>
    <w:p>
      <w:pPr>
        <w:pStyle w:val="ListParagraph"/>
        <w:numPr>
          <w:ilvl w:val="0"/>
          <w:numId w:val="2"/>
        </w:numPr>
        <w:spacing w:after="100"/>
      </w:pPr>
      <w:r>
        <w:rPr>
          <w:rFonts w:ascii="Arial" w:cs="Arial" w:eastAsia="Arial" w:hAnsi="Arial"/>
          <w:color w:val="333333"/>
          <w:sz w:val="22"/>
          <w:szCs w:val="22"/>
        </w:rPr>
        <w:t xml:space="preserve">Hardware return rate: 5%</w:t>
      </w:r>
    </w:p>
    <w:p>
      <w:pPr>
        <w:pStyle w:val="Heading2"/>
        <w:spacing w:before="240" w:after="160"/>
      </w:pPr>
      <w:r>
        <w:rPr>
          <w:color w:val="2E75B6"/>
        </w:rPr>
        <w:t xml:space="preserve">Path to Profitability</w:t>
      </w:r>
    </w:p>
    <w:p>
      <w:pPr>
        <w:spacing w:after="160"/>
      </w:pPr>
      <w:r>
        <w:rPr>
          <w:rFonts w:ascii="Arial" w:cs="Arial" w:eastAsia="Arial" w:hAnsi="Arial"/>
          <w:color w:val="333333"/>
          <w:sz w:val="22"/>
          <w:szCs w:val="22"/>
        </w:rPr>
        <w:t xml:space="preserve">Based on conservative revenue projections and planned operating expenses, Cible expects to reach profitability at Month 18 after market launch. The combination of high hardware gross margins (67%), scalable subscription revenue, and disciplined hiring creates a clear path to sustainable profitability before requiring additional funding rounds.</w:t>
      </w:r>
    </w:p>
    <w:p>
      <w:r>
        <w:br w:type="page"/>
      </w:r>
    </w:p>
    <w:p>
      <w:pPr>
        <w:pStyle w:val="Heading1"/>
        <w:spacing w:before="360" w:after="200"/>
      </w:pPr>
      <w:r>
        <w:rPr>
          <w:color w:val="1B3A5C"/>
        </w:rPr>
        <w:t xml:space="preserve">10. Milestones &amp; Roadmap</w:t>
      </w:r>
    </w:p>
    <w:p>
      <w:pPr>
        <w:pStyle w:val="Heading2"/>
        <w:spacing w:before="240" w:after="160"/>
      </w:pPr>
      <w:r>
        <w:rPr>
          <w:color w:val="2E75B6"/>
        </w:rPr>
        <w:t xml:space="preserve">2026: Foundation &amp;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Quarter</w:t>
            </w:r>
          </w:p>
        </w:tc>
        <w:tc>
          <w:tcPr>
            <w:tcW w:type="dxa" w:w="7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Milestones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Q1–Q2</w:t>
            </w:r>
          </w:p>
        </w:tc>
        <w:tc>
          <w:tcPr>
            <w:tcW w:type="dxa" w:w="7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Close seed round ($750K–$1M); finalize industrial design; begin hardware prototyping; establish manufacturing partnerships; file provisional patents</w:t>
            </w:r>
          </w:p>
        </w:tc>
      </w:tr>
      <w:tr>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Q3</w:t>
            </w:r>
          </w:p>
        </w:tc>
        <w:tc>
          <w:tcPr>
            <w:tcW w:type="dxa" w:w="7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Launch 100-unit beta program to early adopters; begin user testing and iteration; launch waitlist and pre-launch marketing campaign</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Q4</w:t>
            </w:r>
          </w:p>
        </w:tc>
        <w:tc>
          <w:tcPr>
            <w:tcW w:type="dxa" w:w="7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Open pre-orders (2,000 unit target); incorporate beta feedback into final design; prepare for mass production; initial PR campaign</w:t>
            </w:r>
          </w:p>
        </w:tc>
      </w:tr>
    </w:tbl>
    <w:p>
      <w:pPr>
        <w:spacing w:after="200"/>
      </w:pPr>
    </w:p>
    <w:p>
      <w:pPr>
        <w:pStyle w:val="Heading2"/>
        <w:spacing w:before="240" w:after="160"/>
      </w:pPr>
      <w:r>
        <w:rPr>
          <w:color w:val="2E75B6"/>
        </w:rPr>
        <w:t xml:space="preserve">2027: Growth &amp; Expansion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Quarter</w:t>
            </w:r>
          </w:p>
        </w:tc>
        <w:tc>
          <w:tcPr>
            <w:tcW w:type="dxa" w:w="7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Milestones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Q1</w:t>
            </w:r>
          </w:p>
        </w:tc>
        <w:tc>
          <w:tcPr>
            <w:tcW w:type="dxa" w:w="7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First consumer shipments; launch companion app v1.0; activate direct e-commerce sales</w:t>
            </w:r>
          </w:p>
        </w:tc>
      </w:tr>
      <w:tr>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Q2</w:t>
            </w:r>
          </w:p>
        </w:tc>
        <w:tc>
          <w:tcPr>
            <w:tcW w:type="dxa" w:w="7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Establish premium retail partnerships; launch corporate wellness pilot program; reach profitability milestone (Month 18)</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Q3–Q4</w:t>
            </w:r>
          </w:p>
        </w:tc>
        <w:tc>
          <w:tcPr>
            <w:tcW w:type="dxa" w:w="7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Begin international expansion (Japan, South Korea, Western Europe); launch Cible v2 hardware with refined design; scale team to 20+ employees</w:t>
            </w:r>
          </w:p>
        </w:tc>
      </w:tr>
    </w:tbl>
    <w:p>
      <w:pPr>
        <w:spacing w:after="200"/>
      </w:pPr>
    </w:p>
    <w:p>
      <w:pPr>
        <w:pStyle w:val="Heading2"/>
        <w:spacing w:before="240" w:after="160"/>
      </w:pPr>
      <w:r>
        <w:rPr>
          <w:color w:val="2E75B6"/>
        </w:rPr>
        <w:t xml:space="preserve">2028–2030: Scale</w:t>
      </w:r>
    </w:p>
    <w:p>
      <w:pPr>
        <w:pStyle w:val="ListParagraph"/>
        <w:numPr>
          <w:ilvl w:val="0"/>
          <w:numId w:val="2"/>
        </w:numPr>
        <w:spacing w:after="100"/>
      </w:pPr>
      <w:r>
        <w:rPr>
          <w:rFonts w:ascii="Arial" w:cs="Arial" w:eastAsia="Arial" w:hAnsi="Arial"/>
          <w:color w:val="333333"/>
          <w:sz w:val="22"/>
          <w:szCs w:val="22"/>
        </w:rPr>
        <w:t xml:space="preserve">Expand product line with limited-edition designs and premium gemstone options</w:t>
      </w:r>
    </w:p>
    <w:p>
      <w:pPr>
        <w:pStyle w:val="ListParagraph"/>
        <w:numPr>
          <w:ilvl w:val="0"/>
          <w:numId w:val="2"/>
        </w:numPr>
        <w:spacing w:after="100"/>
      </w:pPr>
      <w:r>
        <w:rPr>
          <w:rFonts w:ascii="Arial" w:cs="Arial" w:eastAsia="Arial" w:hAnsi="Arial"/>
          <w:color w:val="333333"/>
          <w:sz w:val="22"/>
          <w:szCs w:val="22"/>
        </w:rPr>
        <w:t xml:space="preserve">Develop accessories ecosystem (charging cases, interchangeable bands)</w:t>
      </w:r>
    </w:p>
    <w:p>
      <w:pPr>
        <w:pStyle w:val="ListParagraph"/>
        <w:numPr>
          <w:ilvl w:val="0"/>
          <w:numId w:val="2"/>
        </w:numPr>
        <w:spacing w:after="100"/>
      </w:pPr>
      <w:r>
        <w:rPr>
          <w:rFonts w:ascii="Arial" w:cs="Arial" w:eastAsia="Arial" w:hAnsi="Arial"/>
          <w:color w:val="333333"/>
          <w:sz w:val="22"/>
          <w:szCs w:val="22"/>
        </w:rPr>
        <w:t xml:space="preserve">Build enterprise/B2B product for corporate wellness and employee development programs</w:t>
      </w:r>
    </w:p>
    <w:p>
      <w:pPr>
        <w:pStyle w:val="ListParagraph"/>
        <w:numPr>
          <w:ilvl w:val="0"/>
          <w:numId w:val="2"/>
        </w:numPr>
        <w:spacing w:after="100"/>
      </w:pPr>
      <w:r>
        <w:rPr>
          <w:rFonts w:ascii="Arial" w:cs="Arial" w:eastAsia="Arial" w:hAnsi="Arial"/>
          <w:color w:val="333333"/>
          <w:sz w:val="22"/>
          <w:szCs w:val="22"/>
        </w:rPr>
        <w:t xml:space="preserve">Explore Series A funding to accelerate international growth</w:t>
      </w:r>
    </w:p>
    <w:p>
      <w:pPr>
        <w:pStyle w:val="ListParagraph"/>
        <w:numPr>
          <w:ilvl w:val="0"/>
          <w:numId w:val="2"/>
        </w:numPr>
        <w:spacing w:after="100"/>
      </w:pPr>
      <w:r>
        <w:rPr>
          <w:rFonts w:ascii="Arial" w:cs="Arial" w:eastAsia="Arial" w:hAnsi="Arial"/>
          <w:color w:val="333333"/>
          <w:sz w:val="22"/>
          <w:szCs w:val="22"/>
        </w:rPr>
        <w:t xml:space="preserve">Target 33,000 annual units and $14.8M revenue by Year 5</w:t>
      </w:r>
    </w:p>
    <w:p>
      <w:r>
        <w:br w:type="page"/>
      </w:r>
    </w:p>
    <w:p>
      <w:pPr>
        <w:pStyle w:val="Heading1"/>
        <w:spacing w:before="360" w:after="200"/>
      </w:pPr>
      <w:r>
        <w:rPr>
          <w:color w:val="1B3A5C"/>
        </w:rPr>
        <w:t xml:space="preserve">11. Funding Requirements</w:t>
      </w:r>
    </w:p>
    <w:p>
      <w:pPr>
        <w:pStyle w:val="Heading2"/>
        <w:spacing w:before="240" w:after="160"/>
      </w:pPr>
      <w:r>
        <w:rPr>
          <w:color w:val="2E75B6"/>
        </w:rPr>
        <w:t xml:space="preserve">Current Round: Seed ($750K – $1M)</w:t>
      </w:r>
    </w:p>
    <w:p>
      <w:pPr>
        <w:spacing w:after="160"/>
      </w:pPr>
      <w:r>
        <w:rPr>
          <w:rFonts w:ascii="Arial" w:cs="Arial" w:eastAsia="Arial" w:hAnsi="Arial"/>
          <w:color w:val="333333"/>
          <w:sz w:val="22"/>
          <w:szCs w:val="22"/>
        </w:rPr>
        <w:t xml:space="preserve">Cible is raising a seed round of $750,000 to $1,000,000 to fund the transition from concept to market-ready product. The capital will be deployed across three critical 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 of Funds</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Allocation</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Prototype &amp; Engineering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40%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Final industrial design, hardware engineering, firmware development, mold tooling, and testing/certification (FCC, CE)</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Manufacturing Setup</w:t>
            </w:r>
          </w:p>
        </w:tc>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30%</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Initial production run (500–1,000 units), supplier deposits, packaging design and production, quality assurance infrastructure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Go-to-Market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20%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E-commerce platform, pre-launch marketing campaign, PR, influencer partnerships, beta program logistics</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Operations &amp; Legal</w:t>
            </w:r>
          </w:p>
        </w:tc>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10%</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Patent filings, incorporation, initial team salaries, office/workspace, insurance, and working capital buffer</w:t>
            </w:r>
          </w:p>
        </w:tc>
      </w:tr>
    </w:tbl>
    <w:p>
      <w:pPr>
        <w:spacing w:after="200"/>
      </w:pPr>
    </w:p>
    <w:p>
      <w:pPr>
        <w:pStyle w:val="Heading2"/>
        <w:spacing w:before="240" w:after="160"/>
      </w:pPr>
      <w:r>
        <w:rPr>
          <w:color w:val="2E75B6"/>
        </w:rPr>
        <w:t xml:space="preserve">Target Investor Profile</w:t>
      </w:r>
    </w:p>
    <w:p>
      <w:pPr>
        <w:spacing w:after="160"/>
      </w:pPr>
      <w:r>
        <w:rPr>
          <w:rFonts w:ascii="Arial" w:cs="Arial" w:eastAsia="Arial" w:hAnsi="Arial"/>
          <w:color w:val="333333"/>
          <w:sz w:val="22"/>
          <w:szCs w:val="22"/>
        </w:rPr>
        <w:t xml:space="preserve">Cible is seeking strategic investors who bring more than capital:</w:t>
      </w:r>
    </w:p>
    <w:p>
      <w:pPr>
        <w:pStyle w:val="ListParagraph"/>
        <w:numPr>
          <w:ilvl w:val="0"/>
          <w:numId w:val="2"/>
        </w:numPr>
        <w:spacing w:after="100"/>
      </w:pPr>
      <w:r>
        <w:rPr>
          <w:rFonts w:ascii="Arial" w:cs="Arial" w:eastAsia="Arial" w:hAnsi="Arial"/>
          <w:b/>
          <w:bCs/>
          <w:color w:val="333333"/>
          <w:sz w:val="22"/>
          <w:szCs w:val="22"/>
        </w:rPr>
        <w:t xml:space="preserve">Venture Capital: </w:t>
      </w:r>
      <w:r>
        <w:rPr>
          <w:rFonts w:ascii="Arial" w:cs="Arial" w:eastAsia="Arial" w:hAnsi="Arial"/>
          <w:color w:val="333333"/>
          <w:sz w:val="22"/>
          <w:szCs w:val="22"/>
        </w:rPr>
        <w:t xml:space="preserve">Early-stage funds with consumer hardware experience (e.g., Andreessen Horowitz, Khosla Ventures, Forerunner Ventures, Lux Capital)</w:t>
      </w:r>
    </w:p>
    <w:p>
      <w:pPr>
        <w:pStyle w:val="ListParagraph"/>
        <w:numPr>
          <w:ilvl w:val="0"/>
          <w:numId w:val="2"/>
        </w:numPr>
        <w:spacing w:after="100"/>
      </w:pPr>
      <w:r>
        <w:rPr>
          <w:rFonts w:ascii="Arial" w:cs="Arial" w:eastAsia="Arial" w:hAnsi="Arial"/>
          <w:b/>
          <w:bCs/>
          <w:color w:val="333333"/>
          <w:sz w:val="22"/>
          <w:szCs w:val="22"/>
        </w:rPr>
        <w:t xml:space="preserve">Strategic Corporate: </w:t>
      </w:r>
      <w:r>
        <w:rPr>
          <w:rFonts w:ascii="Arial" w:cs="Arial" w:eastAsia="Arial" w:hAnsi="Arial"/>
          <w:color w:val="333333"/>
          <w:sz w:val="22"/>
          <w:szCs w:val="22"/>
        </w:rPr>
        <w:t xml:space="preserve">LVMH Luxury Ventures, Qualcomm Ventures for industry connections and distribution advantages</w:t>
      </w:r>
    </w:p>
    <w:p>
      <w:pPr>
        <w:pStyle w:val="ListParagraph"/>
        <w:numPr>
          <w:ilvl w:val="0"/>
          <w:numId w:val="2"/>
        </w:numPr>
        <w:spacing w:after="100"/>
      </w:pPr>
      <w:r>
        <w:rPr>
          <w:rFonts w:ascii="Arial" w:cs="Arial" w:eastAsia="Arial" w:hAnsi="Arial"/>
          <w:b/>
          <w:bCs/>
          <w:color w:val="333333"/>
          <w:sz w:val="22"/>
          <w:szCs w:val="22"/>
        </w:rPr>
        <w:t xml:space="preserve">Crowdfunding: </w:t>
      </w:r>
      <w:r>
        <w:rPr>
          <w:rFonts w:ascii="Arial" w:cs="Arial" w:eastAsia="Arial" w:hAnsi="Arial"/>
          <w:color w:val="333333"/>
          <w:sz w:val="22"/>
          <w:szCs w:val="22"/>
        </w:rPr>
        <w:t xml:space="preserve">Kickstarter or Republic campaign to validate demand and build community alongside institutional investment</w:t>
      </w:r>
    </w:p>
    <w:p>
      <w:pPr>
        <w:pStyle w:val="ListParagraph"/>
        <w:numPr>
          <w:ilvl w:val="0"/>
          <w:numId w:val="2"/>
        </w:numPr>
        <w:spacing w:after="100"/>
      </w:pPr>
      <w:r>
        <w:rPr>
          <w:rFonts w:ascii="Arial" w:cs="Arial" w:eastAsia="Arial" w:hAnsi="Arial"/>
          <w:b/>
          <w:bCs/>
          <w:color w:val="333333"/>
          <w:sz w:val="22"/>
          <w:szCs w:val="22"/>
        </w:rPr>
        <w:t xml:space="preserve">Accelerators: </w:t>
      </w:r>
      <w:r>
        <w:rPr>
          <w:rFonts w:ascii="Arial" w:cs="Arial" w:eastAsia="Arial" w:hAnsi="Arial"/>
          <w:color w:val="333333"/>
          <w:sz w:val="22"/>
          <w:szCs w:val="22"/>
        </w:rPr>
        <w:t xml:space="preserve">Y Combinator, Techstars, or HAX for seed funding, mentorship, and network access</w:t>
      </w:r>
    </w:p>
    <w:p>
      <w:pPr>
        <w:pStyle w:val="Heading2"/>
        <w:spacing w:before="240" w:after="160"/>
      </w:pPr>
      <w:r>
        <w:rPr>
          <w:color w:val="2E75B6"/>
        </w:rPr>
        <w:t xml:space="preserve">Return Potential</w:t>
      </w:r>
    </w:p>
    <w:p>
      <w:pPr>
        <w:spacing w:after="160"/>
      </w:pPr>
      <w:r>
        <w:rPr>
          <w:rFonts w:ascii="Arial" w:cs="Arial" w:eastAsia="Arial" w:hAnsi="Arial"/>
          <w:color w:val="333333"/>
          <w:sz w:val="22"/>
          <w:szCs w:val="22"/>
        </w:rPr>
        <w:t xml:space="preserve">With a Year 5 revenue target of $14.8M and healthy gross margins, Cible offers investors significant upside potential. The dual revenue model (hardware + subscription) creates a valuation profile attractive to both hardware-focused and SaaS-focused investors. Comparable exits in the premium wearable space (Fitbit acquired for $2.1B, Oura valued at $2.55B) demonstrate the market’s appetite for category-defining wearable companies.</w:t>
      </w:r>
    </w:p>
    <w:p>
      <w:r>
        <w:br w:type="page"/>
      </w:r>
    </w:p>
    <w:p>
      <w:pPr>
        <w:pStyle w:val="Heading1"/>
        <w:spacing w:before="360" w:after="200"/>
      </w:pPr>
      <w:r>
        <w:rPr>
          <w:color w:val="1B3A5C"/>
        </w:rPr>
        <w:t xml:space="preserve">12. Appendix</w:t>
      </w:r>
    </w:p>
    <w:p>
      <w:pPr>
        <w:pStyle w:val="Heading2"/>
        <w:spacing w:before="240" w:after="160"/>
      </w:pPr>
      <w:r>
        <w:rPr>
          <w:color w:val="2E75B6"/>
        </w:rPr>
        <w:t xml:space="preserve">A. Detailed Financial Model</w:t>
      </w:r>
    </w:p>
    <w:p>
      <w:pPr>
        <w:spacing w:after="160"/>
      </w:pPr>
      <w:r>
        <w:rPr>
          <w:rFonts w:ascii="Arial" w:cs="Arial" w:eastAsia="Arial" w:hAnsi="Arial"/>
          <w:color w:val="333333"/>
          <w:sz w:val="22"/>
          <w:szCs w:val="22"/>
        </w:rPr>
        <w:t xml:space="preserve">A comprehensive five-year financial model in Excel is available as a companion document (Cible_Financial_Projections.xlsx), including quarterly projections for hardware sales, subscription revenue, headcount plan, overhead costs, and summary P&amp;L, balance sheet, and cash flow statements.</w:t>
      </w:r>
    </w:p>
    <w:p>
      <w:pPr>
        <w:pStyle w:val="Heading2"/>
        <w:spacing w:before="240" w:after="160"/>
      </w:pPr>
      <w:r>
        <w:rPr>
          <w:color w:val="2E75B6"/>
        </w:rPr>
        <w:t xml:space="preserve">B. Customer Survey Results</w:t>
      </w:r>
    </w:p>
    <w:p>
      <w:pPr>
        <w:spacing w:after="160"/>
      </w:pPr>
      <w:r>
        <w:rPr>
          <w:rFonts w:ascii="Arial" w:cs="Arial" w:eastAsia="Arial" w:hAnsi="Arial"/>
          <w:color w:val="333333"/>
          <w:sz w:val="22"/>
          <w:szCs w:val="22"/>
        </w:rPr>
        <w:t xml:space="preserve">200+ survey respondents in target demographic; 72% purchase intent at $399–$499 price point; full survey methodology and raw data available upon request.</w:t>
      </w:r>
    </w:p>
    <w:p>
      <w:pPr>
        <w:pStyle w:val="Heading2"/>
        <w:spacing w:before="240" w:after="160"/>
      </w:pPr>
      <w:r>
        <w:rPr>
          <w:color w:val="2E75B6"/>
        </w:rPr>
        <w:t xml:space="preserve">C. Patent Application</w:t>
      </w:r>
    </w:p>
    <w:p>
      <w:pPr>
        <w:spacing w:after="160"/>
      </w:pPr>
      <w:r>
        <w:rPr>
          <w:rFonts w:ascii="Arial" w:cs="Arial" w:eastAsia="Arial" w:hAnsi="Arial"/>
          <w:color w:val="333333"/>
          <w:sz w:val="22"/>
          <w:szCs w:val="22"/>
        </w:rPr>
        <w:t xml:space="preserve">Provisional patent filing for the twist-to-activate ring interaction mechanism and LED-gemstone feedback system; patent counsel engaged for full utility patent application.</w:t>
      </w:r>
    </w:p>
    <w:p>
      <w:pPr>
        <w:pStyle w:val="Heading2"/>
        <w:spacing w:before="240" w:after="160"/>
      </w:pPr>
      <w:r>
        <w:rPr>
          <w:color w:val="2E75B6"/>
        </w:rPr>
        <w:t xml:space="preserve">D. Product Specifications</w:t>
      </w:r>
    </w:p>
    <w:p>
      <w:pPr>
        <w:spacing w:after="160"/>
      </w:pPr>
      <w:r>
        <w:rPr>
          <w:rFonts w:ascii="Arial" w:cs="Arial" w:eastAsia="Arial" w:hAnsi="Arial"/>
          <w:color w:val="333333"/>
          <w:sz w:val="22"/>
          <w:szCs w:val="22"/>
        </w:rPr>
        <w:t xml:space="preserve">Detailed hardware Bill of Materials (BOM), firmware architecture documentation, and cloud AI system design documents available under NDA.</w:t>
      </w:r>
    </w:p>
    <w:p>
      <w:pPr>
        <w:pStyle w:val="Heading2"/>
        <w:spacing w:before="240" w:after="160"/>
      </w:pPr>
      <w:r>
        <w:rPr>
          <w:color w:val="2E75B6"/>
        </w:rPr>
        <w:t xml:space="preserve">E. Q&amp;A Preparation</w:t>
      </w:r>
    </w:p>
    <w:p>
      <w:pPr>
        <w:spacing w:after="160"/>
      </w:pPr>
      <w:r>
        <w:rPr>
          <w:rFonts w:ascii="Arial" w:cs="Arial" w:eastAsia="Arial" w:hAnsi="Arial"/>
          <w:b/>
          <w:bCs/>
          <w:i/>
          <w:iCs/>
          <w:color w:val="333333"/>
          <w:sz w:val="22"/>
          <w:szCs w:val="22"/>
        </w:rPr>
        <w:t xml:space="preserve">“How is this different from just using voice assistants on my phone?”</w:t>
      </w:r>
    </w:p>
    <w:p>
      <w:pPr>
        <w:spacing w:after="160"/>
      </w:pPr>
      <w:r>
        <w:rPr>
          <w:rFonts w:ascii="Arial" w:cs="Arial" w:eastAsia="Arial" w:hAnsi="Arial"/>
          <w:color w:val="333333"/>
          <w:sz w:val="22"/>
          <w:szCs w:val="22"/>
        </w:rPr>
        <w:t xml:space="preserve">Three key differences: Cible is always accessible with no phone friction; it’s designed for ambient capture of fleeting thoughts and questions; and critically, it’s beautiful—you’ll actually wear it. Voice assistants require conscious effort. Cible removes that friction entirely.</w:t>
      </w:r>
    </w:p>
    <w:p>
      <w:pPr>
        <w:spacing w:after="160"/>
      </w:pPr>
      <w:r>
        <w:rPr>
          <w:rFonts w:ascii="Arial" w:cs="Arial" w:eastAsia="Arial" w:hAnsi="Arial"/>
          <w:b/>
          <w:bCs/>
          <w:i/>
          <w:iCs/>
          <w:color w:val="333333"/>
          <w:sz w:val="22"/>
          <w:szCs w:val="22"/>
        </w:rPr>
        <w:t xml:space="preserve">“What about privacy?”</w:t>
      </w:r>
    </w:p>
    <w:p>
      <w:pPr>
        <w:spacing w:after="160"/>
      </w:pPr>
      <w:r>
        <w:rPr>
          <w:rFonts w:ascii="Arial" w:cs="Arial" w:eastAsia="Arial" w:hAnsi="Arial"/>
          <w:color w:val="333333"/>
          <w:sz w:val="22"/>
          <w:szCs w:val="22"/>
        </w:rPr>
        <w:t xml:space="preserve">Cible only records when activated by twist. All data is encrypted end-to-end. Users own their data with full export and deletion rights. Local-only storage is available. Privacy is foundational, not an afterthought.</w:t>
      </w:r>
    </w:p>
    <w:p>
      <w:pPr>
        <w:spacing w:after="160"/>
      </w:pPr>
      <w:r>
        <w:rPr>
          <w:rFonts w:ascii="Arial" w:cs="Arial" w:eastAsia="Arial" w:hAnsi="Arial"/>
          <w:b/>
          <w:bCs/>
          <w:i/>
          <w:iCs/>
          <w:color w:val="333333"/>
          <w:sz w:val="22"/>
          <w:szCs w:val="22"/>
        </w:rPr>
        <w:t xml:space="preserve">“$449 is expensive. Why not just buy an Oura Ring?”</w:t>
      </w:r>
    </w:p>
    <w:p>
      <w:pPr>
        <w:spacing w:after="160"/>
      </w:pPr>
      <w:r>
        <w:rPr>
          <w:rFonts w:ascii="Arial" w:cs="Arial" w:eastAsia="Arial" w:hAnsi="Arial"/>
          <w:color w:val="333333"/>
          <w:sz w:val="22"/>
          <w:szCs w:val="22"/>
        </w:rPr>
        <w:t xml:space="preserve">Different products for different needs. Oura tracks your body—sleep, heart rate, activity. Cible elevates your mind—captures curiosity, guides action, enables reflection. If you want a fitness tracker, buy Oura. If you want a thinking companion, buy Cible.</w:t>
      </w:r>
    </w:p>
    <w:p>
      <w:pPr>
        <w:spacing w:after="160"/>
      </w:pPr>
      <w:r>
        <w:rPr>
          <w:rFonts w:ascii="Arial" w:cs="Arial" w:eastAsia="Arial" w:hAnsi="Arial"/>
          <w:b/>
          <w:bCs/>
          <w:i/>
          <w:iCs/>
          <w:color w:val="333333"/>
          <w:sz w:val="22"/>
          <w:szCs w:val="22"/>
        </w:rPr>
        <w:t xml:space="preserve">“How do you compete if Apple enters this market?”</w:t>
      </w:r>
    </w:p>
    <w:p>
      <w:pPr>
        <w:spacing w:after="160"/>
      </w:pPr>
      <w:r>
        <w:rPr>
          <w:rFonts w:ascii="Arial" w:cs="Arial" w:eastAsia="Arial" w:hAnsi="Arial"/>
          <w:color w:val="333333"/>
          <w:sz w:val="22"/>
          <w:szCs w:val="22"/>
        </w:rPr>
        <w:t xml:space="preserve">Apple’s strength is mass-market technology. Cible’s strength is premium, personal, and beautiful. We don’t compete on spec sheets—we compete on meaning. Apple entering the smart ring space would validate the category and expand the market, benefiting Cible’s premium positioning.</w:t>
      </w:r>
    </w:p>
    <w:p>
      <w:pPr>
        <w:spacing w:before="600"/>
      </w:pPr>
    </w:p>
    <w:p>
      <w:pPr>
        <w:pBdr>
          <w:top w:val="single" w:color="C9A96E" w:sz="4" w:space="12"/>
        </w:pBdr>
        <w:spacing w:before="200" w:after="200"/>
        <w:jc w:val="center"/>
      </w:pPr>
      <w:r>
        <w:rPr>
          <w:rFonts w:ascii="Arial" w:cs="Arial" w:eastAsia="Arial" w:hAnsi="Arial"/>
          <w:color w:val="999999"/>
          <w:spacing w:val="300"/>
          <w:sz w:val="20"/>
          <w:szCs w:val="20"/>
        </w:rPr>
        <w:t xml:space="preserve">END OF BUSINESS PLAN</w:t>
      </w:r>
    </w:p>
    <w:p>
      <w:pPr>
        <w:spacing w:after="100"/>
        <w:jc w:val="center"/>
      </w:pPr>
      <w:r>
        <w:rPr>
          <w:rFonts w:ascii="Arial" w:cs="Arial" w:eastAsia="Arial" w:hAnsi="Arial"/>
          <w:i/>
          <w:iCs/>
          <w:color w:val="C9A96E"/>
          <w:sz w:val="24"/>
          <w:szCs w:val="24"/>
        </w:rPr>
        <w:t xml:space="preserve">Cible – AI On Your Finger</w:t>
      </w:r>
    </w:p>
    <w:p>
      <w:pPr>
        <w:jc w:val="center"/>
      </w:pPr>
      <w:r>
        <w:rPr>
          <w:rFonts w:ascii="Arial" w:cs="Arial" w:eastAsia="Arial" w:hAnsi="Arial"/>
          <w:color w:val="666666"/>
          <w:sz w:val="20"/>
          <w:szCs w:val="20"/>
        </w:rPr>
        <w:t xml:space="preserve">cible.ai  |  contact@cible.ai</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6"/>
      </w:pBd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Cible – Business Plan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C9A96E" w:sz="4" w:space="6"/>
      </w:pBd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2026-03-31T19:02:40.567Z</dcterms:created>
  <dcterms:modified xsi:type="dcterms:W3CDTF">2026-03-31T19:02:40.568Z</dcterms:modified>
</cp:coreProperties>
</file>

<file path=docProps/custom.xml><?xml version="1.0" encoding="utf-8"?>
<Properties xmlns="http://schemas.openxmlformats.org/officeDocument/2006/custom-properties" xmlns:vt="http://schemas.openxmlformats.org/officeDocument/2006/docPropsVTypes"/>
</file>