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Arial" w:cs="Arial" w:eastAsia="Arial" w:hAnsi="Arial"/>
          <w:color w:val="A8895C"/>
          <w:sz w:val="20"/>
          <w:szCs w:val="20"/>
        </w:rPr>
        <w:t xml:space="preserve">ATELIER MIRAGE</w:t>
      </w:r>
    </w:p>
    <w:p>
      <w:pPr>
        <w:spacing w:after="200"/>
        <w:jc w:val="center"/>
      </w:pPr>
      <w:r>
        <w:rPr>
          <w:rFonts w:ascii="Arial" w:cs="Arial" w:eastAsia="Arial" w:hAnsi="Arial"/>
          <w:color w:val="E8D5B8"/>
          <w:sz w:val="16"/>
          <w:szCs w:val="16"/>
        </w:rPr>
        <w:t xml:space="preserve">──────────────────────────</w:t>
      </w:r>
    </w:p>
    <w:p>
      <w:pPr>
        <w:spacing w:after="120"/>
        <w:jc w:val="center"/>
      </w:pPr>
      <w:r>
        <w:rPr>
          <w:rFonts w:ascii="Cormorant Garamond" w:cs="Cormorant Garamond" w:eastAsia="Cormorant Garamond" w:hAnsi="Cormorant Garamond"/>
          <w:b/>
          <w:bCs/>
          <w:color w:val="1A1714"/>
          <w:sz w:val="56"/>
          <w:szCs w:val="56"/>
        </w:rPr>
        <w:t xml:space="preserve">Audit 360°</w:t>
      </w:r>
    </w:p>
    <w:p>
      <w:pPr>
        <w:spacing w:after="40"/>
        <w:jc w:val="center"/>
      </w:pPr>
      <w:r>
        <w:rPr>
          <w:rFonts w:ascii="Arial" w:cs="Arial" w:eastAsia="Arial" w:hAnsi="Arial"/>
          <w:color w:val="6B6560"/>
          <w:sz w:val="24"/>
          <w:szCs w:val="24"/>
        </w:rPr>
        <w:t xml:space="preserve">UX · UI · CRO · Stratégie B2B</w:t>
      </w:r>
    </w:p>
    <w:p>
      <w:pPr>
        <w:spacing w:after="0" w:before="600"/>
      </w:pPr>
    </w:p>
    <w:p>
      <w:pPr>
        <w:spacing w:after="80"/>
        <w:jc w:val="center"/>
      </w:pPr>
      <w:r>
        <w:rPr>
          <w:rFonts w:ascii="Cormorant Garamond" w:cs="Cormorant Garamond" w:eastAsia="Cormorant Garamond" w:hAnsi="Cormorant Garamond"/>
          <w:i/>
          <w:iCs/>
          <w:color w:val="A8895C"/>
          <w:sz w:val="26"/>
          <w:szCs w:val="26"/>
        </w:rPr>
        <w:t xml:space="preserve">Rapport critique, chirurgical et visionnaire</w:t>
      </w:r>
    </w:p>
    <w:p>
      <w:pPr>
        <w:spacing w:after="40"/>
        <w:jc w:val="center"/>
      </w:pPr>
      <w:r>
        <w:rPr>
          <w:rFonts w:ascii="Arial" w:cs="Arial" w:eastAsia="Arial" w:hAnsi="Arial"/>
          <w:color w:val="6B6560"/>
          <w:sz w:val="21"/>
          <w:szCs w:val="21"/>
        </w:rPr>
        <w:t xml:space="preserve">Haute pâtisserie d’exception — Du trompe-l’œil à la maison de création</w:t>
      </w:r>
    </w:p>
    <w:p>
      <w:pPr>
        <w:spacing w:after="0" w:before="1200"/>
      </w:pPr>
    </w:p>
    <w:p>
      <w:pPr>
        <w:jc w:val="center"/>
      </w:pPr>
      <w:r>
        <w:rPr>
          <w:rFonts w:ascii="Arial" w:cs="Arial" w:eastAsia="Arial" w:hAnsi="Arial"/>
          <w:color w:val="6B6560"/>
          <w:sz w:val="20"/>
          <w:szCs w:val="20"/>
        </w:rPr>
        <w:t xml:space="preserve">Avril 2026</w:t>
      </w:r>
    </w:p>
    <w:p>
      <w:pPr>
        <w:spacing w:after="40"/>
        <w:jc w:val="center"/>
      </w:pPr>
      <w:r>
        <w:rPr>
          <w:rFonts w:ascii="Arial" w:cs="Arial" w:eastAsia="Arial" w:hAnsi="Arial"/>
          <w:color w:val="A8895C"/>
          <w:sz w:val="18"/>
          <w:szCs w:val="18"/>
        </w:rPr>
        <w:t xml:space="preserve">Confidentiel — Usage interne</w:t>
      </w:r>
    </w:p>
    <w:p>
      <w:pPr>
        <w:sectPr>
          <w:pgSz w:w="12240" w:h="15840" w:orient="portrait"/>
          <w:pgMar w:top="1440" w:right="1440" w:bottom="1440" w:left="1440" w:header="708" w:footer="708" w:gutter="0"/>
          <w:pgNumType/>
          <w:docGrid w:linePitch="360"/>
        </w:sectPr>
      </w:pPr>
    </w:p>
    <w:p>
      <w:pPr>
        <w:spacing w:after="300"/>
      </w:pPr>
      <w:r>
        <w:rPr>
          <w:rFonts w:ascii="Cormorant Garamond" w:cs="Cormorant Garamond" w:eastAsia="Cormorant Garamond" w:hAnsi="Cormorant Garamond"/>
          <w:b/>
          <w:bCs/>
          <w:color w:val="1A1714"/>
          <w:sz w:val="36"/>
          <w:szCs w:val="36"/>
        </w:rPr>
        <w:t xml:space="preserve">Table des matières</w:t>
      </w:r>
    </w:p>
    <w:p>
      <w:pPr>
        <w:tabs>
          <w:tab w:val="right" w:pos="9026"/>
        </w:tabs>
        <w:spacing w:after="80"/>
      </w:pPr>
      <w:r>
        <w:rPr>
          <w:rFonts w:ascii="Arial" w:cs="Arial" w:eastAsia="Arial" w:hAnsi="Arial"/>
          <w:color w:val="1A1714"/>
          <w:sz w:val="22"/>
          <w:szCs w:val="22"/>
        </w:rPr>
        <w:t xml:space="preserve">1. Dualité Identitaire &amp; Vision de Marque</w:t>
      </w:r>
      <w:r>
        <w:rPr>
          <w:rFonts w:ascii="Arial" w:cs="Arial" w:eastAsia="Arial" w:hAnsi="Arial"/>
          <w:color w:val="6B6560"/>
          <w:sz w:val="22"/>
          <w:szCs w:val="22"/>
        </w:rPr>
        <w:t xml:space="preserve">	3</w:t>
      </w:r>
    </w:p>
    <w:p>
      <w:pPr>
        <w:tabs>
          <w:tab w:val="right" w:pos="9026"/>
        </w:tabs>
        <w:spacing w:after="80"/>
      </w:pPr>
      <w:r>
        <w:rPr>
          <w:rFonts w:ascii="Arial" w:cs="Arial" w:eastAsia="Arial" w:hAnsi="Arial"/>
          <w:color w:val="1A1714"/>
          <w:sz w:val="22"/>
          <w:szCs w:val="22"/>
        </w:rPr>
        <w:t xml:space="preserve">2. Audit UX &amp; Ergonomie Cognitive</w:t>
      </w:r>
      <w:r>
        <w:rPr>
          <w:rFonts w:ascii="Arial" w:cs="Arial" w:eastAsia="Arial" w:hAnsi="Arial"/>
          <w:color w:val="6B6560"/>
          <w:sz w:val="22"/>
          <w:szCs w:val="22"/>
        </w:rPr>
        <w:t xml:space="preserve">	5</w:t>
      </w:r>
    </w:p>
    <w:p>
      <w:pPr>
        <w:tabs>
          <w:tab w:val="right" w:pos="9026"/>
        </w:tabs>
        <w:spacing w:after="80"/>
      </w:pPr>
      <w:r>
        <w:rPr>
          <w:rFonts w:ascii="Arial" w:cs="Arial" w:eastAsia="Arial" w:hAnsi="Arial"/>
          <w:color w:val="1A1714"/>
          <w:sz w:val="22"/>
          <w:szCs w:val="22"/>
        </w:rPr>
        <w:t xml:space="preserve">3. Audit UI &amp; Direction Artistique</w:t>
      </w:r>
      <w:r>
        <w:rPr>
          <w:rFonts w:ascii="Arial" w:cs="Arial" w:eastAsia="Arial" w:hAnsi="Arial"/>
          <w:color w:val="6B6560"/>
          <w:sz w:val="22"/>
          <w:szCs w:val="22"/>
        </w:rPr>
        <w:t xml:space="preserve">	8</w:t>
      </w:r>
    </w:p>
    <w:p>
      <w:pPr>
        <w:tabs>
          <w:tab w:val="right" w:pos="9026"/>
        </w:tabs>
        <w:spacing w:after="80"/>
      </w:pPr>
      <w:r>
        <w:rPr>
          <w:rFonts w:ascii="Arial" w:cs="Arial" w:eastAsia="Arial" w:hAnsi="Arial"/>
          <w:color w:val="1A1714"/>
          <w:sz w:val="22"/>
          <w:szCs w:val="22"/>
        </w:rPr>
        <w:t xml:space="preserve">4. Audit Psychologique &amp; CRO</w:t>
      </w:r>
      <w:r>
        <w:rPr>
          <w:rFonts w:ascii="Arial" w:cs="Arial" w:eastAsia="Arial" w:hAnsi="Arial"/>
          <w:color w:val="6B6560"/>
          <w:sz w:val="22"/>
          <w:szCs w:val="22"/>
        </w:rPr>
        <w:t xml:space="preserve">	11</w:t>
      </w:r>
    </w:p>
    <w:p>
      <w:pPr>
        <w:tabs>
          <w:tab w:val="right" w:pos="9026"/>
        </w:tabs>
        <w:spacing w:after="80"/>
      </w:pPr>
      <w:r>
        <w:rPr>
          <w:rFonts w:ascii="Arial" w:cs="Arial" w:eastAsia="Arial" w:hAnsi="Arial"/>
          <w:color w:val="1A1714"/>
          <w:sz w:val="22"/>
          <w:szCs w:val="22"/>
        </w:rPr>
        <w:t xml:space="preserve">5. Narrative Gastronomique &amp; Scalabilité</w:t>
      </w:r>
      <w:r>
        <w:rPr>
          <w:rFonts w:ascii="Arial" w:cs="Arial" w:eastAsia="Arial" w:hAnsi="Arial"/>
          <w:color w:val="6B6560"/>
          <w:sz w:val="22"/>
          <w:szCs w:val="22"/>
        </w:rPr>
        <w:t xml:space="preserve">	14</w:t>
      </w:r>
    </w:p>
    <w:p>
      <w:pPr>
        <w:tabs>
          <w:tab w:val="right" w:pos="9026"/>
        </w:tabs>
        <w:spacing w:after="80"/>
      </w:pPr>
      <w:r>
        <w:rPr>
          <w:rFonts w:ascii="Arial" w:cs="Arial" w:eastAsia="Arial" w:hAnsi="Arial"/>
          <w:color w:val="1A1714"/>
          <w:sz w:val="22"/>
          <w:szCs w:val="22"/>
        </w:rPr>
        <w:t xml:space="preserve">6. Quick Wins &amp; Roadmap Stratégique</w:t>
      </w:r>
      <w:r>
        <w:rPr>
          <w:rFonts w:ascii="Arial" w:cs="Arial" w:eastAsia="Arial" w:hAnsi="Arial"/>
          <w:color w:val="6B6560"/>
          <w:sz w:val="22"/>
          <w:szCs w:val="22"/>
        </w:rPr>
        <w:t xml:space="preserve">	16</w:t>
      </w:r>
    </w:p>
    <w:p>
      <w:pPr>
        <w:spacing w:after="0" w:before="200"/>
      </w:pPr>
    </w:p>
    <w:p>
      <w:pPr>
        <w:tabs>
          <w:tab w:val="right" w:pos="9026"/>
        </w:tabs>
        <w:spacing w:after="80"/>
      </w:pPr>
      <w:r>
        <w:rPr>
          <w:rFonts w:ascii="Arial" w:cs="Arial" w:eastAsia="Arial" w:hAnsi="Arial"/>
          <w:color w:val="1A1714"/>
          <w:sz w:val="22"/>
          <w:szCs w:val="22"/>
        </w:rPr>
        <w:t xml:space="preserve">Annexe — Matrice de Priorisation</w:t>
      </w:r>
      <w:r>
        <w:rPr>
          <w:rFonts w:ascii="Arial" w:cs="Arial" w:eastAsia="Arial" w:hAnsi="Arial"/>
          <w:color w:val="6B6560"/>
          <w:sz w:val="22"/>
          <w:szCs w:val="22"/>
        </w:rPr>
        <w:t xml:space="preserve">	19</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Cormorant Garamond" w:cs="Cormorant Garamond" w:eastAsia="Cormorant Garamond" w:hAnsi="Cormorant Garamond"/>
          <w:b/>
          <w:bCs/>
          <w:color w:val="1A1714"/>
          <w:sz w:val="36"/>
          <w:szCs w:val="36"/>
        </w:rPr>
        <w:t xml:space="preserve">1. Dualité Identitaire &amp; Vision de Marque</w:t>
      </w:r>
    </w:p>
    <w:p>
      <w:pPr>
        <w:shd w:fill="F7F0E6" w:val="clear"/>
        <w:spacing w:after="40" w:before="160"/>
      </w:pPr>
      <w:r>
        <w:rPr>
          <w:rFonts w:ascii="Arial" w:cs="Arial" w:eastAsia="Arial" w:hAnsi="Arial"/>
          <w:b/>
          <w:bCs/>
          <w:color w:val="A8895C"/>
          <w:sz w:val="21"/>
          <w:szCs w:val="21"/>
        </w:rPr>
        <w:t xml:space="preserve">  ⚠ Postulat stratégique clé</w:t>
      </w:r>
    </w:p>
    <w:p>
      <w:pPr>
        <w:shd w:fill="F7F0E6" w:val="clear"/>
        <w:spacing w:after="200"/>
      </w:pPr>
      <w:r>
        <w:rPr>
          <w:rFonts w:ascii="Arial" w:cs="Arial" w:eastAsia="Arial" w:hAnsi="Arial"/>
          <w:i/>
          <w:iCs/>
          <w:color w:val="6B6560"/>
          <w:sz w:val="20"/>
          <w:szCs w:val="20"/>
        </w:rPr>
        <w:t xml:space="preserve">  Le trompe-l’œil est aujourd’hui la force d’acquisition et le différenciateur marché d’Atelier Mirage. Mais la vision du fondateur est celle d’une maison de haute pâtisserie d’exception, destinée à se diversifier rapidement (entremets, mignardises, créations saisonnières, etc.). Toutes les recommandations de cet audit sont calibrées pour construire une marque scalable — où le trompe-l’œil est la collection signature, pas le plafond.</w:t>
      </w:r>
    </w:p>
    <w:p>
      <w:pPr>
        <w:spacing w:after="120"/>
        <w:jc w:val="left"/>
      </w:pPr>
      <w:r>
        <w:rPr>
          <w:rFonts w:ascii="Arial" w:cs="Arial" w:eastAsia="Arial" w:hAnsi="Arial"/>
          <w:i/>
          <w:iCs/>
          <w:color w:val="6B6560"/>
          <w:sz w:val="21"/>
          <w:szCs w:val="21"/>
        </w:rPr>
        <w:t xml:space="preserve">Objectif : </w:t>
      </w:r>
      <w:r>
        <w:rPr>
          <w:rFonts w:ascii="Arial" w:cs="Arial" w:eastAsia="Arial" w:hAnsi="Arial"/>
          <w:color w:val="6B6560"/>
          <w:sz w:val="21"/>
          <w:szCs w:val="21"/>
        </w:rPr>
        <w:t xml:space="preserve">La proposition de valeur doit être intelligible en moins de 3 secondes par un décideur B2B, tout en laissant la place à un élargissement de gamme sans refonte identitaire.</w:t>
      </w:r>
    </w:p>
    <w:p>
      <w:pPr>
        <w:pStyle w:val="Heading2"/>
        <w:spacing w:after="160" w:before="280"/>
      </w:pPr>
      <w:r>
        <w:rPr>
          <w:rFonts w:ascii="Cormorant Garamond" w:cs="Cormorant Garamond" w:eastAsia="Cormorant Garamond" w:hAnsi="Cormorant Garamond"/>
          <w:b/>
          <w:bCs/>
          <w:color w:val="A8895C"/>
          <w:sz w:val="28"/>
          <w:szCs w:val="28"/>
        </w:rPr>
        <w:t xml:space="preserve">1.1 Test des 3 secondes — Above the Fold</w:t>
      </w:r>
    </w:p>
    <w:p>
      <w:pPr>
        <w:spacing w:after="120"/>
        <w:jc w:val="left"/>
      </w:pPr>
      <w:r>
        <w:rPr>
          <w:rFonts w:ascii="Arial" w:cs="Arial" w:eastAsia="Arial" w:hAnsi="Arial"/>
          <w:color w:val="6B6560"/>
          <w:sz w:val="21"/>
          <w:szCs w:val="21"/>
        </w:rPr>
        <w:t xml:space="preserve">Le hero actuel affiche « L’Art du Dessert » en Cormorant Garamond bold, accompagné du hook « Ce que vous voyez n’est jamais ce que vous goûtez. Le dessert pour lequel vos clients se déplacent. » La vidéo autoplay de la découpe pêche crée un effet de fascination immédiat.</w:t>
      </w:r>
    </w:p>
    <w:p>
      <w:pPr>
        <w:pStyle w:val="Heading3"/>
        <w:spacing w:after="120" w:before="200"/>
      </w:pPr>
      <w:r>
        <w:rPr>
          <w:rFonts w:ascii="Arial" w:cs="Arial" w:eastAsia="Arial" w:hAnsi="Arial"/>
          <w:b/>
          <w:bCs/>
          <w:color w:val="1A1714"/>
          <w:sz w:val="22"/>
          <w:szCs w:val="22"/>
        </w:rPr>
        <w:t xml:space="preserve">Forces</w:t>
      </w:r>
    </w:p>
    <w:p>
      <w:pPr>
        <w:pStyle w:val="ListParagraph"/>
        <w:numPr>
          <w:ilvl w:val="0"/>
          <w:numId w:val="2"/>
        </w:numPr>
        <w:spacing w:after="80"/>
      </w:pPr>
      <w:r>
        <w:rPr>
          <w:rFonts w:ascii="Arial" w:cs="Arial" w:eastAsia="Arial" w:hAnsi="Arial"/>
          <w:color w:val="6B6560"/>
          <w:sz w:val="21"/>
          <w:szCs w:val="21"/>
        </w:rPr>
        <w:t xml:space="preserve">Le titre « L’Art du Dessert » est large et intemporel. Il ne se limite pas au trompe-l’œil et pourra accueillir n’importe quelle gamme future sans dissonance. C’est un atout majeur pour la scalabilité de marque.</w:t>
      </w:r>
    </w:p>
    <w:p>
      <w:pPr>
        <w:pStyle w:val="ListParagraph"/>
        <w:numPr>
          <w:ilvl w:val="0"/>
          <w:numId w:val="2"/>
        </w:numPr>
        <w:spacing w:after="80"/>
      </w:pPr>
      <w:r>
        <w:rPr>
          <w:rFonts w:ascii="Arial" w:cs="Arial" w:eastAsia="Arial" w:hAnsi="Arial"/>
          <w:color w:val="6B6560"/>
          <w:sz w:val="21"/>
          <w:szCs w:val="21"/>
        </w:rPr>
        <w:t xml:space="preserve">La vidéo de découpe agit comme un pattern interrupt cognitif : le spectateur attend un fruit, découvre un dessert. La dissonance génère de la dopamine et prolonge le temps d’attention. Demain, une vidéo similaire pourra montrer la découpe d’un entremet ou d’une création saisonnière — le format est réplicable.</w:t>
      </w:r>
    </w:p>
    <w:p>
      <w:pPr>
        <w:pStyle w:val="ListParagraph"/>
        <w:numPr>
          <w:ilvl w:val="0"/>
          <w:numId w:val="2"/>
        </w:numPr>
        <w:spacing w:after="80"/>
      </w:pPr>
      <w:r>
        <w:rPr>
          <w:rFonts w:ascii="Arial" w:cs="Arial" w:eastAsia="Arial" w:hAnsi="Arial"/>
          <w:color w:val="6B6560"/>
          <w:sz w:val="21"/>
          <w:szCs w:val="21"/>
        </w:rPr>
        <w:t xml:space="preserve">La réassurance « Réponse sous 24h · Dégustation gratuite · Paiement après vente » neutralise les trois objections B2B majeures dès le premier écran. Ces arguments sont indépendants du type de produit — ils resteront valides quelle que soit la gamme.</w:t>
      </w:r>
    </w:p>
    <w:p>
      <w:pPr>
        <w:pStyle w:val="Heading3"/>
        <w:spacing w:after="120" w:before="200"/>
      </w:pPr>
      <w:r>
        <w:rPr>
          <w:rFonts w:ascii="Arial" w:cs="Arial" w:eastAsia="Arial" w:hAnsi="Arial"/>
          <w:b/>
          <w:bCs/>
          <w:color w:val="1A1714"/>
          <w:sz w:val="22"/>
          <w:szCs w:val="22"/>
        </w:rPr>
        <w:t xml:space="preserve">Frictions</w:t>
      </w:r>
    </w:p>
    <w:p>
      <w:pPr>
        <w:pStyle w:val="ListParagraph"/>
        <w:numPr>
          <w:ilvl w:val="0"/>
          <w:numId w:val="2"/>
        </w:numPr>
        <w:spacing w:after="80"/>
      </w:pPr>
      <w:r>
        <w:rPr>
          <w:rFonts w:ascii="Arial" w:cs="Arial" w:eastAsia="Arial" w:hAnsi="Arial"/>
          <w:color w:val="6B6560"/>
          <w:sz w:val="21"/>
          <w:szCs w:val="21"/>
        </w:rPr>
        <w:t xml:space="preserve">Le hook « Ce que vous voyez n’est jamais ce que vous goûtez » est 100% trompe-l’œil. Quand la gamme s’élargira, cette phrase deviendra réductrice. Il faut prévoir une formulation plus englobante ou un système de hooks rotatifs (un par collection).</w:t>
      </w:r>
    </w:p>
    <w:p>
      <w:pPr>
        <w:pStyle w:val="ListParagraph"/>
        <w:numPr>
          <w:ilvl w:val="0"/>
          <w:numId w:val="2"/>
        </w:numPr>
        <w:spacing w:after="80"/>
      </w:pPr>
      <w:r>
        <w:rPr>
          <w:rFonts w:ascii="Arial" w:cs="Arial" w:eastAsia="Arial" w:hAnsi="Arial"/>
          <w:color w:val="6B6560"/>
          <w:sz w:val="21"/>
          <w:szCs w:val="21"/>
        </w:rPr>
        <w:t xml:space="preserve">L’absence d’eyebrow au-dessus du H1 est un espace stratégique perdu. Mais attention : un eyebrow « Pâtisserie Trompe-l’Œil B2B » enfermerait la marque. Préférer « Haute Pâtisserie d’Exception · Livrée Prête à Servir ».</w:t>
      </w:r>
    </w:p>
    <w:p>
      <w:pPr>
        <w:pStyle w:val="ListParagraph"/>
        <w:numPr>
          <w:ilvl w:val="0"/>
          <w:numId w:val="2"/>
        </w:numPr>
        <w:spacing w:after="80"/>
      </w:pPr>
      <w:r>
        <w:rPr>
          <w:rFonts w:ascii="Arial" w:cs="Arial" w:eastAsia="Arial" w:hAnsi="Arial"/>
          <w:color w:val="6B6560"/>
          <w:sz w:val="21"/>
          <w:szCs w:val="21"/>
        </w:rPr>
        <w:t xml:space="preserve">Le double CTA « Devenir partenaire / Découvrir la collection » crée un choix de Hick : deux options équivalentes augmentent le temps de décision. Le CTA primaire devrait dominer visuellement (Loi de Fitts : 2× la surface cliquable).</w:t>
      </w:r>
    </w:p>
    <w:p>
      <w:pPr>
        <w:pStyle w:val="Heading2"/>
        <w:spacing w:after="160" w:before="280"/>
      </w:pPr>
      <w:r>
        <w:rPr>
          <w:rFonts w:ascii="Cormorant Garamond" w:cs="Cormorant Garamond" w:eastAsia="Cormorant Garamond" w:hAnsi="Cormorant Garamond"/>
          <w:b/>
          <w:bCs/>
          <w:color w:val="A8895C"/>
          <w:sz w:val="28"/>
          <w:szCs w:val="28"/>
        </w:rPr>
        <w:t xml:space="preserve">1.2 Architecture de Marque : du Produit à la Maison</w:t>
      </w:r>
    </w:p>
    <w:p>
      <w:pPr>
        <w:spacing w:after="120"/>
        <w:jc w:val="left"/>
      </w:pPr>
      <w:r>
        <w:rPr>
          <w:rFonts w:ascii="Arial" w:cs="Arial" w:eastAsia="Arial" w:hAnsi="Arial"/>
          <w:color w:val="6B6560"/>
          <w:sz w:val="21"/>
          <w:szCs w:val="21"/>
        </w:rPr>
        <w:t xml:space="preserve">Le positionnement actuel peut être modélisé ainsi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Aujourd’hui</w:t>
            </w:r>
          </w:p>
        </w:tc>
        <w:tc>
          <w:tcPr>
            <w:tcW w:type="dxa" w:w="312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Transition (2026-2027)</w:t>
            </w:r>
          </w:p>
        </w:tc>
        <w:tc>
          <w:tcPr>
            <w:tcW w:type="dxa" w:w="312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Vision (2028+)</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Atelier Mirage = Trompe-l’œil</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Atelier Mirage = Maison dont le trompe-l’œil est la collection phare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Atelier Mirage = Maison de haute pâtisserie avec plusieurs collections</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Site mono-gamme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Site avec onglets par collection</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Plateforme B2B multi-collections</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Hook : illusion / surprise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Hook : excellence artisanale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Hook : le partenaire dessert qui transforme votre carte</w:t>
            </w:r>
          </w:p>
        </w:tc>
      </w:tr>
    </w:tbl>
    <w:p>
      <w:pPr>
        <w:spacing w:after="0" w:before="120"/>
      </w:pPr>
    </w:p>
    <w:p>
      <w:pPr>
        <w:spacing w:after="120"/>
        <w:jc w:val="left"/>
      </w:pPr>
      <w:r>
        <w:rPr>
          <w:rFonts w:ascii="Arial" w:cs="Arial" w:eastAsia="Arial" w:hAnsi="Arial"/>
          <w:color w:val="6B6560"/>
          <w:sz w:val="21"/>
          <w:szCs w:val="21"/>
        </w:rPr>
        <w:t xml:space="preserve">L’enjeu est de préparer cette transition dès maintenant dans le code, le wording et l’architecture, sans perdre la force d’acquisition du trompe-l’œil aujourd’hui.</w:t>
      </w:r>
    </w:p>
    <w:p>
      <w:pPr>
        <w:pStyle w:val="Heading3"/>
        <w:spacing w:after="120" w:before="200"/>
      </w:pPr>
      <w:r>
        <w:rPr>
          <w:rFonts w:ascii="Arial" w:cs="Arial" w:eastAsia="Arial" w:hAnsi="Arial"/>
          <w:b/>
          <w:bCs/>
          <w:color w:val="1A1714"/>
          <w:sz w:val="22"/>
          <w:szCs w:val="22"/>
        </w:rPr>
        <w:t xml:space="preserve">Recommandations structurantes</w:t>
      </w:r>
    </w:p>
    <w:p>
      <w:pPr>
        <w:pStyle w:val="ListParagraph"/>
        <w:numPr>
          <w:ilvl w:val="0"/>
          <w:numId w:val="2"/>
        </w:numPr>
        <w:spacing w:after="80"/>
      </w:pPr>
      <w:r>
        <w:rPr>
          <w:rFonts w:ascii="Arial" w:cs="Arial" w:eastAsia="Arial" w:hAnsi="Arial"/>
          <w:b/>
          <w:bCs/>
          <w:color w:val="1A1714"/>
          <w:sz w:val="21"/>
          <w:szCs w:val="21"/>
        </w:rPr>
        <w:t xml:space="preserve">Eyebrow hero : </w:t>
      </w:r>
      <w:r>
        <w:rPr>
          <w:rFonts w:ascii="Arial" w:cs="Arial" w:eastAsia="Arial" w:hAnsi="Arial"/>
          <w:color w:val="6B6560"/>
          <w:sz w:val="21"/>
          <w:szCs w:val="21"/>
        </w:rPr>
        <w:t xml:space="preserve">« Haute Pâtisserie d’Exception · Livrée Prête à Servir ». Ancrage large, compatible avec toute gamme future.</w:t>
      </w:r>
    </w:p>
    <w:p>
      <w:pPr>
        <w:pStyle w:val="ListParagraph"/>
        <w:numPr>
          <w:ilvl w:val="0"/>
          <w:numId w:val="2"/>
        </w:numPr>
        <w:spacing w:after="80"/>
      </w:pPr>
      <w:r>
        <w:rPr>
          <w:rFonts w:ascii="Arial" w:cs="Arial" w:eastAsia="Arial" w:hAnsi="Arial"/>
          <w:b/>
          <w:bCs/>
          <w:color w:val="1A1714"/>
          <w:sz w:val="21"/>
          <w:szCs w:val="21"/>
        </w:rPr>
        <w:t xml:space="preserve">Hook adaptatif : </w:t>
      </w:r>
      <w:r>
        <w:rPr>
          <w:rFonts w:ascii="Arial" w:cs="Arial" w:eastAsia="Arial" w:hAnsi="Arial"/>
          <w:color w:val="6B6560"/>
          <w:sz w:val="21"/>
          <w:szCs w:val="21"/>
        </w:rPr>
        <w:t xml:space="preserve">Prévoir un composant dynamique qui affiche un hook différent par collection. Aujourd’hui : « Ce que vous voyez n’est jamais ce que vous goûtez. » Demain : « L’excellence que vos clients méritent » ou « La pâtisserie qui fait revenir. »</w:t>
      </w:r>
    </w:p>
    <w:p>
      <w:pPr>
        <w:pStyle w:val="ListParagraph"/>
        <w:numPr>
          <w:ilvl w:val="0"/>
          <w:numId w:val="2"/>
        </w:numPr>
        <w:spacing w:after="80"/>
      </w:pPr>
      <w:r>
        <w:rPr>
          <w:rFonts w:ascii="Arial" w:cs="Arial" w:eastAsia="Arial" w:hAnsi="Arial"/>
          <w:b/>
          <w:bCs/>
          <w:color w:val="1A1714"/>
          <w:sz w:val="21"/>
          <w:szCs w:val="21"/>
        </w:rPr>
        <w:t xml:space="preserve">Catalogue structuré par collection : </w:t>
      </w:r>
      <w:r>
        <w:rPr>
          <w:rFonts w:ascii="Arial" w:cs="Arial" w:eastAsia="Arial" w:hAnsi="Arial"/>
          <w:color w:val="6B6560"/>
          <w:sz w:val="21"/>
          <w:szCs w:val="21"/>
        </w:rPr>
        <w:t xml:space="preserve">Renommer le catalogue actuel en « Collection Trompe-l’Œil ». Laisser un espace visuel (même vide pour l’instant) pour une future « Collection Signature » ou « Collection Saison ». L’utilisateur comprend que la maison a de l’ampleur.</w:t>
      </w:r>
    </w:p>
    <w:p>
      <w:pPr>
        <w:pStyle w:val="ListParagraph"/>
        <w:numPr>
          <w:ilvl w:val="0"/>
          <w:numId w:val="2"/>
        </w:numPr>
        <w:spacing w:after="80"/>
      </w:pPr>
      <w:r>
        <w:rPr>
          <w:rFonts w:ascii="Arial" w:cs="Arial" w:eastAsia="Arial" w:hAnsi="Arial"/>
          <w:b/>
          <w:bCs/>
          <w:color w:val="1A1714"/>
          <w:sz w:val="21"/>
          <w:szCs w:val="21"/>
        </w:rPr>
        <w:t xml:space="preserve">Wording sitewide : </w:t>
      </w:r>
      <w:r>
        <w:rPr>
          <w:rFonts w:ascii="Arial" w:cs="Arial" w:eastAsia="Arial" w:hAnsi="Arial"/>
          <w:color w:val="6B6560"/>
          <w:sz w:val="21"/>
          <w:szCs w:val="21"/>
        </w:rPr>
        <w:t xml:space="preserve">Remplacer systématiquement « mes trompe-l’œil » par « mes créations » ou « mes pièces » quand le contexte est générique. Réserver « trompe-l’œil » pour les pages et sections spécifiquement dédiées à cette collection.</w:t>
      </w:r>
    </w:p>
    <w:p>
      <w:pPr>
        <w:pStyle w:val="Heading2"/>
        <w:spacing w:after="160" w:before="280"/>
      </w:pPr>
      <w:r>
        <w:rPr>
          <w:rFonts w:ascii="Cormorant Garamond" w:cs="Cormorant Garamond" w:eastAsia="Cormorant Garamond" w:hAnsi="Cormorant Garamond"/>
          <w:b/>
          <w:bCs/>
          <w:color w:val="A8895C"/>
          <w:sz w:val="28"/>
          <w:szCs w:val="28"/>
        </w:rPr>
        <w:t xml:space="preserve">1.3 Cohérence Cross-Pages</w:t>
      </w:r>
    </w:p>
    <w:p>
      <w:pPr>
        <w:spacing w:after="120"/>
        <w:jc w:val="left"/>
      </w:pPr>
      <w:r>
        <w:rPr>
          <w:rFonts w:ascii="Arial" w:cs="Arial" w:eastAsia="Arial" w:hAnsi="Arial"/>
          <w:color w:val="6B6560"/>
          <w:sz w:val="21"/>
          <w:szCs w:val="21"/>
        </w:rPr>
        <w:t xml:space="preserve">L’analyse des 15 pages révèle une cohérence design system remarquable (tokens, typo, palette). Points d’attention :</w:t>
      </w:r>
    </w:p>
    <w:p>
      <w:pPr>
        <w:pStyle w:val="ListParagraph"/>
        <w:numPr>
          <w:ilvl w:val="0"/>
          <w:numId w:val="2"/>
        </w:numPr>
        <w:spacing w:after="80"/>
      </w:pPr>
      <w:r>
        <w:rPr>
          <w:rFonts w:ascii="Arial" w:cs="Arial" w:eastAsia="Arial" w:hAnsi="Arial"/>
          <w:color w:val="6B6560"/>
          <w:sz w:val="21"/>
          <w:szCs w:val="21"/>
        </w:rPr>
        <w:t xml:space="preserve">Les pages produit (cacao, vanille, mangue, fraise) utilisent un schéma narratif identique. Quand de nouvelles gammes arriveront, il faudra un template légèrement différencié par collection (couleur d’accent, layout alterné) pour éviter la lassitude cognitive.</w:t>
      </w:r>
    </w:p>
    <w:p>
      <w:pPr>
        <w:pStyle w:val="ListParagraph"/>
        <w:numPr>
          <w:ilvl w:val="0"/>
          <w:numId w:val="2"/>
        </w:numPr>
        <w:spacing w:after="80"/>
      </w:pPr>
      <w:r>
        <w:rPr>
          <w:rFonts w:ascii="Arial" w:cs="Arial" w:eastAsia="Arial" w:hAnsi="Arial"/>
          <w:color w:val="6B6560"/>
          <w:sz w:val="21"/>
          <w:szCs w:val="21"/>
        </w:rPr>
        <w:t xml:space="preserve">Les pages « Notre Histoire » et « L’Atelier » se chevauchent narrativement. Consolider en une seule page avec des ancres internes, et libérer un emplacement pour une future page « Nos Collections ».</w:t>
      </w:r>
    </w:p>
    <w:p>
      <w:pPr>
        <w:pStyle w:val="ListParagraph"/>
        <w:numPr>
          <w:ilvl w:val="0"/>
          <w:numId w:val="2"/>
        </w:numPr>
        <w:spacing w:after="80"/>
      </w:pPr>
      <w:r>
        <w:rPr>
          <w:rFonts w:ascii="Arial" w:cs="Arial" w:eastAsia="Arial" w:hAnsi="Arial"/>
          <w:color w:val="6B6560"/>
          <w:sz w:val="21"/>
          <w:szCs w:val="21"/>
        </w:rPr>
        <w:t xml:space="preserve">Le footer / menu mobile affiche « contact@lateliermirage.fr » tandis que le JSON-LD référence « contact@ateliermirage.fr » — incohérence à corriger.</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2. Audit UX &amp; Ergonomie Cognitive</w:t>
      </w:r>
    </w:p>
    <w:p>
      <w:pPr>
        <w:spacing w:after="120"/>
        <w:jc w:val="left"/>
      </w:pPr>
      <w:r>
        <w:rPr>
          <w:rFonts w:ascii="Arial" w:cs="Arial" w:eastAsia="Arial" w:hAnsi="Arial"/>
          <w:i/>
          <w:iCs/>
          <w:color w:val="6B6560"/>
          <w:sz w:val="21"/>
          <w:szCs w:val="21"/>
        </w:rPr>
        <w:t xml:space="preserve">Cadre d’analyse : </w:t>
      </w:r>
      <w:r>
        <w:rPr>
          <w:rFonts w:ascii="Arial" w:cs="Arial" w:eastAsia="Arial" w:hAnsi="Arial"/>
          <w:color w:val="6B6560"/>
          <w:sz w:val="21"/>
          <w:szCs w:val="21"/>
        </w:rPr>
        <w:t xml:space="preserve">Loi de Fitts, Loi de Jakob, Loi de Hick, charge cognitive, friction points du parcours B2B. Toutes les recommandations intègrent la scalabilité multi-collections.</w:t>
      </w:r>
    </w:p>
    <w:p>
      <w:pPr>
        <w:pStyle w:val="Heading2"/>
        <w:spacing w:after="160" w:before="280"/>
      </w:pPr>
      <w:r>
        <w:rPr>
          <w:rFonts w:ascii="Cormorant Garamond" w:cs="Cormorant Garamond" w:eastAsia="Cormorant Garamond" w:hAnsi="Cormorant Garamond"/>
          <w:b/>
          <w:bCs/>
          <w:color w:val="A8895C"/>
          <w:sz w:val="28"/>
          <w:szCs w:val="28"/>
        </w:rPr>
        <w:t xml:space="preserve">2.1 Parcours de Conversion B2B</w:t>
      </w:r>
    </w:p>
    <w:p>
      <w:pPr>
        <w:spacing w:after="120"/>
        <w:jc w:val="left"/>
      </w:pPr>
      <w:r>
        <w:rPr>
          <w:rFonts w:ascii="Arial" w:cs="Arial" w:eastAsia="Arial" w:hAnsi="Arial"/>
          <w:color w:val="6B6560"/>
          <w:sz w:val="21"/>
          <w:szCs w:val="21"/>
        </w:rPr>
        <w:t xml:space="preserve">Le tunnel principal est : Hero → Catalogue → Fiche produit → Page partenaires → Formulaire. Quatre frictions majeures identifiées.</w:t>
      </w:r>
    </w:p>
    <w:p>
      <w:pPr>
        <w:pStyle w:val="Heading3"/>
        <w:spacing w:after="120" w:before="200"/>
      </w:pPr>
      <w:r>
        <w:rPr>
          <w:rFonts w:ascii="Arial" w:cs="Arial" w:eastAsia="Arial" w:hAnsi="Arial"/>
          <w:b/>
          <w:bCs/>
          <w:color w:val="1A1714"/>
          <w:sz w:val="22"/>
          <w:szCs w:val="22"/>
        </w:rPr>
        <w:t xml:space="preserve">Friction #1 — Navigation burger-only sur desktop</w:t>
      </w:r>
    </w:p>
    <w:p>
      <w:pPr>
        <w:spacing w:after="120"/>
        <w:jc w:val="left"/>
      </w:pPr>
      <w:r>
        <w:rPr>
          <w:rFonts w:ascii="Arial" w:cs="Arial" w:eastAsia="Arial" w:hAnsi="Arial"/>
          <w:color w:val="6B6560"/>
          <w:sz w:val="21"/>
          <w:szCs w:val="21"/>
        </w:rPr>
        <w:t xml:space="preserve">La navigation burger-only (y compris desktop) est un choix audacieux mais risqué. La Loi de Jakob stipule que les utilisateurs passent la majorité de leur temps sur d’autres sites. Cacher la nav principale derrière un burger sur desktop augmente le coût d’interaction de +1 clic. Ce coût sera amplifié quand la gamme s’élargira : un restaurateur voudra accéder directement à « Trompe-l’œil » ou « Entremets » sans passer par un menu.</w:t>
      </w:r>
    </w:p>
    <w:p>
      <w:pPr>
        <w:pStyle w:val="ListParagraph"/>
        <w:numPr>
          <w:ilvl w:val="0"/>
          <w:numId w:val="2"/>
        </w:numPr>
        <w:spacing w:after="80"/>
      </w:pPr>
      <w:r>
        <w:rPr>
          <w:rFonts w:ascii="Arial" w:cs="Arial" w:eastAsia="Arial" w:hAnsi="Arial"/>
          <w:b/>
          <w:bCs/>
          <w:color w:val="1A1714"/>
          <w:sz w:val="21"/>
          <w:szCs w:val="21"/>
        </w:rPr>
        <w:t xml:space="preserve">Recommandation : </w:t>
      </w:r>
      <w:r>
        <w:rPr>
          <w:rFonts w:ascii="Arial" w:cs="Arial" w:eastAsia="Arial" w:hAnsi="Arial"/>
          <w:color w:val="6B6560"/>
          <w:sz w:val="21"/>
          <w:szCs w:val="21"/>
        </w:rPr>
        <w:t xml:space="preserve">Conserver le burger pour les pages secondaires, mais afficher 3 liens stratégiques sur desktop (« Nos Créations », « Résultats », « Espace Pro »). Quand le catalogue dépassera 2 collections, migrer vers un méga-menu par collection.</w:t>
      </w:r>
    </w:p>
    <w:p>
      <w:pPr>
        <w:pStyle w:val="ListParagraph"/>
        <w:numPr>
          <w:ilvl w:val="0"/>
          <w:numId w:val="2"/>
        </w:numPr>
        <w:spacing w:after="80"/>
      </w:pPr>
      <w:r>
        <w:rPr>
          <w:rFonts w:ascii="Arial" w:cs="Arial" w:eastAsia="Arial" w:hAnsi="Arial"/>
          <w:b/>
          <w:bCs/>
          <w:color w:val="1A1714"/>
          <w:sz w:val="21"/>
          <w:szCs w:val="21"/>
        </w:rPr>
        <w:t xml:space="preserve">Devis CTA : </w:t>
      </w:r>
      <w:r>
        <w:rPr>
          <w:rFonts w:ascii="Arial" w:cs="Arial" w:eastAsia="Arial" w:hAnsi="Arial"/>
          <w:color w:val="6B6560"/>
          <w:sz w:val="21"/>
          <w:szCs w:val="21"/>
        </w:rPr>
        <w:t xml:space="preserve">Augmenter à 1.9rem minimum. Tester un micro-label « Gratuit » en badge pour l’ancrage psychologique.</w:t>
      </w:r>
    </w:p>
    <w:p>
      <w:pPr>
        <w:pStyle w:val="Heading3"/>
        <w:spacing w:after="120" w:before="200"/>
      </w:pPr>
      <w:r>
        <w:rPr>
          <w:rFonts w:ascii="Arial" w:cs="Arial" w:eastAsia="Arial" w:hAnsi="Arial"/>
          <w:b/>
          <w:bCs/>
          <w:color w:val="1A1714"/>
          <w:sz w:val="22"/>
          <w:szCs w:val="22"/>
        </w:rPr>
        <w:t xml:space="preserve">Friction #2 — Catalogue mono-gamme sans structure</w:t>
      </w:r>
    </w:p>
    <w:p>
      <w:pPr>
        <w:spacing w:after="120"/>
        <w:jc w:val="left"/>
      </w:pPr>
      <w:r>
        <w:rPr>
          <w:rFonts w:ascii="Arial" w:cs="Arial" w:eastAsia="Arial" w:hAnsi="Arial"/>
          <w:color w:val="6B6560"/>
          <w:sz w:val="21"/>
          <w:szCs w:val="21"/>
        </w:rPr>
        <w:t xml:space="preserve">Le catalogue présente les 4 produits dans une grille statique sans hiérarchie. C’est acceptable aujourd’hui avec 4 références, mais l’architecture doit anticiper la diversification.</w:t>
      </w:r>
    </w:p>
    <w:p>
      <w:pPr>
        <w:pStyle w:val="ListParagraph"/>
        <w:numPr>
          <w:ilvl w:val="0"/>
          <w:numId w:val="2"/>
        </w:numPr>
        <w:spacing w:after="80"/>
      </w:pPr>
      <w:r>
        <w:rPr>
          <w:rFonts w:ascii="Arial" w:cs="Arial" w:eastAsia="Arial" w:hAnsi="Arial"/>
          <w:b/>
          <w:bCs/>
          <w:color w:val="1A1714"/>
          <w:sz w:val="21"/>
          <w:szCs w:val="21"/>
        </w:rPr>
        <w:t xml:space="preserve">Quick win immédiat : </w:t>
      </w:r>
      <w:r>
        <w:rPr>
          <w:rFonts w:ascii="Arial" w:cs="Arial" w:eastAsia="Arial" w:hAnsi="Arial"/>
          <w:color w:val="6B6560"/>
          <w:sz w:val="21"/>
          <w:szCs w:val="21"/>
        </w:rPr>
        <w:t xml:space="preserve">Ajouter un titre de collection « Collection Trompe-l’Œil » au-dessus de la grille, avec un sous-titre « Notre collection signature ». Même avec 4 produits, ça structure l’espace mental.</w:t>
      </w:r>
    </w:p>
    <w:p>
      <w:pPr>
        <w:pStyle w:val="ListParagraph"/>
        <w:numPr>
          <w:ilvl w:val="0"/>
          <w:numId w:val="2"/>
        </w:numPr>
        <w:spacing w:after="80"/>
      </w:pPr>
      <w:r>
        <w:rPr>
          <w:rFonts w:ascii="Arial" w:cs="Arial" w:eastAsia="Arial" w:hAnsi="Arial"/>
          <w:b/>
          <w:bCs/>
          <w:color w:val="1A1714"/>
          <w:sz w:val="21"/>
          <w:szCs w:val="21"/>
        </w:rPr>
        <w:t xml:space="preserve">Préparation future : </w:t>
      </w:r>
      <w:r>
        <w:rPr>
          <w:rFonts w:ascii="Arial" w:cs="Arial" w:eastAsia="Arial" w:hAnsi="Arial"/>
          <w:color w:val="6B6560"/>
          <w:sz w:val="21"/>
          <w:szCs w:val="21"/>
        </w:rPr>
        <w:t xml:space="preserve">Prévoir des tags visuels (« Signature », « Best-seller », « Nouveau », « Saison ») et un système de tabs/filtres par collection quand la gamme s’étoffera.</w:t>
      </w:r>
    </w:p>
    <w:p>
      <w:pPr>
        <w:pStyle w:val="Heading3"/>
        <w:spacing w:after="120" w:before="200"/>
      </w:pPr>
      <w:r>
        <w:rPr>
          <w:rFonts w:ascii="Arial" w:cs="Arial" w:eastAsia="Arial" w:hAnsi="Arial"/>
          <w:b/>
          <w:bCs/>
          <w:color w:val="1A1714"/>
          <w:sz w:val="22"/>
          <w:szCs w:val="22"/>
        </w:rPr>
        <w:t xml:space="preserve">Friction #3 — Formulaire enfoui</w:t>
      </w:r>
    </w:p>
    <w:p>
      <w:pPr>
        <w:spacing w:after="120"/>
        <w:jc w:val="left"/>
      </w:pPr>
      <w:r>
        <w:rPr>
          <w:rFonts w:ascii="Arial" w:cs="Arial" w:eastAsia="Arial" w:hAnsi="Arial"/>
          <w:color w:val="6B6560"/>
          <w:sz w:val="21"/>
          <w:szCs w:val="21"/>
        </w:rPr>
        <w:t xml:space="preserve">Le formulaire partenaires est situé après 4+ écrans de scroll. La charge cognitive accumulée risque une fatigue décisionnelle.</w:t>
      </w:r>
    </w:p>
    <w:p>
      <w:pPr>
        <w:pStyle w:val="ListParagraph"/>
        <w:numPr>
          <w:ilvl w:val="0"/>
          <w:numId w:val="2"/>
        </w:numPr>
        <w:spacing w:after="80"/>
      </w:pPr>
      <w:r>
        <w:rPr>
          <w:rFonts w:ascii="Arial" w:cs="Arial" w:eastAsia="Arial" w:hAnsi="Arial"/>
          <w:b/>
          <w:bCs/>
          <w:color w:val="1A1714"/>
          <w:sz w:val="21"/>
          <w:szCs w:val="21"/>
        </w:rPr>
        <w:t xml:space="preserve">Recommandation : </w:t>
      </w:r>
      <w:r>
        <w:rPr>
          <w:rFonts w:ascii="Arial" w:cs="Arial" w:eastAsia="Arial" w:hAnsi="Arial"/>
          <w:color w:val="6B6560"/>
          <w:sz w:val="21"/>
          <w:szCs w:val="21"/>
        </w:rPr>
        <w:t xml:space="preserve">Déployer le sticky CTA « Dégustation gratuite » également sur la page partenaires. Ajouter un accès direct via ancre #contact.</w:t>
      </w:r>
    </w:p>
    <w:p>
      <w:pPr>
        <w:pStyle w:val="Heading3"/>
        <w:spacing w:after="120" w:before="200"/>
      </w:pPr>
      <w:r>
        <w:rPr>
          <w:rFonts w:ascii="Arial" w:cs="Arial" w:eastAsia="Arial" w:hAnsi="Arial"/>
          <w:b/>
          <w:bCs/>
          <w:color w:val="1A1714"/>
          <w:sz w:val="22"/>
          <w:szCs w:val="22"/>
        </w:rPr>
        <w:t xml:space="preserve">Friction #4 — Chatbot sans contexte</w:t>
      </w:r>
    </w:p>
    <w:p>
      <w:pPr>
        <w:spacing w:after="120"/>
        <w:jc w:val="left"/>
      </w:pPr>
      <w:r>
        <w:rPr>
          <w:rFonts w:ascii="Arial" w:cs="Arial" w:eastAsia="Arial" w:hAnsi="Arial"/>
          <w:color w:val="6B6560"/>
          <w:sz w:val="21"/>
          <w:szCs w:val="21"/>
        </w:rPr>
        <w:t xml:space="preserve">Le chatbot FAQ répond aux questions prédéfinies avec pertinence, mais ignore le contexte de navigation (quelle page produit, quel scroll depth). Quand plusieurs collections coexisteront, le chatbot devra adapter ses réponses à la collection consultée.</w:t>
      </w:r>
    </w:p>
    <w:p>
      <w:pPr>
        <w:pStyle w:val="ListParagraph"/>
        <w:numPr>
          <w:ilvl w:val="0"/>
          <w:numId w:val="2"/>
        </w:numPr>
        <w:spacing w:after="80"/>
      </w:pPr>
      <w:r>
        <w:rPr>
          <w:rFonts w:ascii="Arial" w:cs="Arial" w:eastAsia="Arial" w:hAnsi="Arial"/>
          <w:b/>
          <w:bCs/>
          <w:color w:val="1A1714"/>
          <w:sz w:val="21"/>
          <w:szCs w:val="21"/>
        </w:rPr>
        <w:t xml:space="preserve">Vision : </w:t>
      </w:r>
      <w:r>
        <w:rPr>
          <w:rFonts w:ascii="Arial" w:cs="Arial" w:eastAsia="Arial" w:hAnsi="Arial"/>
          <w:color w:val="6B6560"/>
          <w:sz w:val="21"/>
          <w:szCs w:val="21"/>
        </w:rPr>
        <w:t xml:space="preserve">Event listener qui alimente le chatbot avec le dernier produit vu + la collection. « Vous regardiez le Cacao de notre collection Trompe-l’Œil — voulez-vous connaître les délais ? »</w:t>
      </w:r>
    </w:p>
    <w:p>
      <w:pPr>
        <w:pStyle w:val="Heading2"/>
        <w:spacing w:after="160" w:before="280"/>
      </w:pPr>
      <w:r>
        <w:rPr>
          <w:rFonts w:ascii="Cormorant Garamond" w:cs="Cormorant Garamond" w:eastAsia="Cormorant Garamond" w:hAnsi="Cormorant Garamond"/>
          <w:b/>
          <w:bCs/>
          <w:color w:val="A8895C"/>
          <w:sz w:val="28"/>
          <w:szCs w:val="28"/>
        </w:rPr>
        <w:t xml:space="preserve">2.2 Architecture de l’Information</w:t>
      </w:r>
    </w:p>
    <w:p>
      <w:pPr>
        <w:spacing w:after="120"/>
        <w:jc w:val="left"/>
      </w:pPr>
      <w:r>
        <w:rPr>
          <w:rFonts w:ascii="Arial" w:cs="Arial" w:eastAsia="Arial" w:hAnsi="Arial"/>
          <w:color w:val="6B6560"/>
          <w:sz w:val="21"/>
          <w:szCs w:val="21"/>
        </w:rPr>
        <w:t xml:space="preserve">L’arborescence actuelle (15 pages, structure plate) est correcte pour un site vitrine mono-gamme. Mais elle ne survivra pas à la diversification sans restructuration.</w:t>
      </w:r>
    </w:p>
    <w:p>
      <w:pPr>
        <w:pStyle w:val="ListParagraph"/>
        <w:numPr>
          <w:ilvl w:val="0"/>
          <w:numId w:val="2"/>
        </w:numPr>
        <w:spacing w:after="80"/>
      </w:pPr>
      <w:r>
        <w:rPr>
          <w:rFonts w:ascii="Arial" w:cs="Arial" w:eastAsia="Arial" w:hAnsi="Arial"/>
          <w:color w:val="6B6560"/>
          <w:sz w:val="21"/>
          <w:szCs w:val="21"/>
        </w:rPr>
        <w:t xml:space="preserve">Recommandation : prévoir une arborescence à 2 niveaux — /collections/trompe-loeil/, /collections/entremets/, etc. Chaque collection aura ses propres fiches produit, mais partagera les pages transversales (Partenaires, Événements, L’Atelier).</w:t>
      </w:r>
    </w:p>
    <w:p>
      <w:pPr>
        <w:pStyle w:val="ListParagraph"/>
        <w:numPr>
          <w:ilvl w:val="0"/>
          <w:numId w:val="2"/>
        </w:numPr>
        <w:spacing w:after="80"/>
      </w:pPr>
      <w:r>
        <w:rPr>
          <w:rFonts w:ascii="Arial" w:cs="Arial" w:eastAsia="Arial" w:hAnsi="Arial"/>
          <w:color w:val="6B6560"/>
          <w:sz w:val="21"/>
          <w:szCs w:val="21"/>
        </w:rPr>
        <w:t xml:space="preserve">La page « Case Studies » (« Résultats ») est un point de conversion critique pour les décideurs B2B. La remonter dans la nav avant « Événements ».</w:t>
      </w:r>
    </w:p>
    <w:p>
      <w:pPr>
        <w:pStyle w:val="ListParagraph"/>
        <w:numPr>
          <w:ilvl w:val="0"/>
          <w:numId w:val="2"/>
        </w:numPr>
        <w:spacing w:after="80"/>
      </w:pPr>
      <w:r>
        <w:rPr>
          <w:rFonts w:ascii="Arial" w:cs="Arial" w:eastAsia="Arial" w:hAnsi="Arial"/>
          <w:color w:val="6B6560"/>
          <w:sz w:val="21"/>
          <w:szCs w:val="21"/>
        </w:rPr>
        <w:t xml:space="preserve">Créer une page FAQ dédiée. Le contenu FAQ est dispersé entre chatbot, JSON-LD et page partenaires. Centraliser améliore le SEO et réduit la charge de support.</w:t>
      </w:r>
    </w:p>
    <w:p>
      <w:pPr>
        <w:pStyle w:val="Heading2"/>
        <w:spacing w:after="160" w:before="280"/>
      </w:pPr>
      <w:r>
        <w:rPr>
          <w:rFonts w:ascii="Cormorant Garamond" w:cs="Cormorant Garamond" w:eastAsia="Cormorant Garamond" w:hAnsi="Cormorant Garamond"/>
          <w:b/>
          <w:bCs/>
          <w:color w:val="A8895C"/>
          <w:sz w:val="28"/>
          <w:szCs w:val="28"/>
        </w:rPr>
        <w:t xml:space="preserve">2.3 Performance &amp; Accessibilité</w:t>
      </w:r>
    </w:p>
    <w:p>
      <w:pPr>
        <w:pStyle w:val="ListParagraph"/>
        <w:numPr>
          <w:ilvl w:val="0"/>
          <w:numId w:val="2"/>
        </w:numPr>
        <w:spacing w:after="80"/>
      </w:pPr>
      <w:r>
        <w:rPr>
          <w:rFonts w:ascii="Arial" w:cs="Arial" w:eastAsia="Arial" w:hAnsi="Arial"/>
          <w:color w:val="6B6560"/>
          <w:sz w:val="21"/>
          <w:szCs w:val="21"/>
        </w:rPr>
        <w:t xml:space="preserve">Skip-to-content, aria-labels, noscript fallback : tout est correctement implémenté — progressive enhancement exemplaire.</w:t>
      </w:r>
    </w:p>
    <w:p>
      <w:pPr>
        <w:pStyle w:val="ListParagraph"/>
        <w:numPr>
          <w:ilvl w:val="0"/>
          <w:numId w:val="2"/>
        </w:numPr>
        <w:spacing w:after="80"/>
      </w:pPr>
      <w:r>
        <w:rPr>
          <w:rFonts w:ascii="Arial" w:cs="Arial" w:eastAsia="Arial" w:hAnsi="Arial"/>
          <w:color w:val="6B6560"/>
          <w:sz w:val="21"/>
          <w:szCs w:val="21"/>
        </w:rPr>
        <w:t xml:space="preserve">Preload hero en WebP, format optimisé — bon LCP.</w:t>
      </w:r>
    </w:p>
    <w:p>
      <w:pPr>
        <w:pStyle w:val="ListParagraph"/>
        <w:numPr>
          <w:ilvl w:val="0"/>
          <w:numId w:val="2"/>
        </w:numPr>
        <w:spacing w:after="80"/>
      </w:pPr>
      <w:r>
        <w:rPr>
          <w:rFonts w:ascii="Arial" w:cs="Arial" w:eastAsia="Arial" w:hAnsi="Arial"/>
          <w:b/>
          <w:bCs/>
          <w:color w:val="1A1714"/>
          <w:sz w:val="21"/>
          <w:szCs w:val="21"/>
        </w:rPr>
        <w:t xml:space="preserve">Point d’attention : </w:t>
      </w:r>
      <w:r>
        <w:rPr>
          <w:rFonts w:ascii="Arial" w:cs="Arial" w:eastAsia="Arial" w:hAnsi="Arial"/>
          <w:color w:val="6B6560"/>
          <w:sz w:val="21"/>
          <w:szCs w:val="21"/>
        </w:rPr>
        <w:t xml:space="preserve">styles.css (~100KB non minifié) + homepage.css + produit.css (~40KB). Le Critical CSS n’est pas extrait. Recommandation : extraire le CSS above-the-fold en inline et différer le reste. Quand les pages de collection s’ajouteront, le budget CSS explosera sans cette optimisation.</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3. Audit UI &amp; Direction Artistique</w:t>
      </w:r>
    </w:p>
    <w:p>
      <w:pPr>
        <w:spacing w:after="120"/>
        <w:jc w:val="left"/>
      </w:pPr>
      <w:r>
        <w:rPr>
          <w:rFonts w:ascii="Arial" w:cs="Arial" w:eastAsia="Arial" w:hAnsi="Arial"/>
          <w:i/>
          <w:iCs/>
          <w:color w:val="6B6560"/>
          <w:sz w:val="21"/>
          <w:szCs w:val="21"/>
        </w:rPr>
        <w:t xml:space="preserve">Cadre : </w:t>
      </w:r>
      <w:r>
        <w:rPr>
          <w:rFonts w:ascii="Arial" w:cs="Arial" w:eastAsia="Arial" w:hAnsi="Arial"/>
          <w:color w:val="6B6560"/>
          <w:sz w:val="21"/>
          <w:szCs w:val="21"/>
        </w:rPr>
        <w:t xml:space="preserve">Hiérarchie visuelle, design tokens, negative space, typographie, palette chromatique.</w:t>
      </w:r>
    </w:p>
    <w:p>
      <w:pPr>
        <w:pStyle w:val="Heading2"/>
        <w:spacing w:after="160" w:before="280"/>
      </w:pPr>
      <w:r>
        <w:rPr>
          <w:rFonts w:ascii="Cormorant Garamond" w:cs="Cormorant Garamond" w:eastAsia="Cormorant Garamond" w:hAnsi="Cormorant Garamond"/>
          <w:b/>
          <w:bCs/>
          <w:color w:val="A8895C"/>
          <w:sz w:val="28"/>
          <w:szCs w:val="28"/>
        </w:rPr>
        <w:t xml:space="preserve">3.1 Système de Design Tokens</w:t>
      </w:r>
    </w:p>
    <w:p>
      <w:pPr>
        <w:spacing w:after="120"/>
        <w:jc w:val="left"/>
      </w:pPr>
      <w:r>
        <w:rPr>
          <w:rFonts w:ascii="Arial" w:cs="Arial" w:eastAsia="Arial" w:hAnsi="Arial"/>
          <w:color w:val="6B6560"/>
          <w:sz w:val="21"/>
          <w:szCs w:val="21"/>
        </w:rPr>
        <w:t xml:space="preserve">Le design system est remarquablement structuré pour un site artisanal. L’avantage clé pour la diversification : tout est tokennisé, donc une nouvelle collection peut hériter du système global tout en ayant sa propre couleur d’accent.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Catégorie</w:t>
            </w:r>
          </w:p>
        </w:tc>
        <w:tc>
          <w:tcPr>
            <w:tcW w:type="dxa" w:w="24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Token</w:t>
            </w:r>
          </w:p>
        </w:tc>
        <w:tc>
          <w:tcPr>
            <w:tcW w:type="dxa" w:w="456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Analyse &amp; Scalabilité</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Couleurs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8 tokens + 4 gradients</w:t>
            </w:r>
          </w:p>
        </w:tc>
        <w:tc>
          <w:tcPr>
            <w:tcW w:type="dxa" w:w="4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Palette warm-neutral. Le gold unique convient au luxe. Prévoir un token d’accent secondaire par collection future (ex: rose pour entremets, vert pour saison).</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Typographie</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 familles</w:t>
            </w:r>
          </w:p>
        </w:tc>
        <w:tc>
          <w:tcPr>
            <w:tcW w:type="dxa" w:w="4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Cormorant + Outfit + JetBrains Mono : trio scalable. Le serif porte l’identité maison, le sans les infos pratiques. Conserve sa cohérence quelle que soit la gamme.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Spacing</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8 niveaux (8px base)</w:t>
            </w:r>
          </w:p>
        </w:tc>
        <w:tc>
          <w:tcPr>
            <w:tcW w:type="dxa" w:w="4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Système complet, scale harmonieuse. Prêt pour des pages de collection plus denses.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Shadows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6 élévations + gold</w:t>
            </w:r>
          </w:p>
        </w:tc>
        <w:tc>
          <w:tcPr>
            <w:tcW w:type="dxa" w:w="4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Le shadow-gold différencie les CTA. Potentiel : un shadow par collection (shadow-rose, shadow-vert).</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Motion</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5 courbes cubic-bezier</w:t>
            </w:r>
          </w:p>
        </w:tc>
        <w:tc>
          <w:tcPr>
            <w:tcW w:type="dxa" w:w="4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ease-spring pour micro-interactions, ease-expo pour transitions lourdes. Universel.</w:t>
            </w:r>
          </w:p>
        </w:tc>
      </w:tr>
    </w:tbl>
    <w:p>
      <w:pPr>
        <w:spacing w:after="0" w:before="120"/>
      </w:pPr>
    </w:p>
    <w:p>
      <w:pPr>
        <w:pStyle w:val="Heading2"/>
        <w:spacing w:after="160" w:before="280"/>
      </w:pPr>
      <w:r>
        <w:rPr>
          <w:rFonts w:ascii="Cormorant Garamond" w:cs="Cormorant Garamond" w:eastAsia="Cormorant Garamond" w:hAnsi="Cormorant Garamond"/>
          <w:b/>
          <w:bCs/>
          <w:color w:val="A8895C"/>
          <w:sz w:val="28"/>
          <w:szCs w:val="28"/>
        </w:rPr>
        <w:t xml:space="preserve">3.2 Typographie &amp; Hiérarchie</w:t>
      </w:r>
    </w:p>
    <w:p>
      <w:pPr>
        <w:spacing w:after="120"/>
        <w:jc w:val="left"/>
      </w:pPr>
      <w:r>
        <w:rPr>
          <w:rFonts w:ascii="Arial" w:cs="Arial" w:eastAsia="Arial" w:hAnsi="Arial"/>
          <w:color w:val="6B6560"/>
          <w:sz w:val="21"/>
          <w:szCs w:val="21"/>
        </w:rPr>
        <w:t xml:space="preserve">Le couple Cormorant Garamond / Outfit est un choix de direction artistique affirmé. L’élégance calligraphique du Cormorant porte l’identité « maison » ; l’Outfit apporte la lisibilité moderne. Ce duo fonctionnera aussi bien pour des entremets que pour des trompe-l’œil.</w:t>
      </w:r>
    </w:p>
    <w:p>
      <w:pPr>
        <w:pStyle w:val="Heading3"/>
        <w:spacing w:after="120" w:before="200"/>
      </w:pPr>
      <w:r>
        <w:rPr>
          <w:rFonts w:ascii="Arial" w:cs="Arial" w:eastAsia="Arial" w:hAnsi="Arial"/>
          <w:b/>
          <w:bCs/>
          <w:color w:val="1A1714"/>
          <w:sz w:val="22"/>
          <w:szCs w:val="22"/>
        </w:rPr>
        <w:t xml:space="preserve">Points forts</w:t>
      </w:r>
    </w:p>
    <w:p>
      <w:pPr>
        <w:pStyle w:val="ListParagraph"/>
        <w:numPr>
          <w:ilvl w:val="0"/>
          <w:numId w:val="2"/>
        </w:numPr>
        <w:spacing w:after="80"/>
      </w:pPr>
      <w:r>
        <w:rPr>
          <w:rFonts w:ascii="Arial" w:cs="Arial" w:eastAsia="Arial" w:hAnsi="Arial"/>
          <w:color w:val="6B6560"/>
          <w:sz w:val="21"/>
          <w:szCs w:val="21"/>
        </w:rPr>
        <w:t xml:space="preserve">Le contraste sérif/sans crée une tension visuelle qui reflète l’ADN de la marque : classicisme apparent, surprise intérieure. Ce positionnement dépasse le trompe-l’œil et s’applique à toute haute pâtisserie innovante.</w:t>
      </w:r>
    </w:p>
    <w:p>
      <w:pPr>
        <w:pStyle w:val="ListParagraph"/>
        <w:numPr>
          <w:ilvl w:val="0"/>
          <w:numId w:val="2"/>
        </w:numPr>
        <w:spacing w:after="80"/>
      </w:pPr>
      <w:r>
        <w:rPr>
          <w:rFonts w:ascii="Arial" w:cs="Arial" w:eastAsia="Arial" w:hAnsi="Arial"/>
          <w:color w:val="6B6560"/>
          <w:sz w:val="21"/>
          <w:szCs w:val="21"/>
        </w:rPr>
        <w:t xml:space="preserve">L’italique Cormorant sur les mots-clés crée des points d’ancrage visuels (effet Von Restorff) sans recourir à la couleur.</w:t>
      </w:r>
    </w:p>
    <w:p>
      <w:pPr>
        <w:pStyle w:val="ListParagraph"/>
        <w:numPr>
          <w:ilvl w:val="0"/>
          <w:numId w:val="2"/>
        </w:numPr>
        <w:spacing w:after="80"/>
      </w:pPr>
      <w:r>
        <w:rPr>
          <w:rFonts w:ascii="Arial" w:cs="Arial" w:eastAsia="Arial" w:hAnsi="Arial"/>
          <w:color w:val="6B6560"/>
          <w:sz w:val="21"/>
          <w:szCs w:val="21"/>
        </w:rPr>
        <w:t xml:space="preserve">La scale typographique avec clamp() assure une responsivité fluide.</w:t>
      </w:r>
    </w:p>
    <w:p>
      <w:pPr>
        <w:pStyle w:val="Heading3"/>
        <w:spacing w:after="120" w:before="200"/>
      </w:pPr>
      <w:r>
        <w:rPr>
          <w:rFonts w:ascii="Arial" w:cs="Arial" w:eastAsia="Arial" w:hAnsi="Arial"/>
          <w:b/>
          <w:bCs/>
          <w:color w:val="1A1714"/>
          <w:sz w:val="22"/>
          <w:szCs w:val="22"/>
        </w:rPr>
        <w:t xml:space="preserve">Points d’amélioration</w:t>
      </w:r>
    </w:p>
    <w:p>
      <w:pPr>
        <w:pStyle w:val="ListParagraph"/>
        <w:numPr>
          <w:ilvl w:val="0"/>
          <w:numId w:val="2"/>
        </w:numPr>
        <w:spacing w:after="80"/>
      </w:pPr>
      <w:r>
        <w:rPr>
          <w:rFonts w:ascii="Arial" w:cs="Arial" w:eastAsia="Arial" w:hAnsi="Arial"/>
          <w:color w:val="6B6560"/>
          <w:sz w:val="21"/>
          <w:szCs w:val="21"/>
        </w:rPr>
        <w:t xml:space="preserve">Le JetBrains Mono pour les prix évoque le terminal plus que le luxe. Considérer les Tabular Lining Figures d’Outfit (chiffres monoespacés sans connotation tech).</w:t>
      </w:r>
    </w:p>
    <w:p>
      <w:pPr>
        <w:pStyle w:val="ListParagraph"/>
        <w:numPr>
          <w:ilvl w:val="0"/>
          <w:numId w:val="2"/>
        </w:numPr>
        <w:spacing w:after="80"/>
      </w:pPr>
      <w:r>
        <w:rPr>
          <w:rFonts w:ascii="Arial" w:cs="Arial" w:eastAsia="Arial" w:hAnsi="Arial"/>
          <w:color w:val="6B6560"/>
          <w:sz w:val="21"/>
          <w:szCs w:val="21"/>
        </w:rPr>
        <w:t xml:space="preserve">Le hero H1 pourrait bénéficier d’un letter-spacing négatif de -0.02em pour renforcer la densité visuelle du luxe.</w:t>
      </w:r>
    </w:p>
    <w:p>
      <w:pPr>
        <w:pStyle w:val="ListParagraph"/>
        <w:numPr>
          <w:ilvl w:val="0"/>
          <w:numId w:val="2"/>
        </w:numPr>
        <w:spacing w:after="80"/>
      </w:pPr>
      <w:r>
        <w:rPr>
          <w:rFonts w:ascii="Arial" w:cs="Arial" w:eastAsia="Arial" w:hAnsi="Arial"/>
          <w:color w:val="6B6560"/>
          <w:sz w:val="21"/>
          <w:szCs w:val="21"/>
        </w:rPr>
        <w:t xml:space="preserve">Les section-eyebrow en uppercase Outfit 0.75rem sont un peu ternes. Un filet doré (—) avant le texte renforcerait le pattern luxe.</w:t>
      </w:r>
    </w:p>
    <w:p>
      <w:pPr>
        <w:pStyle w:val="Heading2"/>
        <w:spacing w:after="160" w:before="280"/>
      </w:pPr>
      <w:r>
        <w:rPr>
          <w:rFonts w:ascii="Cormorant Garamond" w:cs="Cormorant Garamond" w:eastAsia="Cormorant Garamond" w:hAnsi="Cormorant Garamond"/>
          <w:b/>
          <w:bCs/>
          <w:color w:val="A8895C"/>
          <w:sz w:val="28"/>
          <w:szCs w:val="28"/>
        </w:rPr>
        <w:t xml:space="preserve">3.3 Negative Space &amp; Rythme Vertical</w:t>
      </w:r>
    </w:p>
    <w:p>
      <w:pPr>
        <w:spacing w:after="120"/>
        <w:jc w:val="left"/>
      </w:pPr>
      <w:r>
        <w:rPr>
          <w:rFonts w:ascii="Arial" w:cs="Arial" w:eastAsia="Arial" w:hAnsi="Arial"/>
          <w:color w:val="6B6560"/>
          <w:sz w:val="21"/>
          <w:szCs w:val="21"/>
        </w:rPr>
        <w:t xml:space="preserve">Le white space est généreux, conforme aux codes du luxe. L’alternance sections claires/sombres (cream/ink) crée un rythme ABAB qui maintient l’attention.</w:t>
      </w:r>
    </w:p>
    <w:p>
      <w:pPr>
        <w:pStyle w:val="ListParagraph"/>
        <w:numPr>
          <w:ilvl w:val="0"/>
          <w:numId w:val="2"/>
        </w:numPr>
        <w:spacing w:after="80"/>
      </w:pPr>
      <w:r>
        <w:rPr>
          <w:rFonts w:ascii="Arial" w:cs="Arial" w:eastAsia="Arial" w:hAnsi="Arial"/>
          <w:color w:val="6B6560"/>
          <w:sz w:val="21"/>
          <w:szCs w:val="21"/>
        </w:rPr>
        <w:t xml:space="preserve">La section KPI Bar est dense et impactante. Le padding vertical pourrait augmenter de 20% pour laisser respirer les chiffres.</w:t>
      </w:r>
    </w:p>
    <w:p>
      <w:pPr>
        <w:pStyle w:val="ListParagraph"/>
        <w:numPr>
          <w:ilvl w:val="0"/>
          <w:numId w:val="2"/>
        </w:numPr>
        <w:spacing w:after="80"/>
      </w:pPr>
      <w:r>
        <w:rPr>
          <w:rFonts w:ascii="Arial" w:cs="Arial" w:eastAsia="Arial" w:hAnsi="Arial"/>
          <w:color w:val="6B6560"/>
          <w:sz w:val="21"/>
          <w:szCs w:val="21"/>
        </w:rPr>
        <w:t xml:space="preserve">La section engagements (parallax, fond 52% / position 65%) est bien calibrée. L’overlay radial-gradient assure la lisibilité du texte.</w:t>
      </w:r>
    </w:p>
    <w:p>
      <w:pPr>
        <w:pStyle w:val="ListParagraph"/>
        <w:numPr>
          <w:ilvl w:val="0"/>
          <w:numId w:val="2"/>
        </w:numPr>
        <w:spacing w:after="80"/>
      </w:pPr>
      <w:r>
        <w:rPr>
          <w:rFonts w:ascii="Arial" w:cs="Arial" w:eastAsia="Arial" w:hAnsi="Arial"/>
          <w:color w:val="6B6560"/>
          <w:sz w:val="21"/>
          <w:szCs w:val="21"/>
        </w:rPr>
        <w:t xml:space="preserve">Les product cards avec hover translate(-4px) + shadow-lg sont discrètes et élégantes.</w:t>
      </w:r>
    </w:p>
    <w:p>
      <w:pPr>
        <w:pStyle w:val="Heading2"/>
        <w:spacing w:after="160" w:before="280"/>
      </w:pPr>
      <w:r>
        <w:rPr>
          <w:rFonts w:ascii="Cormorant Garamond" w:cs="Cormorant Garamond" w:eastAsia="Cormorant Garamond" w:hAnsi="Cormorant Garamond"/>
          <w:b/>
          <w:bCs/>
          <w:color w:val="A8895C"/>
          <w:sz w:val="28"/>
          <w:szCs w:val="28"/>
        </w:rPr>
        <w:t xml:space="preserve">3.4 Palette Chromatique</w:t>
      </w:r>
    </w:p>
    <w:p>
      <w:pPr>
        <w:spacing w:after="120"/>
        <w:jc w:val="left"/>
      </w:pPr>
      <w:r>
        <w:rPr>
          <w:rFonts w:ascii="Arial" w:cs="Arial" w:eastAsia="Arial" w:hAnsi="Arial"/>
          <w:color w:val="6B6560"/>
          <w:sz w:val="21"/>
          <w:szCs w:val="21"/>
        </w:rPr>
        <w:t xml:space="preserve">La palette cream/ink/gold est impécable pour le luxe alimentaire. Ratio ink/cream : ~15:1 (WCAG AAA). Gold/cream : ~3.5:1 (acceptable pour headings ≥18pt, insuffisant pour texte courant).</w:t>
      </w:r>
    </w:p>
    <w:p>
      <w:pPr>
        <w:pStyle w:val="ListParagraph"/>
        <w:numPr>
          <w:ilvl w:val="0"/>
          <w:numId w:val="2"/>
        </w:numPr>
        <w:spacing w:after="80"/>
      </w:pPr>
      <w:r>
        <w:rPr>
          <w:rFonts w:ascii="Arial" w:cs="Arial" w:eastAsia="Arial" w:hAnsi="Arial"/>
          <w:b/>
          <w:bCs/>
          <w:color w:val="1A1714"/>
          <w:sz w:val="21"/>
          <w:szCs w:val="21"/>
        </w:rPr>
        <w:t xml:space="preserve">Recommandation : </w:t>
      </w:r>
      <w:r>
        <w:rPr>
          <w:rFonts w:ascii="Arial" w:cs="Arial" w:eastAsia="Arial" w:hAnsi="Arial"/>
          <w:color w:val="6B6560"/>
          <w:sz w:val="21"/>
          <w:szCs w:val="21"/>
        </w:rPr>
        <w:t xml:space="preserve">Pour le texte gold &lt;18pt, utiliser un gold-dark (~#8A6F45) pour atteindre le ratio WCAG AA 4.5:1.</w:t>
      </w:r>
    </w:p>
    <w:p>
      <w:pPr>
        <w:pStyle w:val="ListParagraph"/>
        <w:numPr>
          <w:ilvl w:val="0"/>
          <w:numId w:val="2"/>
        </w:numPr>
        <w:spacing w:after="80"/>
      </w:pPr>
      <w:r>
        <w:rPr>
          <w:rFonts w:ascii="Arial" w:cs="Arial" w:eastAsia="Arial" w:hAnsi="Arial"/>
          <w:b/>
          <w:bCs/>
          <w:color w:val="1A1714"/>
          <w:sz w:val="21"/>
          <w:szCs w:val="21"/>
        </w:rPr>
        <w:t xml:space="preserve">Vision multi-collection : </w:t>
      </w:r>
      <w:r>
        <w:rPr>
          <w:rFonts w:ascii="Arial" w:cs="Arial" w:eastAsia="Arial" w:hAnsi="Arial"/>
          <w:color w:val="6B6560"/>
          <w:sz w:val="21"/>
          <w:szCs w:val="21"/>
        </w:rPr>
        <w:t xml:space="preserve">Définir dès maintenant une palette d’accents par collection : gold (trompe-l’œil = signature), rose (#C47D7D pour entremets), vert sauge (#7D9B76 pour saisonnier). Ces accents coloreront les tags, les séparateurs de section et les gradients de fond de chaque collection.</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4. Audit Psychologique &amp; Leviers de Persuasion CRO</w:t>
      </w:r>
    </w:p>
    <w:p>
      <w:pPr>
        <w:spacing w:after="120"/>
        <w:jc w:val="left"/>
      </w:pPr>
      <w:r>
        <w:rPr>
          <w:rFonts w:ascii="Arial" w:cs="Arial" w:eastAsia="Arial" w:hAnsi="Arial"/>
          <w:i/>
          <w:iCs/>
          <w:color w:val="6B6560"/>
          <w:sz w:val="21"/>
          <w:szCs w:val="21"/>
        </w:rPr>
        <w:t xml:space="preserve">Cadre : </w:t>
      </w:r>
      <w:r>
        <w:rPr>
          <w:rFonts w:ascii="Arial" w:cs="Arial" w:eastAsia="Arial" w:hAnsi="Arial"/>
          <w:color w:val="6B6560"/>
          <w:sz w:val="21"/>
          <w:szCs w:val="21"/>
        </w:rPr>
        <w:t xml:space="preserve">Réassurance B2B, social proof, Price Anchoring, scarcity, réciprocité, engagement progressif.</w:t>
      </w:r>
    </w:p>
    <w:p>
      <w:pPr>
        <w:pStyle w:val="Heading2"/>
        <w:spacing w:after="160" w:before="280"/>
      </w:pPr>
      <w:r>
        <w:rPr>
          <w:rFonts w:ascii="Cormorant Garamond" w:cs="Cormorant Garamond" w:eastAsia="Cormorant Garamond" w:hAnsi="Cormorant Garamond"/>
          <w:b/>
          <w:bCs/>
          <w:color w:val="A8895C"/>
          <w:sz w:val="28"/>
          <w:szCs w:val="28"/>
        </w:rPr>
        <w:t xml:space="preserve">4.1 Architecture de Réassurance</w:t>
      </w:r>
    </w:p>
    <w:p>
      <w:pPr>
        <w:spacing w:after="120"/>
        <w:jc w:val="left"/>
      </w:pPr>
      <w:r>
        <w:rPr>
          <w:rFonts w:ascii="Arial" w:cs="Arial" w:eastAsia="Arial" w:hAnsi="Arial"/>
          <w:color w:val="6B6560"/>
          <w:sz w:val="21"/>
          <w:szCs w:val="21"/>
        </w:rPr>
        <w:t xml:space="preserve">Le dispositif de réassurance est multi-couches et remarquable pour un site artisanal. L’avantage : tous les arguments (« 0 chef requis », « paiement après vente », « dégustation gratuite ») sont indépendants du type de produit. Ils survivront à la diversification sans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Couche</w:t>
            </w:r>
          </w:p>
        </w:tc>
        <w:tc>
          <w:tcPr>
            <w:tcW w:type="dxa" w:w="30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Implémentation</w:t>
            </w:r>
          </w:p>
        </w:tc>
        <w:tc>
          <w:tcPr>
            <w:tcW w:type="dxa" w:w="356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Efficacité &amp; Scalabilité</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Hero reassurance</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Réponse 24h · Dégustation gratuite · Paiement après vente</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 Arguments universels, valides pour toute gamme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KPI Bar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On vient pour ça » + 15+ partenaires + 0 chef</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 Le verbatim est puissant. À adapter quand la gamme change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Témoignages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Cards avec nom + établissement + verbatim</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 Manque photos établissements et métriques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Sticky CTA Bar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Dégustation gratuite + 3 micro-reassurances</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 Excellente persistance au scroll</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FAQ / Chatbot</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8 questions prédéfinies</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 Couvre les objections. Manque personnalisation</w:t>
            </w:r>
          </w:p>
        </w:tc>
      </w:tr>
    </w:tbl>
    <w:p>
      <w:pPr>
        <w:spacing w:after="0" w:before="120"/>
      </w:pPr>
    </w:p>
    <w:p>
      <w:pPr>
        <w:pStyle w:val="Heading2"/>
        <w:spacing w:after="160" w:before="280"/>
      </w:pPr>
      <w:r>
        <w:rPr>
          <w:rFonts w:ascii="Cormorant Garamond" w:cs="Cormorant Garamond" w:eastAsia="Cormorant Garamond" w:hAnsi="Cormorant Garamond"/>
          <w:b/>
          <w:bCs/>
          <w:color w:val="A8895C"/>
          <w:sz w:val="28"/>
          <w:szCs w:val="28"/>
        </w:rPr>
        <w:t xml:space="preserve">4.2 Price Anchoring &amp; Modèle Tarifaire</w:t>
      </w:r>
    </w:p>
    <w:p>
      <w:pPr>
        <w:spacing w:after="120"/>
        <w:jc w:val="left"/>
      </w:pPr>
      <w:r>
        <w:rPr>
          <w:rFonts w:ascii="Arial" w:cs="Arial" w:eastAsia="Arial" w:hAnsi="Arial"/>
          <w:color w:val="6B6560"/>
          <w:sz w:val="21"/>
          <w:szCs w:val="21"/>
        </w:rPr>
        <w:t xml:space="preserve">Le pricing est le point névralgique. L’analyse révèle un ancrage sous-exploité. Le modèle « 5€/pièce, paiement après vente » est un atout considérable. Quand de nouvelles gammes arriveront (peut-être à d’autres prix), la grille tarifaire devra rester lisible.</w:t>
      </w:r>
    </w:p>
    <w:p>
      <w:pPr>
        <w:pStyle w:val="Heading3"/>
        <w:spacing w:after="120" w:before="200"/>
      </w:pPr>
      <w:r>
        <w:rPr>
          <w:rFonts w:ascii="Arial" w:cs="Arial" w:eastAsia="Arial" w:hAnsi="Arial"/>
          <w:b/>
          <w:bCs/>
          <w:color w:val="1A1714"/>
          <w:sz w:val="22"/>
          <w:szCs w:val="22"/>
        </w:rPr>
        <w:t xml:space="preserve">Recommandations CRO</w:t>
      </w:r>
    </w:p>
    <w:p>
      <w:pPr>
        <w:pStyle w:val="ListParagraph"/>
        <w:numPr>
          <w:ilvl w:val="0"/>
          <w:numId w:val="2"/>
        </w:numPr>
        <w:spacing w:after="80"/>
      </w:pPr>
      <w:r>
        <w:rPr>
          <w:rFonts w:ascii="Arial" w:cs="Arial" w:eastAsia="Arial" w:hAnsi="Arial"/>
          <w:b/>
          <w:bCs/>
          <w:color w:val="1A1714"/>
          <w:sz w:val="21"/>
          <w:szCs w:val="21"/>
        </w:rPr>
        <w:t xml:space="preserve">Ancrage par comparaison : </w:t>
      </w:r>
      <w:r>
        <w:rPr>
          <w:rFonts w:ascii="Arial" w:cs="Arial" w:eastAsia="Arial" w:hAnsi="Arial"/>
          <w:color w:val="6B6560"/>
          <w:sz w:val="21"/>
          <w:szCs w:val="21"/>
        </w:rPr>
        <w:t xml:space="preserve">« Un chef pâtissier à temps partiel = 2 000€/mois. Nos créations = 2 000€ de CA additionnel. » Le framing change la perception de coût en investissement. Le mot « créations » (pas « trompe-l’œil ») est volontairement générique.</w:t>
      </w:r>
    </w:p>
    <w:p>
      <w:pPr>
        <w:pStyle w:val="ListParagraph"/>
        <w:numPr>
          <w:ilvl w:val="0"/>
          <w:numId w:val="2"/>
        </w:numPr>
        <w:spacing w:after="80"/>
      </w:pPr>
      <w:r>
        <w:rPr>
          <w:rFonts w:ascii="Arial" w:cs="Arial" w:eastAsia="Arial" w:hAnsi="Arial"/>
          <w:b/>
          <w:bCs/>
          <w:color w:val="1A1714"/>
          <w:sz w:val="21"/>
          <w:szCs w:val="21"/>
        </w:rPr>
        <w:t xml:space="preserve">Afficher la marge : </w:t>
      </w:r>
      <w:r>
        <w:rPr>
          <w:rFonts w:ascii="Arial" w:cs="Arial" w:eastAsia="Arial" w:hAnsi="Arial"/>
          <w:color w:val="6B6560"/>
          <w:sz w:val="21"/>
          <w:szCs w:val="21"/>
        </w:rPr>
        <w:t xml:space="preserve">« Achat 5€ → Revente 9€ minimum = 80% de marge nette. » Le chiffre 80% est un déclencheur de décision B2B. Prévoir un composant dynamique quand plusieurs gammes auront des prix différents.</w:t>
      </w:r>
    </w:p>
    <w:p>
      <w:pPr>
        <w:pStyle w:val="ListParagraph"/>
        <w:numPr>
          <w:ilvl w:val="0"/>
          <w:numId w:val="2"/>
        </w:numPr>
        <w:spacing w:after="80"/>
      </w:pPr>
      <w:r>
        <w:rPr>
          <w:rFonts w:ascii="Arial" w:cs="Arial" w:eastAsia="Arial" w:hAnsi="Arial"/>
          <w:b/>
          <w:bCs/>
          <w:color w:val="1A1714"/>
          <w:sz w:val="21"/>
          <w:szCs w:val="21"/>
        </w:rPr>
        <w:t xml:space="preserve">Social proof quantifié : </w:t>
      </w:r>
      <w:r>
        <w:rPr>
          <w:rFonts w:ascii="Arial" w:cs="Arial" w:eastAsia="Arial" w:hAnsi="Arial"/>
          <w:color w:val="6B6560"/>
          <w:sz w:val="21"/>
          <w:szCs w:val="21"/>
        </w:rPr>
        <w:t xml:space="preserve">« 15 établissements partenaires, 100% de renouvellement après le premier mois. » Cette donnée est déjà dans la FAQ mais invisible dans la KPI bar.</w:t>
      </w:r>
    </w:p>
    <w:p>
      <w:pPr>
        <w:pStyle w:val="Heading2"/>
        <w:spacing w:after="160" w:before="280"/>
      </w:pPr>
      <w:r>
        <w:rPr>
          <w:rFonts w:ascii="Cormorant Garamond" w:cs="Cormorant Garamond" w:eastAsia="Cormorant Garamond" w:hAnsi="Cormorant Garamond"/>
          <w:b/>
          <w:bCs/>
          <w:color w:val="A8895C"/>
          <w:sz w:val="28"/>
          <w:szCs w:val="28"/>
        </w:rPr>
        <w:t xml:space="preserve">4.3 Engagement Progressif &amp; Réciprocité</w:t>
      </w:r>
    </w:p>
    <w:p>
      <w:pPr>
        <w:spacing w:after="120"/>
        <w:jc w:val="left"/>
      </w:pPr>
      <w:r>
        <w:rPr>
          <w:rFonts w:ascii="Arial" w:cs="Arial" w:eastAsia="Arial" w:hAnsi="Arial"/>
          <w:color w:val="6B6560"/>
          <w:sz w:val="21"/>
          <w:szCs w:val="21"/>
        </w:rPr>
        <w:t xml:space="preserve">Le principe de réciprocité (Cialdini) est bien activé par la dégustation gratuite. Le « paiement après vente » renforce l’engagement progressif : le partenaire commence sans risque, crée une habitude, puis le coût de switching augmente naturellement — d’autant plus quand il connaîtra plusieurs gammes.</w:t>
      </w:r>
    </w:p>
    <w:p>
      <w:pPr>
        <w:pStyle w:val="ListParagraph"/>
        <w:numPr>
          <w:ilvl w:val="0"/>
          <w:numId w:val="2"/>
        </w:numPr>
        <w:spacing w:after="80"/>
      </w:pPr>
      <w:r>
        <w:rPr>
          <w:rFonts w:ascii="Arial" w:cs="Arial" w:eastAsia="Arial" w:hAnsi="Arial"/>
          <w:color w:val="6B6560"/>
          <w:sz w:val="21"/>
          <w:szCs w:val="21"/>
        </w:rPr>
        <w:t xml:space="preserve">Le gateway modal propose deux parcours (« Partenariats » et « Événements »). Note : le texte « Restaurants, lounges, hôtels et concept stores. Restaurants, lounges, hôtels. » contient une répétition à corriger.</w:t>
      </w:r>
    </w:p>
    <w:p>
      <w:pPr>
        <w:pStyle w:val="ListParagraph"/>
        <w:numPr>
          <w:ilvl w:val="0"/>
          <w:numId w:val="2"/>
        </w:numPr>
        <w:spacing w:after="80"/>
      </w:pPr>
      <w:r>
        <w:rPr>
          <w:rFonts w:ascii="Arial" w:cs="Arial" w:eastAsia="Arial" w:hAnsi="Arial"/>
          <w:b/>
          <w:bCs/>
          <w:color w:val="1A1714"/>
          <w:sz w:val="21"/>
          <w:szCs w:val="21"/>
        </w:rPr>
        <w:t xml:space="preserve">Lead magnet B2B : </w:t>
      </w:r>
      <w:r>
        <w:rPr>
          <w:rFonts w:ascii="Arial" w:cs="Arial" w:eastAsia="Arial" w:hAnsi="Arial"/>
          <w:color w:val="6B6560"/>
          <w:sz w:val="21"/>
          <w:szCs w:val="21"/>
        </w:rPr>
        <w:t xml:space="preserve">Créer un « Simulateur de revenus partenaire » où le restaurateur entre son volume de couverts/semaine et visualise sa marge. Outil indépendant de la gamme, applicable à n’importe quelle collection.</w:t>
      </w:r>
    </w:p>
    <w:p>
      <w:pPr>
        <w:pStyle w:val="Heading2"/>
        <w:spacing w:after="160" w:before="280"/>
      </w:pPr>
      <w:r>
        <w:rPr>
          <w:rFonts w:ascii="Cormorant Garamond" w:cs="Cormorant Garamond" w:eastAsia="Cormorant Garamond" w:hAnsi="Cormorant Garamond"/>
          <w:b/>
          <w:bCs/>
          <w:color w:val="A8895C"/>
          <w:sz w:val="28"/>
          <w:szCs w:val="28"/>
        </w:rPr>
        <w:t xml:space="preserve">4.4 Signaux de Rareté</w:t>
      </w:r>
    </w:p>
    <w:p>
      <w:pPr>
        <w:spacing w:after="120"/>
        <w:jc w:val="left"/>
      </w:pPr>
      <w:r>
        <w:rPr>
          <w:rFonts w:ascii="Arial" w:cs="Arial" w:eastAsia="Arial" w:hAnsi="Arial"/>
          <w:color w:val="6B6560"/>
          <w:sz w:val="21"/>
          <w:szCs w:val="21"/>
        </w:rPr>
        <w:t xml:space="preserve">Le site ne déploie aucun levier de scarcity. La rareté est naturelle (capacité de production artisanale) mais non communiquée.</w:t>
      </w:r>
    </w:p>
    <w:p>
      <w:pPr>
        <w:pStyle w:val="ListParagraph"/>
        <w:numPr>
          <w:ilvl w:val="0"/>
          <w:numId w:val="2"/>
        </w:numPr>
        <w:spacing w:after="80"/>
      </w:pPr>
      <w:r>
        <w:rPr>
          <w:rFonts w:ascii="Arial" w:cs="Arial" w:eastAsia="Arial" w:hAnsi="Arial"/>
          <w:b/>
          <w:bCs/>
          <w:color w:val="1A1714"/>
          <w:sz w:val="21"/>
          <w:szCs w:val="21"/>
        </w:rPr>
        <w:t xml:space="preserve">Recommandation : </w:t>
      </w:r>
      <w:r>
        <w:rPr>
          <w:rFonts w:ascii="Arial" w:cs="Arial" w:eastAsia="Arial" w:hAnsi="Arial"/>
          <w:color w:val="6B6560"/>
          <w:sz w:val="21"/>
          <w:szCs w:val="21"/>
        </w:rPr>
        <w:t xml:space="preserve">Mention discrète « Capacité de production limitée — exclusivité par zone ». Quand les collections s’élargiront, la rareté pourra s’appliquer par collection (« Édition saisonnière : 200 pièces »).</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5. Narrative Gastronomique &amp; Scalabilité</w:t>
      </w:r>
    </w:p>
    <w:p>
      <w:pPr>
        <w:spacing w:after="120"/>
        <w:jc w:val="left"/>
      </w:pPr>
      <w:r>
        <w:rPr>
          <w:rFonts w:ascii="Arial" w:cs="Arial" w:eastAsia="Arial" w:hAnsi="Arial"/>
          <w:i/>
          <w:iCs/>
          <w:color w:val="6B6560"/>
          <w:sz w:val="21"/>
          <w:szCs w:val="21"/>
        </w:rPr>
        <w:t xml:space="preserve">Cadre : </w:t>
      </w:r>
      <w:r>
        <w:rPr>
          <w:rFonts w:ascii="Arial" w:cs="Arial" w:eastAsia="Arial" w:hAnsi="Arial"/>
          <w:color w:val="6B6560"/>
          <w:sz w:val="21"/>
          <w:szCs w:val="21"/>
        </w:rPr>
        <w:t xml:space="preserve">Storytelling de marque, iconographie, registre lexical, émotion. Comment le récit peut embrasser une vision plus large que le trompe-l’œil.</w:t>
      </w:r>
    </w:p>
    <w:p>
      <w:pPr>
        <w:pStyle w:val="Heading2"/>
        <w:spacing w:after="160" w:before="280"/>
      </w:pPr>
      <w:r>
        <w:rPr>
          <w:rFonts w:ascii="Cormorant Garamond" w:cs="Cormorant Garamond" w:eastAsia="Cormorant Garamond" w:hAnsi="Cormorant Garamond"/>
          <w:b/>
          <w:bCs/>
          <w:color w:val="A8895C"/>
          <w:sz w:val="28"/>
          <w:szCs w:val="28"/>
        </w:rPr>
        <w:t xml:space="preserve">5.1 Arc Narratif — Du Trompe-l’Œil à la Maison</w:t>
      </w:r>
    </w:p>
    <w:p>
      <w:pPr>
        <w:spacing w:after="120"/>
        <w:jc w:val="left"/>
      </w:pPr>
      <w:r>
        <w:rPr>
          <w:rFonts w:ascii="Arial" w:cs="Arial" w:eastAsia="Arial" w:hAnsi="Arial"/>
          <w:color w:val="6B6560"/>
          <w:sz w:val="21"/>
          <w:szCs w:val="21"/>
        </w:rPr>
        <w:t xml:space="preserve">Le site déploie actuellement un arc narratif en trois actes centré sur l’illusion :</w:t>
      </w:r>
    </w:p>
    <w:p>
      <w:pPr>
        <w:pStyle w:val="ListParagraph"/>
        <w:numPr>
          <w:ilvl w:val="0"/>
          <w:numId w:val="2"/>
        </w:numPr>
        <w:spacing w:after="80"/>
      </w:pPr>
      <w:r>
        <w:rPr>
          <w:rFonts w:ascii="Arial" w:cs="Arial" w:eastAsia="Arial" w:hAnsi="Arial"/>
          <w:b/>
          <w:bCs/>
          <w:color w:val="1A1714"/>
          <w:sz w:val="21"/>
          <w:szCs w:val="21"/>
        </w:rPr>
        <w:t xml:space="preserve">Acte 1 — L’Illusion (Hero) : </w:t>
      </w:r>
      <w:r>
        <w:rPr>
          <w:rFonts w:ascii="Arial" w:cs="Arial" w:eastAsia="Arial" w:hAnsi="Arial"/>
          <w:color w:val="6B6560"/>
          <w:sz w:val="21"/>
          <w:szCs w:val="21"/>
        </w:rPr>
        <w:t xml:space="preserve">« Ce que vous voyez n’est jamais ce que vous goûtez. »</w:t>
      </w:r>
    </w:p>
    <w:p>
      <w:pPr>
        <w:pStyle w:val="ListParagraph"/>
        <w:numPr>
          <w:ilvl w:val="0"/>
          <w:numId w:val="2"/>
        </w:numPr>
        <w:spacing w:after="80"/>
      </w:pPr>
      <w:r>
        <w:rPr>
          <w:rFonts w:ascii="Arial" w:cs="Arial" w:eastAsia="Arial" w:hAnsi="Arial"/>
          <w:b/>
          <w:bCs/>
          <w:color w:val="1A1714"/>
          <w:sz w:val="21"/>
          <w:szCs w:val="21"/>
        </w:rPr>
        <w:t xml:space="preserve">Acte 2 — La Preuve (Catalogue + Témoignages) : </w:t>
      </w:r>
      <w:r>
        <w:rPr>
          <w:rFonts w:ascii="Arial" w:cs="Arial" w:eastAsia="Arial" w:hAnsi="Arial"/>
          <w:color w:val="6B6560"/>
          <w:sz w:val="21"/>
          <w:szCs w:val="21"/>
        </w:rPr>
        <w:t xml:space="preserve">Fiches techniques + validation business.</w:t>
      </w:r>
    </w:p>
    <w:p>
      <w:pPr>
        <w:pStyle w:val="ListParagraph"/>
        <w:numPr>
          <w:ilvl w:val="0"/>
          <w:numId w:val="2"/>
        </w:numPr>
        <w:spacing w:after="80"/>
      </w:pPr>
      <w:r>
        <w:rPr>
          <w:rFonts w:ascii="Arial" w:cs="Arial" w:eastAsia="Arial" w:hAnsi="Arial"/>
          <w:b/>
          <w:bCs/>
          <w:color w:val="1A1714"/>
          <w:sz w:val="21"/>
          <w:szCs w:val="21"/>
        </w:rPr>
        <w:t xml:space="preserve">Acte 3 — L’Invitation (Partenaires) : </w:t>
      </w:r>
      <w:r>
        <w:rPr>
          <w:rFonts w:ascii="Arial" w:cs="Arial" w:eastAsia="Arial" w:hAnsi="Arial"/>
          <w:color w:val="6B6560"/>
          <w:sz w:val="21"/>
          <w:szCs w:val="21"/>
        </w:rPr>
        <w:t xml:space="preserve">CTA « Dégustation gratuite ».</w:t>
      </w:r>
    </w:p>
    <w:p>
      <w:pPr>
        <w:spacing w:after="120"/>
        <w:jc w:val="left"/>
      </w:pPr>
      <w:r>
        <w:rPr>
          <w:rFonts w:ascii="Arial" w:cs="Arial" w:eastAsia="Arial" w:hAnsi="Arial"/>
          <w:color w:val="6B6560"/>
          <w:sz w:val="21"/>
          <w:szCs w:val="21"/>
        </w:rPr>
        <w:t xml:space="preserve">Cet arc est efficace mais trop dépendant du concept de surprise/illusion. Quand des entremets classiques s’ajouteront, le « reveal moment » ne s’appliquera plus. L’arc doit évoluer vers :</w:t>
      </w:r>
    </w:p>
    <w:p>
      <w:pPr>
        <w:pStyle w:val="ListParagraph"/>
        <w:numPr>
          <w:ilvl w:val="0"/>
          <w:numId w:val="2"/>
        </w:numPr>
        <w:spacing w:after="80"/>
      </w:pPr>
      <w:r>
        <w:rPr>
          <w:rFonts w:ascii="Arial" w:cs="Arial" w:eastAsia="Arial" w:hAnsi="Arial"/>
          <w:b/>
          <w:bCs/>
          <w:color w:val="1A1714"/>
          <w:sz w:val="21"/>
          <w:szCs w:val="21"/>
        </w:rPr>
        <w:t xml:space="preserve">Acte 1 — L’Émerveillement : </w:t>
      </w:r>
      <w:r>
        <w:rPr>
          <w:rFonts w:ascii="Arial" w:cs="Arial" w:eastAsia="Arial" w:hAnsi="Arial"/>
          <w:color w:val="6B6560"/>
          <w:sz w:val="21"/>
          <w:szCs w:val="21"/>
        </w:rPr>
        <w:t xml:space="preserve">« Des créations que vos clients filment avant de manger. » (Applicable à tout dessert visuellement spectaculaire, pas seulement aux trompe-l’œil.)</w:t>
      </w:r>
    </w:p>
    <w:p>
      <w:pPr>
        <w:pStyle w:val="ListParagraph"/>
        <w:numPr>
          <w:ilvl w:val="0"/>
          <w:numId w:val="2"/>
        </w:numPr>
        <w:spacing w:after="80"/>
      </w:pPr>
      <w:r>
        <w:rPr>
          <w:rFonts w:ascii="Arial" w:cs="Arial" w:eastAsia="Arial" w:hAnsi="Arial"/>
          <w:b/>
          <w:bCs/>
          <w:color w:val="1A1714"/>
          <w:sz w:val="21"/>
          <w:szCs w:val="21"/>
        </w:rPr>
        <w:t xml:space="preserve">Acte 2 — L’Excellence : </w:t>
      </w:r>
      <w:r>
        <w:rPr>
          <w:rFonts w:ascii="Arial" w:cs="Arial" w:eastAsia="Arial" w:hAnsi="Arial"/>
          <w:color w:val="6B6560"/>
          <w:sz w:val="21"/>
          <w:szCs w:val="21"/>
        </w:rPr>
        <w:t xml:space="preserve">Détail artisanal, sourcing, savoir-faire. (Universel.)</w:t>
      </w:r>
    </w:p>
    <w:p>
      <w:pPr>
        <w:pStyle w:val="ListParagraph"/>
        <w:numPr>
          <w:ilvl w:val="0"/>
          <w:numId w:val="2"/>
        </w:numPr>
        <w:spacing w:after="80"/>
      </w:pPr>
      <w:r>
        <w:rPr>
          <w:rFonts w:ascii="Arial" w:cs="Arial" w:eastAsia="Arial" w:hAnsi="Arial"/>
          <w:b/>
          <w:bCs/>
          <w:color w:val="1A1714"/>
          <w:sz w:val="21"/>
          <w:szCs w:val="21"/>
        </w:rPr>
        <w:t xml:space="preserve">Acte 3 — Le Partenariat : </w:t>
      </w:r>
      <w:r>
        <w:rPr>
          <w:rFonts w:ascii="Arial" w:cs="Arial" w:eastAsia="Arial" w:hAnsi="Arial"/>
          <w:color w:val="6B6560"/>
          <w:sz w:val="21"/>
          <w:szCs w:val="21"/>
        </w:rPr>
        <w:t xml:space="preserve">« Votre carte, notre signature. » (Scalable.)</w:t>
      </w:r>
    </w:p>
    <w:p>
      <w:pPr>
        <w:pStyle w:val="Heading2"/>
        <w:spacing w:after="160" w:before="280"/>
      </w:pPr>
      <w:r>
        <w:rPr>
          <w:rFonts w:ascii="Cormorant Garamond" w:cs="Cormorant Garamond" w:eastAsia="Cormorant Garamond" w:hAnsi="Cormorant Garamond"/>
          <w:b/>
          <w:bCs/>
          <w:color w:val="A8895C"/>
          <w:sz w:val="28"/>
          <w:szCs w:val="28"/>
        </w:rPr>
        <w:t xml:space="preserve">5.2 Registre Lexical</w:t>
      </w:r>
    </w:p>
    <w:p>
      <w:pPr>
        <w:spacing w:after="120"/>
        <w:jc w:val="left"/>
      </w:pPr>
      <w:r>
        <w:rPr>
          <w:rFonts w:ascii="Arial" w:cs="Arial" w:eastAsia="Arial" w:hAnsi="Arial"/>
          <w:color w:val="6B6560"/>
          <w:sz w:val="21"/>
          <w:szCs w:val="21"/>
        </w:rPr>
        <w:t xml:space="preserve">Le corpus textuel oscille entre trois registres : poétique (« chaque création dissimule un secret »), technique (« mousse passion cœur coulant »), et transactionnel (« 5€/pièce »). L’alternance est gérée correctement dans l’ensemble.</w:t>
      </w:r>
    </w:p>
    <w:p>
      <w:pPr>
        <w:pStyle w:val="Heading3"/>
        <w:spacing w:after="120" w:before="200"/>
      </w:pPr>
      <w:r>
        <w:rPr>
          <w:rFonts w:ascii="Arial" w:cs="Arial" w:eastAsia="Arial" w:hAnsi="Arial"/>
          <w:b/>
          <w:bCs/>
          <w:color w:val="1A1714"/>
          <w:sz w:val="22"/>
          <w:szCs w:val="22"/>
        </w:rPr>
        <w:t xml:space="preserve">Audit du wording lié au trompe-l’œil</w:t>
      </w:r>
    </w:p>
    <w:p>
      <w:pPr>
        <w:spacing w:after="120"/>
        <w:jc w:val="left"/>
      </w:pPr>
      <w:r>
        <w:rPr>
          <w:rFonts w:ascii="Arial" w:cs="Arial" w:eastAsia="Arial" w:hAnsi="Arial"/>
          <w:color w:val="6B6560"/>
          <w:sz w:val="21"/>
          <w:szCs w:val="21"/>
        </w:rPr>
        <w:t xml:space="preserve">Voici les zones où le wording actuel est trop étroitement lié au trompe-l’œil et devra évoluer :</w:t>
      </w:r>
    </w:p>
    <w:p>
      <w:pPr>
        <w:pStyle w:val="ListParagraph"/>
        <w:numPr>
          <w:ilvl w:val="0"/>
          <w:numId w:val="2"/>
        </w:numPr>
        <w:spacing w:after="80"/>
      </w:pPr>
      <w:r>
        <w:rPr>
          <w:rFonts w:ascii="Arial" w:cs="Arial" w:eastAsia="Arial" w:hAnsi="Arial"/>
          <w:color w:val="6B6560"/>
          <w:sz w:val="21"/>
          <w:szCs w:val="21"/>
        </w:rPr>
        <w:t xml:space="preserve">Hero hook : « Ce que vous voyez n’est jamais ce que vous goûtez » → Proposer un hook rotatif par collection, ou un hook-chapeau comme « Le dessert pour lequel vos clients se déplacent » (déjà présent en 2e ligne, à remonter en 1re).</w:t>
      </w:r>
    </w:p>
    <w:p>
      <w:pPr>
        <w:pStyle w:val="ListParagraph"/>
        <w:numPr>
          <w:ilvl w:val="0"/>
          <w:numId w:val="2"/>
        </w:numPr>
        <w:spacing w:after="80"/>
      </w:pPr>
      <w:r>
        <w:rPr>
          <w:rFonts w:ascii="Arial" w:cs="Arial" w:eastAsia="Arial" w:hAnsi="Arial"/>
          <w:color w:val="6B6560"/>
          <w:sz w:val="21"/>
          <w:szCs w:val="21"/>
        </w:rPr>
        <w:t xml:space="preserve">OG description : « Chaque création dissimule un secret » → Remplacer par « Des créations d’exception, livrées prêtes à servir, qui transforment votre carte. »</w:t>
      </w:r>
    </w:p>
    <w:p>
      <w:pPr>
        <w:pStyle w:val="ListParagraph"/>
        <w:numPr>
          <w:ilvl w:val="0"/>
          <w:numId w:val="2"/>
        </w:numPr>
        <w:spacing w:after="80"/>
      </w:pPr>
      <w:r>
        <w:rPr>
          <w:rFonts w:ascii="Arial" w:cs="Arial" w:eastAsia="Arial" w:hAnsi="Arial"/>
          <w:color w:val="6B6560"/>
          <w:sz w:val="21"/>
          <w:szCs w:val="21"/>
        </w:rPr>
        <w:t xml:space="preserve">FAQ chatbot : certaines réponses mentionnent spécifiquement « le concept trompe-l’œil ». Reformuler en « nos créations » quand le contexte est générique.</w:t>
      </w:r>
    </w:p>
    <w:p>
      <w:pPr>
        <w:pStyle w:val="ListParagraph"/>
        <w:numPr>
          <w:ilvl w:val="0"/>
          <w:numId w:val="2"/>
        </w:numPr>
        <w:spacing w:after="80"/>
      </w:pPr>
      <w:r>
        <w:rPr>
          <w:rFonts w:ascii="Arial" w:cs="Arial" w:eastAsia="Arial" w:hAnsi="Arial"/>
          <w:color w:val="6B6560"/>
          <w:sz w:val="21"/>
          <w:szCs w:val="21"/>
        </w:rPr>
        <w:t xml:space="preserve">KPI « On vient pour ça » : le verbatim est puissant et assez générique pour survivre à la diversification. Le conserver.</w:t>
      </w:r>
    </w:p>
    <w:p>
      <w:pPr>
        <w:pStyle w:val="Heading3"/>
        <w:spacing w:after="120" w:before="200"/>
      </w:pPr>
      <w:r>
        <w:rPr>
          <w:rFonts w:ascii="Arial" w:cs="Arial" w:eastAsia="Arial" w:hAnsi="Arial"/>
          <w:b/>
          <w:bCs/>
          <w:color w:val="1A1714"/>
          <w:sz w:val="22"/>
          <w:szCs w:val="22"/>
        </w:rPr>
        <w:t xml:space="preserve">Recommandation narrative</w:t>
      </w:r>
    </w:p>
    <w:p>
      <w:pPr>
        <w:pStyle w:val="ListParagraph"/>
        <w:numPr>
          <w:ilvl w:val="0"/>
          <w:numId w:val="2"/>
        </w:numPr>
        <w:spacing w:after="80"/>
      </w:pPr>
      <w:r>
        <w:rPr>
          <w:rFonts w:ascii="Arial" w:cs="Arial" w:eastAsia="Arial" w:hAnsi="Arial"/>
          <w:b/>
          <w:bCs/>
          <w:color w:val="1A1714"/>
          <w:sz w:val="21"/>
          <w:szCs w:val="21"/>
        </w:rPr>
        <w:t xml:space="preserve">Règle rédactionnelle : </w:t>
      </w:r>
      <w:r>
        <w:rPr>
          <w:rFonts w:ascii="Arial" w:cs="Arial" w:eastAsia="Arial" w:hAnsi="Arial"/>
          <w:color w:val="6B6560"/>
          <w:sz w:val="21"/>
          <w:szCs w:val="21"/>
        </w:rPr>
        <w:t xml:space="preserve">Toute mention de « trompe-l’œil » doit être confinée aux sections qui présentent spécifiquement cette collection. Les sections transversales (hero, footer, KPI, témoignages, FAQ générale) doivent utiliser « créations », « pièces » ou « desserts d’exception ».</w:t>
      </w:r>
    </w:p>
    <w:p>
      <w:pPr>
        <w:pStyle w:val="Heading2"/>
        <w:spacing w:after="160" w:before="280"/>
      </w:pPr>
      <w:r>
        <w:rPr>
          <w:rFonts w:ascii="Cormorant Garamond" w:cs="Cormorant Garamond" w:eastAsia="Cormorant Garamond" w:hAnsi="Cormorant Garamond"/>
          <w:b/>
          <w:bCs/>
          <w:color w:val="A8895C"/>
          <w:sz w:val="28"/>
          <w:szCs w:val="28"/>
        </w:rPr>
        <w:t xml:space="preserve">5.3 Iconographie &amp; Vision Photographique</w:t>
      </w:r>
    </w:p>
    <w:p>
      <w:pPr>
        <w:pStyle w:val="Heading3"/>
        <w:spacing w:after="120" w:before="200"/>
      </w:pPr>
      <w:r>
        <w:rPr>
          <w:rFonts w:ascii="Arial" w:cs="Arial" w:eastAsia="Arial" w:hAnsi="Arial"/>
          <w:b/>
          <w:bCs/>
          <w:color w:val="1A1714"/>
          <w:sz w:val="22"/>
          <w:szCs w:val="22"/>
        </w:rPr>
        <w:t xml:space="preserve">Forces</w:t>
      </w:r>
    </w:p>
    <w:p>
      <w:pPr>
        <w:pStyle w:val="ListParagraph"/>
        <w:numPr>
          <w:ilvl w:val="0"/>
          <w:numId w:val="2"/>
        </w:numPr>
        <w:spacing w:after="80"/>
      </w:pPr>
      <w:r>
        <w:rPr>
          <w:rFonts w:ascii="Arial" w:cs="Arial" w:eastAsia="Arial" w:hAnsi="Arial"/>
          <w:color w:val="6B6560"/>
          <w:sz w:val="21"/>
          <w:szCs w:val="21"/>
        </w:rPr>
        <w:t xml:space="preserve">La vidéo de découpe est le meilleur format pour démontrer le produit. Le format est réplicable : chaque future collection pourra avoir sa vidéo signature (découpe d’entremet, dressage de mignardises).</w:t>
      </w:r>
    </w:p>
    <w:p>
      <w:pPr>
        <w:pStyle w:val="ListParagraph"/>
        <w:numPr>
          <w:ilvl w:val="0"/>
          <w:numId w:val="2"/>
        </w:numPr>
        <w:spacing w:after="80"/>
      </w:pPr>
      <w:r>
        <w:rPr>
          <w:rFonts w:ascii="Arial" w:cs="Arial" w:eastAsia="Arial" w:hAnsi="Arial"/>
          <w:color w:val="6B6560"/>
          <w:sz w:val="21"/>
          <w:szCs w:val="21"/>
        </w:rPr>
        <w:t xml:space="preserve">Les photos produit sur fond neutre (cream) sont cohérentes et systématiques.</w:t>
      </w:r>
    </w:p>
    <w:p>
      <w:pPr>
        <w:pStyle w:val="ListParagraph"/>
        <w:numPr>
          <w:ilvl w:val="0"/>
          <w:numId w:val="2"/>
        </w:numPr>
        <w:spacing w:after="80"/>
      </w:pPr>
      <w:r>
        <w:rPr>
          <w:rFonts w:ascii="Arial" w:cs="Arial" w:eastAsia="Arial" w:hAnsi="Arial"/>
          <w:color w:val="6B6560"/>
          <w:sz w:val="21"/>
          <w:szCs w:val="21"/>
        </w:rPr>
        <w:t xml:space="preserve">Le format WebP est utilisé partout — bonne pratique technique.</w:t>
      </w:r>
    </w:p>
    <w:p>
      <w:pPr>
        <w:pStyle w:val="Heading3"/>
        <w:spacing w:after="120" w:before="200"/>
      </w:pPr>
      <w:r>
        <w:rPr>
          <w:rFonts w:ascii="Arial" w:cs="Arial" w:eastAsia="Arial" w:hAnsi="Arial"/>
          <w:b/>
          <w:bCs/>
          <w:color w:val="1A1714"/>
          <w:sz w:val="22"/>
          <w:szCs w:val="22"/>
        </w:rPr>
        <w:t xml:space="preserve">Opportunités</w:t>
      </w:r>
    </w:p>
    <w:p>
      <w:pPr>
        <w:pStyle w:val="ListParagraph"/>
        <w:numPr>
          <w:ilvl w:val="0"/>
          <w:numId w:val="2"/>
        </w:numPr>
        <w:spacing w:after="80"/>
      </w:pPr>
      <w:r>
        <w:rPr>
          <w:rFonts w:ascii="Arial" w:cs="Arial" w:eastAsia="Arial" w:hAnsi="Arial"/>
          <w:color w:val="6B6560"/>
          <w:sz w:val="21"/>
          <w:szCs w:val="21"/>
        </w:rPr>
        <w:t xml:space="preserve">Il manque des photos « en situation » : un dessert servi dans un vrai restaurant, un convive qui réagit. Ces images contextualisent le B2B et créent l’aspiration. Ceci est valable quelle que soit la gamme.</w:t>
      </w:r>
    </w:p>
    <w:p>
      <w:pPr>
        <w:pStyle w:val="ListParagraph"/>
        <w:numPr>
          <w:ilvl w:val="0"/>
          <w:numId w:val="2"/>
        </w:numPr>
        <w:spacing w:after="80"/>
      </w:pPr>
      <w:r>
        <w:rPr>
          <w:rFonts w:ascii="Arial" w:cs="Arial" w:eastAsia="Arial" w:hAnsi="Arial"/>
          <w:color w:val="6B6560"/>
          <w:sz w:val="21"/>
          <w:szCs w:val="21"/>
        </w:rPr>
        <w:t xml:space="preserve">Prévoir un shooting « maison » (pas que produit) : l’atelier, les mains du fondateur, le process. L’identité de marque se construit sur l’artisan autant que sur le produit — c’est ce qui différencie une « maison » d’un fournisseur.</w:t>
      </w:r>
    </w:p>
    <w:p>
      <w:pPr>
        <w:pStyle w:val="ListParagraph"/>
        <w:numPr>
          <w:ilvl w:val="0"/>
          <w:numId w:val="2"/>
        </w:numPr>
        <w:spacing w:after="80"/>
      </w:pPr>
      <w:r>
        <w:rPr>
          <w:rFonts w:ascii="Arial" w:cs="Arial" w:eastAsia="Arial" w:hAnsi="Arial"/>
          <w:color w:val="6B6560"/>
          <w:sz w:val="21"/>
          <w:szCs w:val="21"/>
        </w:rPr>
        <w:t xml:space="preserve">La section engagements pourrait alterner son background selon la saison ou la collection mise en avant (trio moody pour trompe-l’œil, autre ambiance pour les futures gammes).</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6. Quick Wins &amp; Roadmap Stratégique</w:t>
      </w:r>
    </w:p>
    <w:p>
      <w:pPr>
        <w:pStyle w:val="Heading2"/>
        <w:spacing w:after="160" w:before="280"/>
      </w:pPr>
      <w:r>
        <w:rPr>
          <w:rFonts w:ascii="Cormorant Garamond" w:cs="Cormorant Garamond" w:eastAsia="Cormorant Garamond" w:hAnsi="Cormorant Garamond"/>
          <w:b/>
          <w:bCs/>
          <w:color w:val="A8895C"/>
          <w:sz w:val="28"/>
          <w:szCs w:val="28"/>
        </w:rPr>
        <w:t xml:space="preserve">6.1 Top 5 Quick Wins (Impact immédiat)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2000"/>
        <w:gridCol w:w="1800"/>
        <w:gridCol w:w="1700"/>
      </w:tblGrid>
      <w:tr>
        <w:tc>
          <w:tcPr>
            <w:tcW w:type="dxa" w:w="5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w:t>
            </w:r>
          </w:p>
        </w:tc>
        <w:tc>
          <w:tcPr>
            <w:tcW w:type="dxa" w:w="336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Action</w:t>
            </w:r>
          </w:p>
        </w:tc>
        <w:tc>
          <w:tcPr>
            <w:tcW w:type="dxa" w:w="20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Impact</w:t>
            </w:r>
          </w:p>
        </w:tc>
        <w:tc>
          <w:tcPr>
            <w:tcW w:type="dxa" w:w="18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Effort</w:t>
            </w:r>
          </w:p>
        </w:tc>
        <w:tc>
          <w:tcPr>
            <w:tcW w:type="dxa" w:w="17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Priorité</w:t>
            </w:r>
          </w:p>
        </w:tc>
      </w:tr>
      <w:tr>
        <w:tc>
          <w:tcPr>
            <w:tcW w:type="dxa" w:w="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Eyebrow hero « Haute Pâtisserie d’Exception · Livrée Prête à Servir »</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Clarté + scalabilité</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15 min</w:t>
            </w:r>
          </w:p>
        </w:tc>
        <w:tc>
          <w:tcPr>
            <w:tcW w:type="dxa" w:w="17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Critique</w:t>
            </w:r>
          </w:p>
        </w:tc>
      </w:tr>
      <w:tr>
        <w:tc>
          <w:tcPr>
            <w:tcW w:type="dxa" w:w="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Afficher la marge 80% dans la section pricing</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Conversion +++</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30 min</w:t>
            </w:r>
          </w:p>
        </w:tc>
        <w:tc>
          <w:tcPr>
            <w:tcW w:type="dxa" w:w="17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Critique</w:t>
            </w:r>
          </w:p>
        </w:tc>
      </w:tr>
      <w:tr>
        <w:tc>
          <w:tcPr>
            <w:tcW w:type="dxa" w:w="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Titrer le catalogue « Collection Trompe-l’Œil — Notre signature »</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Structure mentale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15 min</w:t>
            </w:r>
          </w:p>
        </w:tc>
        <w:tc>
          <w:tcPr>
            <w:tcW w:type="dxa" w:w="17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4</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KPI bar : ajouter « 100% de renouvellement »</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Social proof +++</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10 min</w:t>
            </w:r>
          </w:p>
        </w:tc>
        <w:tc>
          <w:tcPr>
            <w:tcW w:type="dxa" w:w="17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5</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Remplacer le wording générique « trompe-l’œil » par « créations » dans les sections transversales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Scalabilité marque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7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bl>
    <w:p>
      <w:pPr>
        <w:spacing w:after="0" w:before="200"/>
      </w:pPr>
    </w:p>
    <w:p>
      <w:pPr>
        <w:pStyle w:val="Heading2"/>
        <w:spacing w:after="160" w:before="280"/>
      </w:pPr>
      <w:r>
        <w:rPr>
          <w:rFonts w:ascii="Cormorant Garamond" w:cs="Cormorant Garamond" w:eastAsia="Cormorant Garamond" w:hAnsi="Cormorant Garamond"/>
          <w:b/>
          <w:bCs/>
          <w:color w:val="A8895C"/>
          <w:sz w:val="28"/>
          <w:szCs w:val="28"/>
        </w:rPr>
        <w:t xml:space="preserve">6.2 Roadmap Stratégique — De l’Artisan à la Maison</w:t>
      </w:r>
    </w:p>
    <w:p>
      <w:pPr>
        <w:pStyle w:val="Heading3"/>
        <w:spacing w:after="120" w:before="200"/>
      </w:pPr>
      <w:r>
        <w:rPr>
          <w:rFonts w:ascii="Arial" w:cs="Arial" w:eastAsia="Arial" w:hAnsi="Arial"/>
          <w:b/>
          <w:bCs/>
          <w:color w:val="1A1714"/>
          <w:sz w:val="22"/>
          <w:szCs w:val="22"/>
        </w:rPr>
        <w:t xml:space="preserve">Phase 1 — Fondations (T2 2026)</w:t>
      </w:r>
    </w:p>
    <w:p>
      <w:pPr>
        <w:pStyle w:val="ListParagraph"/>
        <w:numPr>
          <w:ilvl w:val="0"/>
          <w:numId w:val="2"/>
        </w:numPr>
        <w:spacing w:after="80"/>
      </w:pPr>
      <w:r>
        <w:rPr>
          <w:rFonts w:ascii="Arial" w:cs="Arial" w:eastAsia="Arial" w:hAnsi="Arial"/>
          <w:color w:val="6B6560"/>
          <w:sz w:val="21"/>
          <w:szCs w:val="21"/>
        </w:rPr>
        <w:t xml:space="preserve">Implémenter les 5 Quick Wins ci-dessus.</w:t>
      </w:r>
    </w:p>
    <w:p>
      <w:pPr>
        <w:pStyle w:val="ListParagraph"/>
        <w:numPr>
          <w:ilvl w:val="0"/>
          <w:numId w:val="2"/>
        </w:numPr>
        <w:spacing w:after="80"/>
      </w:pPr>
      <w:r>
        <w:rPr>
          <w:rFonts w:ascii="Arial" w:cs="Arial" w:eastAsia="Arial" w:hAnsi="Arial"/>
          <w:color w:val="6B6560"/>
          <w:sz w:val="21"/>
          <w:szCs w:val="21"/>
        </w:rPr>
        <w:t xml:space="preserve">Corriger la répétition gateway modal + unifier l’adresse email.</w:t>
      </w:r>
    </w:p>
    <w:p>
      <w:pPr>
        <w:pStyle w:val="ListParagraph"/>
        <w:numPr>
          <w:ilvl w:val="0"/>
          <w:numId w:val="2"/>
        </w:numPr>
        <w:spacing w:after="80"/>
      </w:pPr>
      <w:r>
        <w:rPr>
          <w:rFonts w:ascii="Arial" w:cs="Arial" w:eastAsia="Arial" w:hAnsi="Arial"/>
          <w:color w:val="6B6560"/>
          <w:sz w:val="21"/>
          <w:szCs w:val="21"/>
        </w:rPr>
        <w:t xml:space="preserve">Créer une page FAQ dédiée (consolidation chatbot + JSON-LD).</w:t>
      </w:r>
    </w:p>
    <w:p>
      <w:pPr>
        <w:pStyle w:val="ListParagraph"/>
        <w:numPr>
          <w:ilvl w:val="0"/>
          <w:numId w:val="2"/>
        </w:numPr>
        <w:spacing w:after="80"/>
      </w:pPr>
      <w:r>
        <w:rPr>
          <w:rFonts w:ascii="Arial" w:cs="Arial" w:eastAsia="Arial" w:hAnsi="Arial"/>
          <w:color w:val="6B6560"/>
          <w:sz w:val="21"/>
          <w:szCs w:val="21"/>
        </w:rPr>
        <w:t xml:space="preserve">Minifier et splitter le CSS (Critical inline + async load).</w:t>
      </w:r>
    </w:p>
    <w:p>
      <w:pPr>
        <w:pStyle w:val="ListParagraph"/>
        <w:numPr>
          <w:ilvl w:val="0"/>
          <w:numId w:val="2"/>
        </w:numPr>
        <w:spacing w:after="80"/>
      </w:pPr>
      <w:r>
        <w:rPr>
          <w:rFonts w:ascii="Arial" w:cs="Arial" w:eastAsia="Arial" w:hAnsi="Arial"/>
          <w:color w:val="6B6560"/>
          <w:sz w:val="21"/>
          <w:szCs w:val="21"/>
        </w:rPr>
        <w:t xml:space="preserve">Définir la charte des couleurs d’accent par future collection.</w:t>
      </w:r>
    </w:p>
    <w:p>
      <w:pPr>
        <w:pStyle w:val="Heading3"/>
        <w:spacing w:after="120" w:before="200"/>
      </w:pPr>
      <w:r>
        <w:rPr>
          <w:rFonts w:ascii="Arial" w:cs="Arial" w:eastAsia="Arial" w:hAnsi="Arial"/>
          <w:b/>
          <w:bCs/>
          <w:color w:val="1A1714"/>
          <w:sz w:val="22"/>
          <w:szCs w:val="22"/>
        </w:rPr>
        <w:t xml:space="preserve">Phase 2 — Multi-Collections (T3-T4 2026)</w:t>
      </w:r>
    </w:p>
    <w:p>
      <w:pPr>
        <w:pStyle w:val="ListParagraph"/>
        <w:numPr>
          <w:ilvl w:val="0"/>
          <w:numId w:val="2"/>
        </w:numPr>
        <w:spacing w:after="80"/>
      </w:pPr>
      <w:r>
        <w:rPr>
          <w:rFonts w:ascii="Arial" w:cs="Arial" w:eastAsia="Arial" w:hAnsi="Arial"/>
          <w:color w:val="6B6560"/>
          <w:sz w:val="21"/>
          <w:szCs w:val="21"/>
        </w:rPr>
        <w:t xml:space="preserve">Lancer la 2e collection (entremets, mignardises ou créations saisonnières).</w:t>
      </w:r>
    </w:p>
    <w:p>
      <w:pPr>
        <w:pStyle w:val="ListParagraph"/>
        <w:numPr>
          <w:ilvl w:val="0"/>
          <w:numId w:val="2"/>
        </w:numPr>
        <w:spacing w:after="80"/>
      </w:pPr>
      <w:r>
        <w:rPr>
          <w:rFonts w:ascii="Arial" w:cs="Arial" w:eastAsia="Arial" w:hAnsi="Arial"/>
          <w:color w:val="6B6560"/>
          <w:sz w:val="21"/>
          <w:szCs w:val="21"/>
        </w:rPr>
        <w:t xml:space="preserve">Restructurer le catalogue avec des onglets/tabs par collection.</w:t>
      </w:r>
    </w:p>
    <w:p>
      <w:pPr>
        <w:pStyle w:val="ListParagraph"/>
        <w:numPr>
          <w:ilvl w:val="0"/>
          <w:numId w:val="2"/>
        </w:numPr>
        <w:spacing w:after="80"/>
      </w:pPr>
      <w:r>
        <w:rPr>
          <w:rFonts w:ascii="Arial" w:cs="Arial" w:eastAsia="Arial" w:hAnsi="Arial"/>
          <w:color w:val="6B6560"/>
          <w:sz w:val="21"/>
          <w:szCs w:val="21"/>
        </w:rPr>
        <w:t xml:space="preserve">Créer les pages /collections/trompe-loeil/ et /collections/[nouvelle-gamme]/.</w:t>
      </w:r>
    </w:p>
    <w:p>
      <w:pPr>
        <w:pStyle w:val="ListParagraph"/>
        <w:numPr>
          <w:ilvl w:val="0"/>
          <w:numId w:val="2"/>
        </w:numPr>
        <w:spacing w:after="80"/>
      </w:pPr>
      <w:r>
        <w:rPr>
          <w:rFonts w:ascii="Arial" w:cs="Arial" w:eastAsia="Arial" w:hAnsi="Arial"/>
          <w:color w:val="6B6560"/>
          <w:sz w:val="21"/>
          <w:szCs w:val="21"/>
        </w:rPr>
        <w:t xml:space="preserve">Développer le Simulateur de revenus partenaire (lead magnet B2B universel).</w:t>
      </w:r>
    </w:p>
    <w:p>
      <w:pPr>
        <w:pStyle w:val="ListParagraph"/>
        <w:numPr>
          <w:ilvl w:val="0"/>
          <w:numId w:val="2"/>
        </w:numPr>
        <w:spacing w:after="80"/>
      </w:pPr>
      <w:r>
        <w:rPr>
          <w:rFonts w:ascii="Arial" w:cs="Arial" w:eastAsia="Arial" w:hAnsi="Arial"/>
          <w:color w:val="6B6560"/>
          <w:sz w:val="21"/>
          <w:szCs w:val="21"/>
        </w:rPr>
        <w:t xml:space="preserve">Adapter le hook hero en composant dynamique (un hook par collection).</w:t>
      </w:r>
    </w:p>
    <w:p>
      <w:pPr>
        <w:pStyle w:val="ListParagraph"/>
        <w:numPr>
          <w:ilvl w:val="0"/>
          <w:numId w:val="2"/>
        </w:numPr>
        <w:spacing w:after="80"/>
      </w:pPr>
      <w:r>
        <w:rPr>
          <w:rFonts w:ascii="Arial" w:cs="Arial" w:eastAsia="Arial" w:hAnsi="Arial"/>
          <w:color w:val="6B6560"/>
          <w:sz w:val="21"/>
          <w:szCs w:val="21"/>
        </w:rPr>
        <w:t xml:space="preserve">Ajouter des photos « en situation » et « maison / artisan ».</w:t>
      </w:r>
    </w:p>
    <w:p>
      <w:pPr>
        <w:pStyle w:val="Heading3"/>
        <w:spacing w:after="120" w:before="200"/>
      </w:pPr>
      <w:r>
        <w:rPr>
          <w:rFonts w:ascii="Arial" w:cs="Arial" w:eastAsia="Arial" w:hAnsi="Arial"/>
          <w:b/>
          <w:bCs/>
          <w:color w:val="1A1714"/>
          <w:sz w:val="22"/>
          <w:szCs w:val="22"/>
        </w:rPr>
        <w:t xml:space="preserve">Phase 3 — Plateforme B2B (2027)</w:t>
      </w:r>
    </w:p>
    <w:p>
      <w:pPr>
        <w:pStyle w:val="ListParagraph"/>
        <w:numPr>
          <w:ilvl w:val="0"/>
          <w:numId w:val="2"/>
        </w:numPr>
        <w:spacing w:after="80"/>
      </w:pPr>
      <w:r>
        <w:rPr>
          <w:rFonts w:ascii="Arial" w:cs="Arial" w:eastAsia="Arial" w:hAnsi="Arial"/>
          <w:color w:val="6B6560"/>
          <w:sz w:val="21"/>
          <w:szCs w:val="21"/>
        </w:rPr>
        <w:t xml:space="preserve">Lancer un espace partenaire en ligne (login, historique, re-commande par collection).</w:t>
      </w:r>
    </w:p>
    <w:p>
      <w:pPr>
        <w:pStyle w:val="ListParagraph"/>
        <w:numPr>
          <w:ilvl w:val="0"/>
          <w:numId w:val="2"/>
        </w:numPr>
        <w:spacing w:after="80"/>
      </w:pPr>
      <w:r>
        <w:rPr>
          <w:rFonts w:ascii="Arial" w:cs="Arial" w:eastAsia="Arial" w:hAnsi="Arial"/>
          <w:color w:val="6B6560"/>
          <w:sz w:val="21"/>
          <w:szCs w:val="21"/>
        </w:rPr>
        <w:t xml:space="preserve">Blog « Les Coulisses de l’Atelier » pour le SEO long-tail et le storytelling maison.</w:t>
      </w:r>
    </w:p>
    <w:p>
      <w:pPr>
        <w:pStyle w:val="ListParagraph"/>
        <w:numPr>
          <w:ilvl w:val="0"/>
          <w:numId w:val="2"/>
        </w:numPr>
        <w:spacing w:after="80"/>
      </w:pPr>
      <w:r>
        <w:rPr>
          <w:rFonts w:ascii="Arial" w:cs="Arial" w:eastAsia="Arial" w:hAnsi="Arial"/>
          <w:color w:val="6B6560"/>
          <w:sz w:val="21"/>
          <w:szCs w:val="21"/>
        </w:rPr>
        <w:t xml:space="preserve">Programme de parrainage partenaire inter-collections.</w:t>
      </w:r>
    </w:p>
    <w:p>
      <w:pPr>
        <w:pStyle w:val="ListParagraph"/>
        <w:numPr>
          <w:ilvl w:val="0"/>
          <w:numId w:val="2"/>
        </w:numPr>
        <w:spacing w:after="80"/>
      </w:pPr>
      <w:r>
        <w:rPr>
          <w:rFonts w:ascii="Arial" w:cs="Arial" w:eastAsia="Arial" w:hAnsi="Arial"/>
          <w:color w:val="6B6560"/>
          <w:sz w:val="21"/>
          <w:szCs w:val="21"/>
        </w:rPr>
        <w:t xml:space="preserve">Google Business Profile + collecte d’avis systématique.</w:t>
      </w:r>
    </w:p>
    <w:p>
      <w:pPr>
        <w:pStyle w:val="ListParagraph"/>
        <w:numPr>
          <w:ilvl w:val="0"/>
          <w:numId w:val="2"/>
        </w:numPr>
        <w:spacing w:after="80"/>
      </w:pPr>
      <w:r>
        <w:rPr>
          <w:rFonts w:ascii="Arial" w:cs="Arial" w:eastAsia="Arial" w:hAnsi="Arial"/>
          <w:color w:val="6B6560"/>
          <w:sz w:val="21"/>
          <w:szCs w:val="21"/>
        </w:rPr>
        <w:t xml:space="preserve">Méga-menu desktop structuré par collection.</w:t>
      </w:r>
    </w:p>
    <w:p>
      <w:pPr>
        <w:pStyle w:val="Heading3"/>
        <w:spacing w:after="120" w:before="200"/>
      </w:pPr>
      <w:r>
        <w:rPr>
          <w:rFonts w:ascii="Arial" w:cs="Arial" w:eastAsia="Arial" w:hAnsi="Arial"/>
          <w:b/>
          <w:bCs/>
          <w:color w:val="1A1714"/>
          <w:sz w:val="22"/>
          <w:szCs w:val="22"/>
        </w:rPr>
        <w:t xml:space="preserve">Phase 4 — Vision Maison 2028-2030</w:t>
      </w:r>
    </w:p>
    <w:p>
      <w:pPr>
        <w:pStyle w:val="ListParagraph"/>
        <w:numPr>
          <w:ilvl w:val="0"/>
          <w:numId w:val="2"/>
        </w:numPr>
        <w:spacing w:after="80"/>
      </w:pPr>
      <w:r>
        <w:rPr>
          <w:rFonts w:ascii="Arial" w:cs="Arial" w:eastAsia="Arial" w:hAnsi="Arial"/>
          <w:color w:val="6B6560"/>
          <w:sz w:val="21"/>
          <w:szCs w:val="21"/>
        </w:rPr>
        <w:t xml:space="preserve">Plateforme e-commerce B2B complète avec tableau de bord partenaire multi-collections.</w:t>
      </w:r>
    </w:p>
    <w:p>
      <w:pPr>
        <w:pStyle w:val="ListParagraph"/>
        <w:numPr>
          <w:ilvl w:val="0"/>
          <w:numId w:val="2"/>
        </w:numPr>
        <w:spacing w:after="80"/>
      </w:pPr>
      <w:r>
        <w:rPr>
          <w:rFonts w:ascii="Arial" w:cs="Arial" w:eastAsia="Arial" w:hAnsi="Arial"/>
          <w:color w:val="6B6560"/>
          <w:sz w:val="21"/>
          <w:szCs w:val="21"/>
        </w:rPr>
        <w:t xml:space="preserve">Expansion géographique : Lyon, Bordeaux, Paris. SEO local par ville et par collection.</w:t>
      </w:r>
    </w:p>
    <w:p>
      <w:pPr>
        <w:pStyle w:val="ListParagraph"/>
        <w:numPr>
          <w:ilvl w:val="0"/>
          <w:numId w:val="2"/>
        </w:numPr>
        <w:spacing w:after="80"/>
      </w:pPr>
      <w:r>
        <w:rPr>
          <w:rFonts w:ascii="Arial" w:cs="Arial" w:eastAsia="Arial" w:hAnsi="Arial"/>
          <w:color w:val="6B6560"/>
          <w:sz w:val="21"/>
          <w:szCs w:val="21"/>
        </w:rPr>
        <w:t xml:space="preserve">Collaborations avec des chefs et des écoles de pâtisserie pour des éditions limitées co-brandées.</w:t>
      </w:r>
    </w:p>
    <w:p>
      <w:pPr>
        <w:pStyle w:val="ListParagraph"/>
        <w:numPr>
          <w:ilvl w:val="0"/>
          <w:numId w:val="2"/>
        </w:numPr>
        <w:spacing w:after="80"/>
      </w:pPr>
      <w:r>
        <w:rPr>
          <w:rFonts w:ascii="Arial" w:cs="Arial" w:eastAsia="Arial" w:hAnsi="Arial"/>
          <w:color w:val="6B6560"/>
          <w:sz w:val="21"/>
          <w:szCs w:val="21"/>
        </w:rPr>
        <w:t xml:space="preserve">Collection « Signatures » personnalisées par restaurant — modèle à forte valeur ajoutée.</w:t>
      </w:r>
    </w:p>
    <w:p>
      <w:pPr>
        <w:pStyle w:val="ListParagraph"/>
        <w:numPr>
          <w:ilvl w:val="0"/>
          <w:numId w:val="2"/>
        </w:numPr>
        <w:spacing w:after="80"/>
      </w:pPr>
      <w:r>
        <w:rPr>
          <w:rFonts w:ascii="Arial" w:cs="Arial" w:eastAsia="Arial" w:hAnsi="Arial"/>
          <w:color w:val="6B6560"/>
          <w:sz w:val="21"/>
          <w:szCs w:val="21"/>
        </w:rPr>
        <w:t xml:space="preserve">Atelier Mirage devient une référence régionale puis nationale en haute pâtisserie B2B d’exception.</w:t>
      </w:r>
    </w:p>
    <w:p>
      <w:r>
        <w:br w:type="page"/>
      </w:r>
    </w:p>
    <w:p>
      <w:pPr>
        <w:pStyle w:val="Heading1"/>
        <w:spacing w:after="200" w:before="360"/>
      </w:pPr>
      <w:r>
        <w:rPr>
          <w:rFonts w:ascii="Cormorant Garamond" w:cs="Cormorant Garamond" w:eastAsia="Cormorant Garamond" w:hAnsi="Cormorant Garamond"/>
          <w:b/>
          <w:bCs/>
          <w:color w:val="1A1714"/>
          <w:sz w:val="36"/>
          <w:szCs w:val="36"/>
        </w:rPr>
        <w:t xml:space="preserve">Annexe — Matrice Complète de Priorisation</w:t>
      </w:r>
    </w:p>
    <w:p>
      <w:pPr>
        <w:spacing w:after="120"/>
        <w:jc w:val="left"/>
      </w:pPr>
      <w:r>
        <w:rPr>
          <w:rFonts w:ascii="Arial" w:cs="Arial" w:eastAsia="Arial" w:hAnsi="Arial"/>
          <w:color w:val="6B6560"/>
          <w:sz w:val="21"/>
          <w:szCs w:val="21"/>
        </w:rPr>
        <w:t xml:space="preserve">Classement de l’ensemble des recommandations par impact business et effort d’implémentation. Les items marqués « ⚔ » sont stratégiques pour la diversification.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360"/>
        <w:gridCol w:w="1400"/>
      </w:tblGrid>
      <w:tr>
        <w:tc>
          <w:tcPr>
            <w:tcW w:type="dxa" w:w="38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Recommandation</w:t>
            </w:r>
          </w:p>
        </w:tc>
        <w:tc>
          <w:tcPr>
            <w:tcW w:type="dxa" w:w="14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Section</w:t>
            </w:r>
          </w:p>
        </w:tc>
        <w:tc>
          <w:tcPr>
            <w:tcW w:type="dxa" w:w="14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Impact</w:t>
            </w:r>
          </w:p>
        </w:tc>
        <w:tc>
          <w:tcPr>
            <w:tcW w:type="dxa" w:w="136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Effort</w:t>
            </w:r>
          </w:p>
        </w:tc>
        <w:tc>
          <w:tcPr>
            <w:tcW w:type="dxa" w:w="1400"/>
            <w:tcBorders>
              <w:top w:val="single" w:color="DDDDDD" w:sz="1"/>
              <w:left w:val="single" w:color="DDDDDD" w:sz="1"/>
              <w:bottom w:val="single" w:color="DDDDDD" w:sz="1"/>
              <w:right w:val="single" w:color="DDDDDD" w:sz="1"/>
            </w:tcBorders>
            <w:shd w:fill="F7F0E6" w:val="clear"/>
            <w:tcMar>
              <w:top w:type="dxa" w:w="60"/>
              <w:left w:type="dxa" w:w="100"/>
              <w:bottom w:type="dxa" w:w="60"/>
              <w:right w:type="dxa" w:w="100"/>
            </w:tcMar>
            <w:vAlign w:val="center"/>
          </w:tcPr>
          <w:p>
            <w:pPr>
              <w:spacing w:after="0"/>
            </w:pPr>
            <w:r>
              <w:rPr>
                <w:rFonts w:ascii="Arial" w:cs="Arial" w:eastAsia="Arial" w:hAnsi="Arial"/>
                <w:b/>
                <w:bCs/>
                <w:color w:val="1A1714"/>
                <w:sz w:val="20"/>
                <w:szCs w:val="20"/>
              </w:rPr>
              <w:t xml:space="preserve">Priorité</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Eyebrow « Haute Pâtisserie d’Exception »</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15 min</w:t>
            </w:r>
          </w:p>
        </w:tc>
        <w:tc>
          <w:tcPr>
            <w:tcW w:type="dxa" w:w="14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Critique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Afficher marge 80% dans pricing</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§4.2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30 min</w:t>
            </w:r>
          </w:p>
        </w:tc>
        <w:tc>
          <w:tcPr>
            <w:tcW w:type="dxa" w:w="14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Critique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Titrer catalogue « Collection Trompe-l’Œil »</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15 min</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KPI « 100% renouvellement »</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§4.1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10 min</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Wording « créations » vs « trompe-l’œil » sitewide</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§5.2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Hiérarchiser double CTA hero</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20 min</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Phrases d’atmosphère fiches produit</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§5.2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Critical CSS inline</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§2.3</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Page FAQ dédiée</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2h</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Photos en situation (restaurants)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§5.3</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Shooting</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Palette d’accents par collection</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§3.4</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Sticky CTA sur page partenaires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30 min</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Simulateur de revenus B2B</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§4.3</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 semaine</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Arborescence /collections/ multi-gamme</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 semaine</w:t>
            </w:r>
          </w:p>
        </w:tc>
        <w:tc>
          <w:tcPr>
            <w:tcW w:type="dxa" w:w="14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Haute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Nav desktop avec liens visibles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1h</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 Hook rotatif par collection</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§1.2</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2h</w:t>
            </w:r>
          </w:p>
        </w:tc>
        <w:tc>
          <w:tcPr>
            <w:tcW w:type="dxa" w:w="14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spacing w:after="0"/>
            </w:pPr>
            <w:r>
              <w:rPr>
                <w:rFonts w:ascii="Arial" w:cs="Arial" w:eastAsia="Arial" w:hAnsi="Arial"/>
                <w:b/>
                <w:bCs/>
                <w:color w:val="F1C40F"/>
                <w:sz w:val="20"/>
                <w:szCs w:val="20"/>
              </w:rPr>
              <w:t xml:space="preserve">Moyenne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Chatbot contextualisé</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§2.1</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3 jours</w:t>
            </w:r>
          </w:p>
        </w:tc>
        <w:tc>
          <w:tcPr>
            <w:tcW w:type="dxa" w:w="14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Basse</w:t>
            </w:r>
          </w:p>
        </w:tc>
      </w:tr>
      <w:tr>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Mention scarcity par zone/collection</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§4.4</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spacing w:after="0"/>
            </w:pPr>
            <w:r>
              <w:rPr>
                <w:rFonts w:ascii="Arial" w:cs="Arial" w:eastAsia="Arial" w:hAnsi="Arial"/>
                <w:b w:val="false"/>
                <w:bCs w:val="false"/>
                <w:color w:val="1A1714"/>
                <w:sz w:val="20"/>
                <w:szCs w:val="20"/>
              </w:rPr>
              <w:t xml:space="preserve">15 min</w:t>
            </w:r>
          </w:p>
        </w:tc>
        <w:tc>
          <w:tcPr>
            <w:tcW w:type="dxa" w:w="14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Basse</w:t>
            </w:r>
          </w:p>
        </w:tc>
      </w:tr>
    </w:tbl>
    <w:p>
      <w:pPr>
        <w:spacing w:after="0" w:before="400"/>
      </w:pPr>
    </w:p>
    <w:p>
      <w:pPr>
        <w:jc w:val="center"/>
      </w:pPr>
      <w:r>
        <w:rPr>
          <w:rFonts w:ascii="Arial" w:cs="Arial" w:eastAsia="Arial" w:hAnsi="Arial"/>
          <w:color w:val="E8D5B8"/>
          <w:sz w:val="16"/>
          <w:szCs w:val="16"/>
        </w:rPr>
        <w:t xml:space="preserve">──────────────────────────</w:t>
      </w:r>
    </w:p>
    <w:p>
      <w:pPr>
        <w:spacing w:after="40" w:before="120"/>
        <w:jc w:val="center"/>
      </w:pPr>
      <w:r>
        <w:rPr>
          <w:rFonts w:ascii="Cormorant Garamond" w:cs="Cormorant Garamond" w:eastAsia="Cormorant Garamond" w:hAnsi="Cormorant Garamond"/>
          <w:i/>
          <w:iCs/>
          <w:color w:val="A8895C"/>
          <w:sz w:val="22"/>
          <w:szCs w:val="22"/>
        </w:rPr>
        <w:t xml:space="preserve">Atelier Mirage — Audit 360° UX/UI/CRO/Stratégie B2B</w:t>
      </w:r>
    </w:p>
    <w:p>
      <w:pPr>
        <w:jc w:val="center"/>
      </w:pPr>
      <w:r>
        <w:rPr>
          <w:rFonts w:ascii="Arial" w:cs="Arial" w:eastAsia="Arial" w:hAnsi="Arial"/>
          <w:color w:val="6B6560"/>
          <w:sz w:val="18"/>
          <w:szCs w:val="18"/>
        </w:rPr>
        <w:t xml:space="preserve">Document confidentiel — Avril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E8D5B8"/>
        <w:sz w:val="16"/>
        <w:szCs w:val="16"/>
      </w:rPr>
      <w:t xml:space="preserve">Atelier Mirage — Audit 360°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E8D5B8"/>
        <w:sz w:val="16"/>
        <w:szCs w:val="16"/>
      </w:rPr>
      <w:t xml:space="preserve">Atelier Mirage — Audit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rmorant Garamond" w:cs="Cormorant Garamond" w:eastAsia="Cormorant Garamond" w:hAnsi="Cormorant Garamond"/>
      <w:b/>
      <w:bCs/>
      <w:color w:val="1A1714"/>
      <w:sz w:val="36"/>
      <w:szCs w:val="36"/>
    </w:rPr>
  </w:style>
  <w:style w:type="paragraph" w:styleId="Heading2">
    <w:name w:val="Heading 2"/>
    <w:basedOn w:val="Normal"/>
    <w:next w:val="Normal"/>
    <w:qFormat/>
    <w:pPr>
      <w:spacing w:after="160" w:before="280"/>
      <w:outlineLvl w:val="1"/>
    </w:pPr>
    <w:rPr>
      <w:rFonts w:ascii="Cormorant Garamond" w:cs="Cormorant Garamond" w:eastAsia="Cormorant Garamond" w:hAnsi="Cormorant Garamond"/>
      <w:b/>
      <w:bCs/>
      <w:color w:val="A889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2026-04-10T19:04:13.194Z</dcterms:created>
  <dcterms:modified xsi:type="dcterms:W3CDTF">2026-04-10T19:04:13.194Z</dcterms:modified>
</cp:coreProperties>
</file>

<file path=docProps/custom.xml><?xml version="1.0" encoding="utf-8"?>
<Properties xmlns="http://schemas.openxmlformats.org/officeDocument/2006/custom-properties" xmlns:vt="http://schemas.openxmlformats.org/officeDocument/2006/docPropsVTypes"/>
</file>