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Penetration Testing Report — Mediroza General Hospital</w:t>
      </w:r>
    </w:p>
    <w:p>
      <w:pPr>
        <w:jc w:val="center"/>
      </w:pPr>
      <w:r>
        <w:rPr>
          <w:i/>
          <w:sz w:val="22"/>
        </w:rPr>
        <w:t>Week 4 | Batch B083 | Black-Box Web Application Assessment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Client</w:t>
            </w:r>
          </w:p>
        </w:tc>
        <w:tc>
          <w:tcPr>
            <w:tcW w:type="dxa" w:w="4968"/>
            <w:vAlign w:val="center"/>
          </w:tcPr>
          <w:p>
            <w:r>
              <w:t>Mediroza General Hospital</w:t>
            </w:r>
          </w:p>
        </w:tc>
      </w:tr>
      <w:tr>
        <w:tc>
          <w:tcPr>
            <w:tcW w:type="dxa" w:w="4968"/>
            <w:vAlign w:val="center"/>
          </w:tcPr>
          <w:p>
            <w:r>
              <w:t>Target</w:t>
            </w:r>
          </w:p>
        </w:tc>
        <w:tc>
          <w:tcPr>
            <w:tcW w:type="dxa" w:w="4968"/>
            <w:vAlign w:val="center"/>
          </w:tcPr>
          <w:p>
            <w:r>
              <w:t>https://medirozahospital.com</w:t>
            </w:r>
          </w:p>
        </w:tc>
      </w:tr>
      <w:tr>
        <w:tc>
          <w:tcPr>
            <w:tcW w:type="dxa" w:w="4968"/>
            <w:vAlign w:val="center"/>
          </w:tcPr>
          <w:p>
            <w:r>
              <w:t>Assessment</w:t>
            </w:r>
          </w:p>
        </w:tc>
        <w:tc>
          <w:tcPr>
            <w:tcW w:type="dxa" w:w="4968"/>
            <w:vAlign w:val="center"/>
          </w:tcPr>
          <w:p>
            <w:r>
              <w:t>Black-box penetration test</w:t>
            </w:r>
          </w:p>
        </w:tc>
      </w:tr>
      <w:tr>
        <w:tc>
          <w:tcPr>
            <w:tcW w:type="dxa" w:w="4968"/>
            <w:vAlign w:val="center"/>
          </w:tcPr>
          <w:p>
            <w:r>
              <w:t>Duration</w:t>
            </w:r>
          </w:p>
        </w:tc>
        <w:tc>
          <w:tcPr>
            <w:tcW w:type="dxa" w:w="4968"/>
            <w:vAlign w:val="center"/>
          </w:tcPr>
          <w:p>
            <w:r>
              <w:t>5 days</w:t>
            </w:r>
          </w:p>
        </w:tc>
      </w:tr>
      <w:tr>
        <w:tc>
          <w:tcPr>
            <w:tcW w:type="dxa" w:w="4968"/>
            <w:vAlign w:val="center"/>
          </w:tcPr>
          <w:p>
            <w:r>
              <w:t>Environment</w:t>
            </w:r>
          </w:p>
        </w:tc>
        <w:tc>
          <w:tcPr>
            <w:tcW w:type="dxa" w:w="4968"/>
            <w:vAlign w:val="center"/>
          </w:tcPr>
          <w:p>
            <w:r>
              <w:t>Authorized educational / controlled environment</w:t>
            </w:r>
          </w:p>
        </w:tc>
      </w:tr>
    </w:tbl>
    <w:p>
      <w:pPr>
        <w:pStyle w:val="Heading1"/>
      </w:pPr>
      <w:r>
        <w:t>1. Executive Summary</w:t>
      </w:r>
    </w:p>
    <w:p>
      <w:r>
        <w:t>This report documents the Week 4 black-box penetration-testing exercise for Mediroza General Hospital. The engagement was conducted in a controlled training environment with written authorization and a five-day scope. The assessment focused on reconnaissance, exposed entry points, authentication behavior, restricted-area access, confidential patient-report access, encrypted-file analysis, and critical data exposure involving staff and shareholder information. The project brief defines four milestones: initial access (M1), data extraction (M2), critical data exposure (M3), and professional reporting (M4).</w:t>
      </w:r>
    </w:p>
    <w:p>
      <w:pPr>
        <w:pStyle w:val="Heading1"/>
      </w:pPr>
      <w:r>
        <w:t>2. Scope and Rules of Engagement</w:t>
      </w:r>
    </w:p>
    <w:p>
      <w:pPr>
        <w:pStyle w:val="ListBullet"/>
      </w:pPr>
      <w:r>
        <w:t>Target: https://medirozahospital.com</w:t>
      </w:r>
    </w:p>
    <w:p>
      <w:pPr>
        <w:pStyle w:val="ListBullet"/>
      </w:pPr>
      <w:r>
        <w:t>Client: Mediroza General Hospital</w:t>
      </w:r>
    </w:p>
    <w:p>
      <w:pPr>
        <w:pStyle w:val="ListBullet"/>
      </w:pPr>
      <w:r>
        <w:t>Assessment type: Black-box penetration test</w:t>
      </w:r>
    </w:p>
    <w:p>
      <w:pPr>
        <w:pStyle w:val="ListBullet"/>
      </w:pPr>
      <w:r>
        <w:t>Duration: 5 days</w:t>
      </w:r>
    </w:p>
    <w:p>
      <w:pPr>
        <w:pStyle w:val="ListBullet"/>
      </w:pPr>
      <w:r>
        <w:t>Scope: Target domain only</w:t>
      </w:r>
    </w:p>
    <w:p>
      <w:pPr>
        <w:pStyle w:val="ListBullet"/>
      </w:pPr>
      <w:r>
        <w:t>Excluded activities: social engineering and denial-of-service testing</w:t>
      </w:r>
    </w:p>
    <w:p>
      <w:pPr>
        <w:pStyle w:val="ListBullet"/>
      </w:pPr>
      <w:r>
        <w:t>Authorization: written permission granted by the training project</w:t>
      </w:r>
    </w:p>
    <w:p>
      <w:r>
        <w:t>The project brief states that testing was limited to the target domain, with no social engineering and no denial-of-service testing. It also states that written authorization had been granted.</w:t>
      </w:r>
    </w:p>
    <w:p>
      <w:pPr>
        <w:pStyle w:val="Heading1"/>
      </w:pPr>
      <w:r>
        <w:t>3. Methodology</w:t>
      </w:r>
    </w:p>
    <w:p>
      <w:pPr>
        <w:pStyle w:val="ListNumber"/>
      </w:pPr>
      <w:r>
        <w:t>Reconnaissance and enumeration of publicly discoverable application resources.</w:t>
      </w:r>
    </w:p>
    <w:p>
      <w:pPr>
        <w:pStyle w:val="ListNumber"/>
      </w:pPr>
      <w:r>
        <w:t>Identification of authentication and restricted-area entry points.</w:t>
      </w:r>
    </w:p>
    <w:p>
      <w:pPr>
        <w:pStyle w:val="ListNumber"/>
      </w:pPr>
      <w:r>
        <w:t>Inspection of application behavior and HTTP request/response information.</w:t>
      </w:r>
    </w:p>
    <w:p>
      <w:pPr>
        <w:pStyle w:val="ListNumber"/>
      </w:pPr>
      <w:r>
        <w:t>Investigation of access-control behavior around the patient portal.</w:t>
      </w:r>
    </w:p>
    <w:p>
      <w:pPr>
        <w:pStyle w:val="ListNumber"/>
      </w:pPr>
      <w:r>
        <w:t>Analysis of retrieved files and exposed resources.</w:t>
      </w:r>
    </w:p>
    <w:p>
      <w:pPr>
        <w:pStyle w:val="ListNumber"/>
      </w:pPr>
      <w:r>
        <w:t>Analysis of database backup structure and sensitive-data exposure.</w:t>
      </w:r>
    </w:p>
    <w:p>
      <w:pPr>
        <w:pStyle w:val="ListNumber"/>
      </w:pPr>
      <w:r>
        <w:t>Collection of screenshots and other evidence for milestone documentation.</w:t>
      </w:r>
    </w:p>
    <w:p>
      <w:pPr>
        <w:pStyle w:val="Heading1"/>
      </w:pPr>
      <w:r>
        <w:t>4. Assessment Milestones</w:t>
      </w:r>
    </w:p>
    <w:tbl>
      <w:tblPr>
        <w:tblStyle w:val="TableGrid"/>
        <w:tblW w:type="auto" w:w="0"/>
        <w:jc w:val="center"/>
        <w:tblLook w:firstColumn="1" w:firstRow="1" w:lastColumn="0" w:lastRow="0" w:noHBand="0" w:noVBand="1" w:val="04A0"/>
      </w:tblPr>
      <w:tblGrid>
        <w:gridCol w:w="4968"/>
        <w:gridCol w:w="4968"/>
      </w:tblGrid>
      <w:tr>
        <w:tc>
          <w:tcPr>
            <w:tcW w:type="dxa" w:w="4968"/>
          </w:tcPr>
          <w:p>
            <w:r>
              <w:t>Milestone</w:t>
            </w:r>
          </w:p>
        </w:tc>
        <w:tc>
          <w:tcPr>
            <w:tcW w:type="dxa" w:w="4968"/>
          </w:tcPr>
          <w:p>
            <w:r>
              <w:t>Objective</w:t>
            </w:r>
          </w:p>
        </w:tc>
      </w:tr>
      <w:tr>
        <w:tc>
          <w:tcPr>
            <w:tcW w:type="dxa" w:w="4968"/>
          </w:tcPr>
          <w:p>
            <w:r>
              <w:t>M1 — Initial Access</w:t>
            </w:r>
          </w:p>
        </w:tc>
        <w:tc>
          <w:tcPr>
            <w:tcW w:type="dxa" w:w="4968"/>
          </w:tcPr>
          <w:p>
            <w:r>
              <w:t>Find three confidential patient PDF laboratory reports and provide proof of access.</w:t>
            </w:r>
          </w:p>
        </w:tc>
      </w:tr>
      <w:tr>
        <w:tc>
          <w:tcPr>
            <w:tcW w:type="dxa" w:w="4968"/>
          </w:tcPr>
          <w:p>
            <w:r>
              <w:t>M2 — Data Extraction</w:t>
            </w:r>
          </w:p>
        </w:tc>
        <w:tc>
          <w:tcPr>
            <w:tcW w:type="dxa" w:w="4968"/>
          </w:tcPr>
          <w:p>
            <w:r>
              <w:t>Analyze and recover the contents of all three encrypted files with proof of successful access.</w:t>
            </w:r>
          </w:p>
        </w:tc>
      </w:tr>
      <w:tr>
        <w:tc>
          <w:tcPr>
            <w:tcW w:type="dxa" w:w="4968"/>
          </w:tcPr>
          <w:p>
            <w:r>
              <w:t>M3 — Critical Data Exposure</w:t>
            </w:r>
          </w:p>
        </w:tc>
        <w:tc>
          <w:tcPr>
            <w:tcW w:type="dxa" w:w="4968"/>
          </w:tcPr>
          <w:p>
            <w:r>
              <w:t>Identify the exposure leading to staff salary and shareholder information and document the evidence.</w:t>
            </w:r>
          </w:p>
        </w:tc>
      </w:tr>
      <w:tr>
        <w:tc>
          <w:tcPr>
            <w:tcW w:type="dxa" w:w="4968"/>
          </w:tcPr>
          <w:p>
            <w:r>
              <w:t>M4 — Penetration Test Report</w:t>
            </w:r>
          </w:p>
        </w:tc>
        <w:tc>
          <w:tcPr>
            <w:tcW w:type="dxa" w:w="4968"/>
          </w:tcPr>
          <w:p>
            <w:r>
              <w:t>Produce a professional report covering findings, risk, evidence, and remediation.</w:t>
            </w:r>
          </w:p>
        </w:tc>
      </w:tr>
    </w:tbl>
    <w:p>
      <w:pPr>
        <w:pStyle w:val="Heading1"/>
      </w:pPr>
      <w:r>
        <w:t>5. Findings and Proof of Exploitation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Finding</w:t>
            </w:r>
          </w:p>
        </w:tc>
        <w:tc>
          <w:tcPr>
            <w:tcW w:type="dxa" w:w="2484"/>
          </w:tcPr>
          <w:p>
            <w:r>
              <w:t>Risk</w:t>
            </w:r>
          </w:p>
        </w:tc>
        <w:tc>
          <w:tcPr>
            <w:tcW w:type="dxa" w:w="2484"/>
          </w:tcPr>
          <w:p>
            <w:r>
              <w:t>Summary</w:t>
            </w:r>
          </w:p>
        </w:tc>
      </w:tr>
      <w:tr>
        <w:tc>
          <w:tcPr>
            <w:tcW w:type="dxa" w:w="2484"/>
          </w:tcPr>
          <w:p>
            <w:r>
              <w:t>F-01</w:t>
            </w:r>
          </w:p>
        </w:tc>
        <w:tc>
          <w:tcPr>
            <w:tcW w:type="dxa" w:w="2484"/>
          </w:tcPr>
          <w:p>
            <w:r>
              <w:t>Sensitive patient-report access</w:t>
            </w:r>
          </w:p>
        </w:tc>
        <w:tc>
          <w:tcPr>
            <w:tcW w:type="dxa" w:w="2484"/>
          </w:tcPr>
          <w:p>
            <w:r>
              <w:t>Critical</w:t>
            </w:r>
          </w:p>
        </w:tc>
        <w:tc>
          <w:tcPr>
            <w:tcW w:type="dxa" w:w="2484"/>
          </w:tcPr>
          <w:p>
            <w:r>
              <w:t>During the authorized lab exercise, restricted patient-report material was accessed. The project objective explicitly required retrieval of three confidential patient PDF laboratory reports. Public versions of this report should not reproduce patient identifiers or medical results.</w:t>
            </w:r>
          </w:p>
        </w:tc>
      </w:tr>
      <w:tr>
        <w:tc>
          <w:tcPr>
            <w:tcW w:type="dxa" w:w="2484"/>
          </w:tcPr>
          <w:p>
            <w:r>
              <w:t>F-02</w:t>
            </w:r>
          </w:p>
        </w:tc>
        <w:tc>
          <w:tcPr>
            <w:tcW w:type="dxa" w:w="2484"/>
          </w:tcPr>
          <w:p>
            <w:r>
              <w:t>Exposed database backup / sensitive records</w:t>
            </w:r>
          </w:p>
        </w:tc>
        <w:tc>
          <w:tcPr>
            <w:tcW w:type="dxa" w:w="2484"/>
          </w:tcPr>
          <w:p>
            <w:r>
              <w:t>Critical</w:t>
            </w:r>
          </w:p>
        </w:tc>
        <w:tc>
          <w:tcPr>
            <w:tcW w:type="dxa" w:w="2484"/>
          </w:tcPr>
          <w:p>
            <w:r>
              <w:t>An exposed SQL backup was identified during the assessment. The backup contained database structures for staff and shareholder information, including sensitive personnel and ownership-related fields. The original backup is not reproduced in this report.</w:t>
            </w:r>
          </w:p>
        </w:tc>
      </w:tr>
      <w:tr>
        <w:tc>
          <w:tcPr>
            <w:tcW w:type="dxa" w:w="2484"/>
          </w:tcPr>
          <w:p>
            <w:r>
              <w:t>F-03</w:t>
            </w:r>
          </w:p>
        </w:tc>
        <w:tc>
          <w:tcPr>
            <w:tcW w:type="dxa" w:w="2484"/>
          </w:tcPr>
          <w:p>
            <w:r>
              <w:t>Exposed application resources</w:t>
            </w:r>
          </w:p>
        </w:tc>
        <w:tc>
          <w:tcPr>
            <w:tcW w:type="dxa" w:w="2484"/>
          </w:tcPr>
          <w:p>
            <w:r>
              <w:t>High</w:t>
            </w:r>
          </w:p>
        </w:tc>
        <w:tc>
          <w:tcPr>
            <w:tcW w:type="dxa" w:w="2484"/>
          </w:tcPr>
          <w:p>
            <w:r>
              <w:t>Reconnaissance identified application resources and entry points, including authentication-related pages and legacy/other resources. The project brief specifically instructs testers to identify exposed entry points and analyze authentication behavior.</w:t>
            </w:r>
          </w:p>
        </w:tc>
      </w:tr>
      <w:tr>
        <w:tc>
          <w:tcPr>
            <w:tcW w:type="dxa" w:w="2484"/>
          </w:tcPr>
          <w:p>
            <w:r>
              <w:t>F-04</w:t>
            </w:r>
          </w:p>
        </w:tc>
        <w:tc>
          <w:tcPr>
            <w:tcW w:type="dxa" w:w="2484"/>
          </w:tcPr>
          <w:p>
            <w:r>
              <w:t>Authentication / access-control weakness</w:t>
            </w:r>
          </w:p>
        </w:tc>
        <w:tc>
          <w:tcPr>
            <w:tcW w:type="dxa" w:w="2484"/>
          </w:tcPr>
          <w:p>
            <w:r>
              <w:t>High</w:t>
            </w:r>
          </w:p>
        </w:tc>
        <w:tc>
          <w:tcPr>
            <w:tcW w:type="dxa" w:w="2484"/>
          </w:tcPr>
          <w:p>
            <w:r>
              <w:t>The assessment investigated patient-portal authentication and restricted-area behavior. Evidence collected during the exercise demonstrated that access-control behavior required security review.</w:t>
            </w:r>
          </w:p>
        </w:tc>
      </w:tr>
    </w:tbl>
    <w:p>
      <w:pPr>
        <w:pStyle w:val="Heading1"/>
      </w:pPr>
      <w:r>
        <w:t>6. Evidence Handling</w:t>
      </w:r>
    </w:p>
    <w:p>
      <w:r>
        <w:t>Evidence should be stored securely and shared only with authorized personnel. Patient-identifying information, medical results, passwords, database dumps, and other sensitive records should not be committed to a public repository.</w:t>
      </w:r>
    </w:p>
    <w:p>
      <w:r>
        <w:t>For screenshots used in a portfolio, redact patient names, identifiers, dates of birth, medical results, credentials, and other personally identifiable information.</w:t>
      </w:r>
    </w:p>
    <w:p>
      <w:pPr>
        <w:pStyle w:val="Heading1"/>
      </w:pPr>
      <w:r>
        <w:t>7. Risk Rating</w:t>
      </w:r>
    </w:p>
    <w:p>
      <w:r>
        <w:t>The ratings below are assessment-level classifications for this training report. They reflect the sensitivity of the affected information and the potential impact demonstrated by the exercise.</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Meaning in this report</w:t>
            </w:r>
          </w:p>
        </w:tc>
        <w:tc>
          <w:tcPr>
            <w:tcW w:type="dxa" w:w="3312"/>
          </w:tcPr>
          <w:p>
            <w:r>
              <w:t>Relevant findings</w:t>
            </w:r>
          </w:p>
        </w:tc>
      </w:tr>
      <w:tr>
        <w:tc>
          <w:tcPr>
            <w:tcW w:type="dxa" w:w="3312"/>
          </w:tcPr>
          <w:p>
            <w:r>
              <w:t>Critical</w:t>
            </w:r>
          </w:p>
        </w:tc>
        <w:tc>
          <w:tcPr>
            <w:tcW w:type="dxa" w:w="3312"/>
          </w:tcPr>
          <w:p>
            <w:r>
              <w:t>Exposure of highly sensitive patient or organizational information with potentially severe confidentiality impact.</w:t>
            </w:r>
          </w:p>
        </w:tc>
        <w:tc>
          <w:tcPr>
            <w:tcW w:type="dxa" w:w="3312"/>
          </w:tcPr>
          <w:p>
            <w:r>
              <w:t>F-01, F-02</w:t>
            </w:r>
          </w:p>
        </w:tc>
      </w:tr>
      <w:tr>
        <w:tc>
          <w:tcPr>
            <w:tcW w:type="dxa" w:w="3312"/>
          </w:tcPr>
          <w:p>
            <w:r>
              <w:t>High</w:t>
            </w:r>
          </w:p>
        </w:tc>
        <w:tc>
          <w:tcPr>
            <w:tcW w:type="dxa" w:w="3312"/>
          </w:tcPr>
          <w:p>
            <w:r>
              <w:t>Weaknesses that materially increase the likelihood or scope of unauthorized access.</w:t>
            </w:r>
          </w:p>
        </w:tc>
        <w:tc>
          <w:tcPr>
            <w:tcW w:type="dxa" w:w="3312"/>
          </w:tcPr>
          <w:p>
            <w:r>
              <w:t>F-03, F-04</w:t>
            </w:r>
          </w:p>
        </w:tc>
      </w:tr>
    </w:tbl>
    <w:p>
      <w:pPr>
        <w:pStyle w:val="Heading1"/>
      </w:pPr>
      <w:r>
        <w:t>8. Recommendations and Remediation</w:t>
      </w:r>
    </w:p>
    <w:p>
      <w:pPr>
        <w:pStyle w:val="ListBullet"/>
      </w:pPr>
      <w:r>
        <w:t>Remove database backups, logs, configuration files, and legacy application files from publicly accessible web directories.</w:t>
      </w:r>
    </w:p>
    <w:p>
      <w:pPr>
        <w:pStyle w:val="ListBullet"/>
      </w:pPr>
      <w:r>
        <w:t>Store backups outside the web root and protect them with strong access controls and encryption.</w:t>
      </w:r>
    </w:p>
    <w:p>
      <w:pPr>
        <w:pStyle w:val="ListBullet"/>
      </w:pPr>
      <w:r>
        <w:t>Implement server-side authorization checks for every patient record and sensitive resource; do not rely on client-side restrictions.</w:t>
      </w:r>
    </w:p>
    <w:p>
      <w:pPr>
        <w:pStyle w:val="ListBullet"/>
      </w:pPr>
      <w:r>
        <w:t>Require strong authentication and secure session management for patient and administrative portals.</w:t>
      </w:r>
    </w:p>
    <w:p>
      <w:pPr>
        <w:pStyle w:val="ListBullet"/>
      </w:pPr>
      <w:r>
        <w:t>Apply least-privilege access to staff, shareholder, and patient information.</w:t>
      </w:r>
    </w:p>
    <w:p>
      <w:pPr>
        <w:pStyle w:val="ListBullet"/>
      </w:pPr>
      <w:r>
        <w:t>Review web-server directory exposure and disable unnecessary directory listing.</w:t>
      </w:r>
    </w:p>
    <w:p>
      <w:pPr>
        <w:pStyle w:val="ListBullet"/>
      </w:pPr>
      <w:r>
        <w:t>Remove obsolete application components and restrict access to administrative or legacy paths.</w:t>
      </w:r>
    </w:p>
    <w:p>
      <w:pPr>
        <w:pStyle w:val="ListBullet"/>
      </w:pPr>
      <w:r>
        <w:t>Log and monitor access to sensitive records and investigate unusual access patterns.</w:t>
      </w:r>
    </w:p>
    <w:p>
      <w:pPr>
        <w:pStyle w:val="ListBullet"/>
      </w:pPr>
      <w:r>
        <w:t>Conduct periodic authenticated and unauthenticated security testing after remediation.</w:t>
      </w:r>
    </w:p>
    <w:p>
      <w:pPr>
        <w:pStyle w:val="ListBullet"/>
      </w:pPr>
      <w:r>
        <w:t>Redact patient-identifying and medical information from training evidence and public repositories.</w:t>
      </w:r>
    </w:p>
    <w:p>
      <w:pPr>
        <w:pStyle w:val="Heading1"/>
      </w:pPr>
      <w:r>
        <w:t>9. Conclusion</w:t>
      </w:r>
    </w:p>
    <w:p>
      <w:r>
        <w:t>The Week 4 assessment demonstrated how exposed application resources, weak access controls, and improperly protected data stores can combine to create significant confidentiality risks. The exercise provided practical experience across reconnaissance, web application testing, file and database analysis, evidence handling, and professional security reporting.</w:t>
      </w:r>
    </w:p>
    <w:p>
      <w:pPr>
        <w:pStyle w:val="Heading1"/>
      </w:pPr>
      <w:r>
        <w:t>10. Ethical and Legal Notice</w:t>
      </w:r>
    </w:p>
    <w:p>
      <w:r>
        <w:t>This report is for the authorized NetworkWalks training exercise only. The project brief states that the target was authorized for security testing and that the techniques must not be applied to systems without explicit written permission from the owner.</w:t>
      </w:r>
    </w:p>
    <w:p>
      <w:pPr>
        <w:pStyle w:val="Heading1"/>
      </w:pPr>
      <w:r>
        <w:t>Appendix A — Evidence Checklist</w:t>
      </w:r>
    </w:p>
    <w:p>
      <w:pPr>
        <w:pStyle w:val="ListBullet"/>
      </w:pPr>
      <w:r>
        <w:t>M1 proof-of-access screenshots and three retrieved patient PDFs — retain securely; do not publish unredacted copies.</w:t>
      </w:r>
    </w:p>
    <w:p>
      <w:pPr>
        <w:pStyle w:val="ListBullet"/>
      </w:pPr>
      <w:r>
        <w:t>M2 recovered-file evidence — retain securely.</w:t>
      </w:r>
    </w:p>
    <w:p>
      <w:pPr>
        <w:pStyle w:val="ListBullet"/>
      </w:pPr>
      <w:r>
        <w:t>M3 database exposure evidence and sanitized summary.</w:t>
      </w:r>
    </w:p>
    <w:p>
      <w:pPr>
        <w:pStyle w:val="ListBullet"/>
      </w:pPr>
      <w:r>
        <w:t>HTTP request/response evidence where appropriate.</w:t>
      </w:r>
    </w:p>
    <w:p>
      <w:pPr>
        <w:pStyle w:val="ListBullet"/>
      </w:pPr>
      <w:r>
        <w:t>Final report and remediation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