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200" w:line="360" w:lineRule="auto"/>
        <w:ind w:right="-6.259842519683616"/>
        <w:jc w:val="both"/>
        <w:rPr>
          <w:rFonts w:ascii="Open Sans" w:cs="Open Sans" w:eastAsia="Open Sans" w:hAnsi="Open Sans"/>
          <w:sz w:val="46"/>
          <w:szCs w:val="46"/>
        </w:rPr>
      </w:pPr>
      <w:bookmarkStart w:colFirst="0" w:colLast="0" w:name="_b9bbsaoxhmn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</w:rPr>
        <w:drawing>
          <wp:inline distB="114300" distT="114300" distL="114300" distR="114300">
            <wp:extent cx="3552825" cy="10858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Rajdhani" w:cs="Rajdhani" w:eastAsia="Rajdhani" w:hAnsi="Rajdhani"/>
          <w:b w:val="1"/>
          <w:color w:val="434343"/>
          <w:sz w:val="66"/>
          <w:szCs w:val="66"/>
        </w:rPr>
      </w:pPr>
      <w:bookmarkStart w:colFirst="0" w:colLast="0" w:name="_2i9auay85y0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Consultando la BD eMarket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1954050" cy="146924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4050" cy="1469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Vamos a practicar sobre consultas SELECT, enfocándonos en Joins: Inner, left y right.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Tips: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Cada enunciado se corresponde con una consulta SELECT.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Recordá ir guardando las consultas .SQL.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2141700" cy="189924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700" cy="1899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Open Sans" w:cs="Open Sans" w:eastAsia="Open Sans" w:hAnsi="Open Sans"/>
          <w:b w:val="1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Open Sans" w:cs="Open Sans" w:eastAsia="Open Sans" w:hAnsi="Open Sans"/>
          <w:b w:val="1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Open Sans" w:cs="Open Sans" w:eastAsia="Open Sans" w:hAnsi="Open Sans"/>
          <w:b w:val="1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36"/>
          <w:szCs w:val="36"/>
          <w:rtl w:val="0"/>
        </w:rPr>
        <w:t xml:space="preserve">Consignas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Repaso de joins y funciones: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344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rPr>
          <w:rFonts w:ascii="Open Sans" w:cs="Open Sans" w:eastAsia="Open Sans" w:hAnsi="Open Sans"/>
          <w:b w:val="1"/>
          <w:color w:val="cc0000"/>
          <w:sz w:val="44"/>
          <w:szCs w:val="44"/>
        </w:rPr>
      </w:pPr>
      <w:bookmarkStart w:colFirst="0" w:colLast="0" w:name="_rtly9123nb4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rPr>
          <w:rFonts w:ascii="Rajdhani" w:cs="Rajdhani" w:eastAsia="Rajdhani" w:hAnsi="Rajdhani"/>
          <w:color w:val="e6204e"/>
        </w:rPr>
      </w:pPr>
      <w:bookmarkStart w:colFirst="0" w:colLast="0" w:name="_81sucvcpsje2" w:id="3"/>
      <w:bookmarkEnd w:id="3"/>
      <w:r w:rsidDel="00000000" w:rsidR="00000000" w:rsidRPr="00000000">
        <w:rPr>
          <w:rFonts w:ascii="Rajdhani" w:cs="Rajdhani" w:eastAsia="Rajdhani" w:hAnsi="Rajdhani"/>
          <w:b w:val="1"/>
          <w:color w:val="e6204e"/>
          <w:sz w:val="44"/>
          <w:szCs w:val="44"/>
          <w:rtl w:val="0"/>
        </w:rPr>
        <w:t xml:space="preserve">Consultas Queries XXL Parte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a los clientes que hayan realizado compras durante el año 1996.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listado debe contener las siguientes columnas: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Nombre y la inicial del apellido. Por ejemplo, en lugar de 'Mario Pontes' debe decir 'Mario P.'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título tiene que ir todo en mayúscula.</w:t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las facturas para las cuales el envío haya sido a una ciudad distinta a la ciudad del cliente. Considerar únicamente a los clientes de UK.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listado debe incluir: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número de factura completando con ceros a la izquierda 8 posiciones. Por ejemplo, 00001234.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La fecha de la factura en formato YYYY-MM-DD. Por ejemplo 1996-12-01,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La ciudad del cliente.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La ciudad de destino.</w:t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las categorías y sus productos, incluyendo aquellas categorías para las cuales no haya productos en la base de datos. En el caso de los nombres de los productos, donde diga Mix o Chef, reemplazarlo por MIX o CHEF respectivamente. Por ejemplo, en lugar de Filo Mix, colocar Filo MIX. </w:t>
      </w:r>
    </w:p>
    <w:p w:rsidR="00000000" w:rsidDel="00000000" w:rsidP="00000000" w:rsidRDefault="00000000" w:rsidRPr="00000000" w14:paraId="0000002B">
      <w:pPr>
        <w:pStyle w:val="Title"/>
        <w:rPr>
          <w:rFonts w:ascii="Open Sans" w:cs="Open Sans" w:eastAsia="Open Sans" w:hAnsi="Open Sans"/>
          <w:b w:val="1"/>
          <w:sz w:val="36"/>
          <w:szCs w:val="36"/>
        </w:rPr>
      </w:pPr>
      <w:bookmarkStart w:colFirst="0" w:colLast="0" w:name="_ny02tvg9i9a9" w:id="4"/>
      <w:bookmarkEnd w:id="4"/>
      <w:r w:rsidDel="00000000" w:rsidR="00000000" w:rsidRPr="00000000">
        <w:br w:type="page"/>
      </w:r>
      <w:r w:rsidDel="00000000" w:rsidR="00000000" w:rsidRPr="00000000">
        <w:rPr>
          <w:rFonts w:ascii="Rajdhani" w:cs="Rajdhani" w:eastAsia="Rajdhani" w:hAnsi="Rajdhani"/>
          <w:b w:val="1"/>
          <w:color w:val="e6204e"/>
          <w:sz w:val="44"/>
          <w:szCs w:val="44"/>
          <w:rtl w:val="0"/>
        </w:rPr>
        <w:t xml:space="preserve">Consultas Queries XL Parte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Para cada empresa de correo, calcular el total de transporte. Incluir todas las empresas de correo, aun cuando no hayan realizado ninguna operación.</w:t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la información de contacto (o, dirección, etc.) de los clientes que no hayan realizado compras. Mostrar la información en el formato que se considere más apropiado. Por ejemplo: &lt;direccion&gt; (CP: &lt;codigo postal&gt;).</w:t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a los empleados, junto con el importe total de sus ventas de la categoría Beverages. Mostrar el importe con dos decimales.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rFonts w:ascii="Open Sans" w:cs="Open Sans" w:eastAsia="Open Sans" w:hAnsi="Open San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>
        <w:rFonts w:ascii="Rajdhani" w:cs="Rajdhani" w:eastAsia="Rajdhani" w:hAnsi="Rajdhani"/>
        <w:b w:val="1"/>
        <w:color w:val="434343"/>
        <w:sz w:val="50"/>
        <w:szCs w:val="50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8"/>
        <w:szCs w:val="3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-9524</wp:posOffset>
          </wp:positionV>
          <wp:extent cx="7564275" cy="1299671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564275" cy="129967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0</wp:posOffset>
          </wp:positionV>
          <wp:extent cx="7553325" cy="1152525"/>
          <wp:effectExtent b="0" l="0" r="0" t="0"/>
          <wp:wrapSquare wrapText="bothSides" distB="0" distT="0" distL="0" distR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e6204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e6204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1"/>
        <w:color w:val="434343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