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BDB" w:rsidRDefault="00723BDB">
      <w:pPr>
        <w:pBdr>
          <w:top w:val="nil"/>
          <w:left w:val="nil"/>
          <w:bottom w:val="nil"/>
          <w:right w:val="nil"/>
          <w:between w:val="nil"/>
        </w:pBdr>
        <w:spacing w:after="280"/>
        <w:jc w:val="left"/>
        <w:rPr>
          <w:sz w:val="48"/>
          <w:szCs w:val="48"/>
        </w:rPr>
      </w:pPr>
    </w:p>
    <w:p w:rsidR="00723BDB" w:rsidRDefault="00223C44" w:rsidP="00BD4C53">
      <w:pPr>
        <w:spacing w:after="280"/>
        <w:rPr>
          <w:sz w:val="48"/>
          <w:szCs w:val="48"/>
        </w:rPr>
        <w:sectPr w:rsidR="00723BDB">
          <w:footerReference w:type="first" r:id="rId9"/>
          <w:pgSz w:w="11906" w:h="16838"/>
          <w:pgMar w:top="540" w:right="893" w:bottom="1440" w:left="893" w:header="720" w:footer="720" w:gutter="0"/>
          <w:pgNumType w:start="1"/>
          <w:cols w:space="720" w:equalWidth="0">
            <w:col w:w="9360"/>
          </w:cols>
          <w:titlePg/>
        </w:sect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Cycloconverters </w:t>
      </w:r>
      <w:r w:rsidR="006166F1" w:rsidRPr="00397F1A">
        <w:rPr>
          <w:sz w:val="48"/>
          <w:szCs w:val="48"/>
        </w:rPr>
        <w:t>with Si</w:t>
      </w:r>
      <w:r w:rsidR="006166F1">
        <w:rPr>
          <w:sz w:val="48"/>
          <w:szCs w:val="48"/>
        </w:rPr>
        <w:t>C</w:t>
      </w:r>
      <w:r w:rsidR="005C2337">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r w:rsidR="006166F1">
        <w:rPr>
          <w:rStyle w:val="CommentReference"/>
        </w:rPr>
        <w:commentReference w:id="1"/>
      </w:r>
    </w:p>
    <w:p w:rsidR="00723BDB" w:rsidRPr="000C7362" w:rsidRDefault="005A64B3">
      <w:pPr>
        <w:rPr>
          <w:sz w:val="18"/>
          <w:szCs w:val="18"/>
        </w:rPr>
      </w:pPr>
      <w:r w:rsidRPr="000C7362">
        <w:rPr>
          <w:sz w:val="18"/>
          <w:szCs w:val="18"/>
        </w:rPr>
        <w:lastRenderedPageBreak/>
        <w:t>Karthik K Bhat</w:t>
      </w:r>
    </w:p>
    <w:p w:rsidR="00723BDB" w:rsidRPr="000C7362" w:rsidRDefault="005A64B3">
      <w:pPr>
        <w:rPr>
          <w:i/>
          <w:sz w:val="18"/>
          <w:szCs w:val="18"/>
        </w:rPr>
      </w:pPr>
      <w:r w:rsidRPr="000C7362">
        <w:rPr>
          <w:i/>
          <w:sz w:val="18"/>
          <w:szCs w:val="18"/>
        </w:rPr>
        <w:t>Electronics and Communication Engineering</w:t>
      </w:r>
    </w:p>
    <w:p w:rsidR="00723BDB" w:rsidRPr="000C7362" w:rsidRDefault="005A64B3">
      <w:pPr>
        <w:rPr>
          <w:i/>
          <w:sz w:val="18"/>
          <w:szCs w:val="18"/>
        </w:rPr>
      </w:pPr>
      <w:r w:rsidRPr="000C7362">
        <w:rPr>
          <w:i/>
          <w:sz w:val="18"/>
          <w:szCs w:val="18"/>
        </w:rPr>
        <w:t xml:space="preserve">PES University </w:t>
      </w:r>
    </w:p>
    <w:p w:rsidR="00723BDB" w:rsidRPr="000C7362" w:rsidRDefault="005A64B3">
      <w:pPr>
        <w:rPr>
          <w:sz w:val="18"/>
          <w:szCs w:val="18"/>
        </w:rPr>
      </w:pPr>
      <w:r w:rsidRPr="000C7362">
        <w:rPr>
          <w:sz w:val="18"/>
          <w:szCs w:val="18"/>
        </w:rPr>
        <w:t>Bengaluru, India.</w:t>
      </w:r>
    </w:p>
    <w:p w:rsidR="00723BDB" w:rsidRPr="000C7362" w:rsidRDefault="005A64B3">
      <w:pPr>
        <w:rPr>
          <w:sz w:val="18"/>
          <w:szCs w:val="18"/>
        </w:rPr>
      </w:pPr>
      <w:r w:rsidRPr="000C7362">
        <w:rPr>
          <w:sz w:val="18"/>
          <w:szCs w:val="18"/>
        </w:rPr>
        <w:t>karthikkbhat19@gmail.com</w:t>
      </w:r>
      <w:r>
        <w:br w:type="column"/>
      </w:r>
      <w:r w:rsidRPr="000C7362">
        <w:rPr>
          <w:sz w:val="18"/>
          <w:szCs w:val="18"/>
        </w:rPr>
        <w:lastRenderedPageBreak/>
        <w:t xml:space="preserve">Maithili J S </w:t>
      </w:r>
    </w:p>
    <w:p w:rsidR="00723BDB" w:rsidRPr="000C7362" w:rsidRDefault="005A64B3">
      <w:pPr>
        <w:rPr>
          <w:i/>
          <w:sz w:val="18"/>
          <w:szCs w:val="18"/>
        </w:rPr>
      </w:pPr>
      <w:r w:rsidRPr="000C7362">
        <w:rPr>
          <w:i/>
          <w:sz w:val="18"/>
          <w:szCs w:val="18"/>
        </w:rPr>
        <w:t xml:space="preserve">Electronics and Communication Engineering </w:t>
      </w:r>
    </w:p>
    <w:p w:rsidR="00723BDB" w:rsidRPr="000C7362" w:rsidRDefault="005A64B3">
      <w:pPr>
        <w:rPr>
          <w:i/>
          <w:sz w:val="18"/>
          <w:szCs w:val="18"/>
        </w:rPr>
      </w:pPr>
      <w:r w:rsidRPr="000C7362">
        <w:rPr>
          <w:i/>
          <w:sz w:val="18"/>
          <w:szCs w:val="18"/>
        </w:rPr>
        <w:t>PES University</w:t>
      </w:r>
    </w:p>
    <w:p w:rsidR="00723BDB" w:rsidRPr="000C7362" w:rsidRDefault="005A64B3">
      <w:pPr>
        <w:rPr>
          <w:sz w:val="18"/>
          <w:szCs w:val="18"/>
        </w:rPr>
      </w:pPr>
      <w:r w:rsidRPr="000C7362">
        <w:rPr>
          <w:sz w:val="18"/>
          <w:szCs w:val="18"/>
        </w:rPr>
        <w:t>Bengaluru, India.</w:t>
      </w:r>
    </w:p>
    <w:p w:rsidR="00723BDB" w:rsidRPr="000C7362" w:rsidRDefault="005A64B3">
      <w:pPr>
        <w:rPr>
          <w:sz w:val="18"/>
          <w:szCs w:val="18"/>
        </w:rPr>
      </w:pPr>
      <w:r w:rsidRPr="000C7362">
        <w:rPr>
          <w:sz w:val="18"/>
          <w:szCs w:val="18"/>
        </w:rPr>
        <w:t>maithili.shetty15@gmail.com</w:t>
      </w:r>
    </w:p>
    <w:p w:rsidR="00723BDB" w:rsidRPr="000C7362" w:rsidRDefault="005A64B3" w:rsidP="00C645A3">
      <w:pPr>
        <w:rPr>
          <w:sz w:val="18"/>
          <w:szCs w:val="18"/>
        </w:rPr>
      </w:pPr>
      <w:r>
        <w:br w:type="column"/>
      </w:r>
      <w:r w:rsidRPr="000C7362">
        <w:rPr>
          <w:sz w:val="18"/>
          <w:szCs w:val="18"/>
        </w:rPr>
        <w:lastRenderedPageBreak/>
        <w:t>Anoop Narayana</w:t>
      </w:r>
    </w:p>
    <w:p w:rsidR="00723BDB" w:rsidRPr="000C7362" w:rsidRDefault="005A64B3" w:rsidP="00C645A3">
      <w:pPr>
        <w:rPr>
          <w:i/>
          <w:sz w:val="18"/>
          <w:szCs w:val="18"/>
        </w:rPr>
      </w:pPr>
      <w:r w:rsidRPr="000C7362">
        <w:rPr>
          <w:i/>
          <w:sz w:val="18"/>
          <w:szCs w:val="18"/>
        </w:rPr>
        <w:t>Electronics and Communication Engineering</w:t>
      </w:r>
    </w:p>
    <w:p w:rsidR="00723BDB" w:rsidRPr="000C7362" w:rsidRDefault="005A64B3" w:rsidP="00C645A3">
      <w:pPr>
        <w:rPr>
          <w:i/>
          <w:sz w:val="18"/>
          <w:szCs w:val="18"/>
        </w:rPr>
      </w:pPr>
      <w:r w:rsidRPr="000C7362">
        <w:rPr>
          <w:i/>
          <w:sz w:val="18"/>
          <w:szCs w:val="18"/>
        </w:rPr>
        <w:t>PES University</w:t>
      </w:r>
    </w:p>
    <w:p w:rsidR="00723BDB" w:rsidRPr="000C7362" w:rsidRDefault="005A64B3" w:rsidP="00C645A3">
      <w:pPr>
        <w:rPr>
          <w:sz w:val="18"/>
          <w:szCs w:val="18"/>
        </w:rPr>
      </w:pPr>
      <w:r w:rsidRPr="000C7362">
        <w:rPr>
          <w:sz w:val="18"/>
          <w:szCs w:val="18"/>
        </w:rPr>
        <w:t>Bengaluru, India.</w:t>
      </w:r>
    </w:p>
    <w:p w:rsidR="00723BDB" w:rsidRPr="000C7362" w:rsidRDefault="005A64B3" w:rsidP="00C645A3">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anoopmithur@gmail.com</w:t>
      </w:r>
    </w:p>
    <w:p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lastRenderedPageBreak/>
        <w:br w:type="column"/>
      </w:r>
    </w:p>
    <w:p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lastRenderedPageBreak/>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5C2337">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F6689B">
        <w:rPr>
          <w:b/>
          <w:sz w:val="18"/>
          <w:szCs w:val="18"/>
        </w:rPr>
        <w:t>Cycloconverters</w:t>
      </w:r>
      <w:r w:rsidR="00703CE2">
        <w:rPr>
          <w:b/>
          <w:sz w:val="18"/>
          <w:szCs w:val="18"/>
        </w:rPr>
        <w:t>, IGBT</w:t>
      </w:r>
      <w:r w:rsidR="00F6689B">
        <w:rPr>
          <w:b/>
          <w:sz w:val="18"/>
          <w:szCs w:val="18"/>
        </w:rPr>
        <w:t>, Silicon C</w:t>
      </w:r>
      <w:r>
        <w:rPr>
          <w:b/>
          <w:sz w:val="18"/>
          <w:szCs w:val="18"/>
        </w:rPr>
        <w:t xml:space="preserve">arbide MOSFET, PID controller. </w:t>
      </w:r>
    </w:p>
    <w:p w:rsidR="00723BDB" w:rsidRDefault="00723BDB">
      <w:pPr>
        <w:pBdr>
          <w:top w:val="nil"/>
          <w:left w:val="nil"/>
          <w:bottom w:val="nil"/>
          <w:right w:val="nil"/>
          <w:between w:val="nil"/>
        </w:pBdr>
        <w:spacing w:after="120"/>
        <w:ind w:firstLine="274"/>
        <w:jc w:val="both"/>
      </w:pPr>
    </w:p>
    <w:p w:rsidR="008E4142" w:rsidRDefault="008E4142" w:rsidP="00932B34">
      <w:pPr>
        <w:pStyle w:val="Heading1"/>
        <w:numPr>
          <w:ilvl w:val="0"/>
          <w:numId w:val="7"/>
        </w:numPr>
        <w:rPr>
          <w:b/>
          <w:bCs/>
        </w:rPr>
      </w:pPr>
      <w:r w:rsidRPr="00932B34">
        <w:t>INTRODUCTION</w:t>
      </w:r>
    </w:p>
    <w:p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9C27D6">
        <w:rPr>
          <w:shd w:val="clear" w:color="auto" w:fill="FFFFFF"/>
        </w:rPr>
        <w:t xml:space="preserve"> </w:t>
      </w:r>
      <w:r w:rsidR="00CE627F">
        <w:rPr>
          <w:shd w:val="clear" w:color="auto" w:fill="FFFFFF"/>
        </w:rPr>
        <w:t>(SiC) or Gallium Nitride</w:t>
      </w:r>
      <w:r w:rsidR="009C27D6">
        <w:rPr>
          <w:shd w:val="clear" w:color="auto" w:fill="FFFFFF"/>
        </w:rPr>
        <w:t xml:space="preserve"> </w:t>
      </w:r>
      <w:r w:rsidR="00CE627F">
        <w:rPr>
          <w:shd w:val="clear" w:color="auto" w:fill="FFFFFF"/>
        </w:rPr>
        <w:t>(GaN) are ready to carve out a niche in applications that demand the ability to work at high voltages and temperatures while demonstrating high efficiency and relatively smaller dimensions owing to their intrinsic properties.</w:t>
      </w:r>
      <w:r w:rsidR="009C27D6">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 xml:space="preserve">gnificantly higher operating temperatures, better conduction and switching properties. For these reasons, the WBG devices have been identified to have a promising future in the power semiconductor industry. </w:t>
      </w:r>
    </w:p>
    <w:p w:rsidR="00626B09" w:rsidRDefault="00626B09" w:rsidP="00A73FB1">
      <w:pPr>
        <w:pStyle w:val="ListParagraph"/>
        <w:spacing w:after="120"/>
        <w:ind w:left="0" w:firstLine="288"/>
        <w:jc w:val="both"/>
        <w:rPr>
          <w:shd w:val="clear" w:color="auto" w:fill="FFFFFF"/>
        </w:rPr>
      </w:pPr>
    </w:p>
    <w:p w:rsidR="009931F0" w:rsidRPr="00EC7A52" w:rsidRDefault="00626B09" w:rsidP="00EC7A52">
      <w:pPr>
        <w:pStyle w:val="ListParagraph"/>
        <w:spacing w:after="120"/>
        <w:ind w:left="0" w:firstLine="288"/>
        <w:jc w:val="both"/>
        <w:rPr>
          <w:shd w:val="clear" w:color="auto" w:fill="FFFFFF"/>
        </w:rPr>
      </w:pPr>
      <w:r>
        <w:rPr>
          <w:shd w:val="clear" w:color="auto" w:fill="FFFFFF"/>
        </w:rPr>
        <w:t xml:space="preserve">In this paper however we mainly focus only on the Silicon Carbide MOSFET. </w:t>
      </w:r>
    </w:p>
    <w:p w:rsidR="009931F0" w:rsidRDefault="009931F0" w:rsidP="00E22390">
      <w:pPr>
        <w:pStyle w:val="ListParagraph"/>
        <w:spacing w:after="120"/>
        <w:ind w:left="0" w:firstLine="288"/>
        <w:jc w:val="both"/>
        <w:rPr>
          <w:shd w:val="clear" w:color="auto" w:fill="FFFFFF"/>
        </w:rPr>
      </w:pPr>
    </w:p>
    <w:p w:rsidR="00EB4E7B" w:rsidRDefault="009C27D6" w:rsidP="00E22390">
      <w:pPr>
        <w:pStyle w:val="ListParagraph"/>
        <w:spacing w:after="120"/>
        <w:ind w:left="0" w:firstLine="288"/>
        <w:jc w:val="both"/>
        <w:rPr>
          <w:shd w:val="clear" w:color="auto" w:fill="FFFFFF"/>
        </w:rPr>
      </w:pPr>
      <w:r>
        <w:rPr>
          <w:shd w:val="clear" w:color="auto" w:fill="FFFFFF"/>
        </w:rPr>
        <w:t>These emerging Silicon Carbide (SiC) MOSFET power devices promise to displace Silicon IGBTs from the majority of challenging power electronics applications by enabling superior efficiency and power density, as well as capability to o</w:t>
      </w:r>
      <w:r w:rsidR="009931F0">
        <w:rPr>
          <w:shd w:val="clear" w:color="auto" w:fill="FFFFFF"/>
        </w:rPr>
        <w:t>perate at higher temperatures [1</w:t>
      </w:r>
      <w:r>
        <w:rPr>
          <w:shd w:val="clear" w:color="auto" w:fill="FFFFFF"/>
        </w:rPr>
        <w:t xml:space="preserve">]. </w:t>
      </w:r>
    </w:p>
    <w:p w:rsidR="00EB4E7B" w:rsidRDefault="00EB4E7B" w:rsidP="00E22390">
      <w:pPr>
        <w:pStyle w:val="ListParagraph"/>
        <w:spacing w:after="120"/>
        <w:ind w:left="0" w:firstLine="288"/>
        <w:jc w:val="both"/>
        <w:rPr>
          <w:shd w:val="clear" w:color="auto" w:fill="FFFFFF"/>
        </w:rPr>
      </w:pPr>
    </w:p>
    <w:p w:rsidR="008E4142" w:rsidRPr="000D279C" w:rsidRDefault="008E4142" w:rsidP="00E22390">
      <w:pPr>
        <w:pStyle w:val="ListParagraph"/>
        <w:spacing w:after="120"/>
        <w:ind w:left="0" w:firstLine="288"/>
        <w:jc w:val="both"/>
        <w:rPr>
          <w:shd w:val="clear" w:color="auto" w:fill="FFFFFF"/>
        </w:rPr>
      </w:pPr>
      <w:r w:rsidRPr="000D279C">
        <w:rPr>
          <w:shd w:val="clear" w:color="auto" w:fill="FFFFFF"/>
        </w:rPr>
        <w:t>A Cycloconverter refers to a frequency changer that can change AC power from one frequency to AC power at another frequency.</w:t>
      </w:r>
      <w:r w:rsidRPr="001A39B4">
        <w:t xml:space="preserve"> A Cycloconverter is a device that converts constant voltage and frequency AC waveform to another AC waveform of lower frequency without using DC </w:t>
      </w:r>
      <w:r w:rsidRPr="001A39B4">
        <w:lastRenderedPageBreak/>
        <w:t>link in the conversion process th</w:t>
      </w:r>
      <w:r w:rsidR="00125424">
        <w:t xml:space="preserve">us making it highly efficient. </w:t>
      </w:r>
      <w:r w:rsidRPr="001A39B4">
        <w:t xml:space="preserve">Cycloconverters are extensively used for driving large motors like Rolling mills, water pumps, variable frequency speed control for  machines such as Induction motor, Industries etc. Blocking mode type and Circulating mode type are the two main types of Cycloconverters. </w:t>
      </w:r>
      <w:r w:rsidRPr="000D279C">
        <w:rPr>
          <w:shd w:val="clear" w:color="auto" w:fill="FFFFFF"/>
        </w:rPr>
        <w:t>In Blocking mode, depending on the polarity of the load current, either the positive or negative converters are enabled. The blocking mode operation has some advantages over circulating mode operation as they don’t need any integroup reactors (IGR) reactors hence size and cost is less. The speed control of induction motor plays Important role in industries, there are various ways to control the speed of motor but considering it’s efficiency, this paper proposes a Silicon carbide  based Cycloconverter for the  single phase induction motor speed control. A single-phase to single-phase Cycloconverter consists of two full wave converters that are linked back to back.  </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w:t>
      </w:r>
    </w:p>
    <w:p w:rsidR="00723BDB" w:rsidRDefault="005A64B3">
      <w:pPr>
        <w:pStyle w:val="Heading2"/>
        <w:numPr>
          <w:ilvl w:val="1"/>
          <w:numId w:val="6"/>
        </w:numPr>
      </w:pPr>
      <w:r>
        <w:t>Maintaining the Integrity of the Specifications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723BDB" w:rsidRDefault="005A64B3">
      <w:pPr>
        <w:pStyle w:val="Heading1"/>
        <w:numPr>
          <w:ilvl w:val="0"/>
          <w:numId w:val="6"/>
        </w:numPr>
      </w:pPr>
      <w:r>
        <w:t>Prepare Your Paper Before Styling</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Before you begin to format your paper, first write and save the content as a separate text file. Complete all content and organizational editing before formatting. Please note sections A-D below for more information on proofreading, spelling and grammar.</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723BDB" w:rsidRDefault="005A64B3">
      <w:pPr>
        <w:pStyle w:val="Heading2"/>
        <w:numPr>
          <w:ilvl w:val="1"/>
          <w:numId w:val="6"/>
        </w:numPr>
      </w:pPr>
      <w:r>
        <w:lastRenderedPageBreak/>
        <w:t>Abbreviations and Acronyms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723BDB" w:rsidRDefault="005A64B3">
      <w:pPr>
        <w:pStyle w:val="Heading2"/>
        <w:numPr>
          <w:ilvl w:val="1"/>
          <w:numId w:val="6"/>
        </w:numPr>
      </w:pPr>
      <w:r>
        <w:t>Units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mix complete spellings and abbreviations of units: “Wb/m2” or “webers per square meter”, not “webers/m2”.  Spell out units when they appear in text: “. . . a few henries”, not “. . . a few H”.</w:t>
      </w:r>
    </w:p>
    <w:p w:rsidR="00723BDB" w:rsidRDefault="005A64B3">
      <w:pPr>
        <w:pBdr>
          <w:top w:val="single" w:sz="4" w:space="2" w:color="000000"/>
          <w:left w:val="nil"/>
          <w:bottom w:val="nil"/>
          <w:right w:val="nil"/>
          <w:between w:val="nil"/>
        </w:pBdr>
        <w:ind w:firstLine="289"/>
        <w:jc w:val="left"/>
        <w:rPr>
          <w:rFonts w:eastAsia="Times New Roman"/>
          <w:color w:val="000000"/>
          <w:sz w:val="16"/>
          <w:szCs w:val="16"/>
        </w:rPr>
      </w:pPr>
      <w:r>
        <w:rPr>
          <w:rFonts w:eastAsia="Times New Roman"/>
          <w:color w:val="000000"/>
          <w:sz w:val="16"/>
          <w:szCs w:val="16"/>
        </w:rPr>
        <w:t>Identify applicable funding agency here. If none, delete this text box.</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a zero before decimal points: “0.25”, not “.25”. Use “cm3”, not “cc”. (</w:t>
      </w:r>
      <w:r>
        <w:rPr>
          <w:rFonts w:eastAsia="Times New Roman"/>
          <w:i/>
          <w:color w:val="000000"/>
        </w:rPr>
        <w:t>bullet list</w:t>
      </w:r>
      <w:r>
        <w:rPr>
          <w:rFonts w:eastAsia="Times New Roman"/>
          <w:color w:val="000000"/>
        </w:rPr>
        <w:t>)</w:t>
      </w:r>
    </w:p>
    <w:p w:rsidR="00723BDB" w:rsidRDefault="005A64B3">
      <w:pPr>
        <w:pStyle w:val="Heading2"/>
        <w:numPr>
          <w:ilvl w:val="1"/>
          <w:numId w:val="6"/>
        </w:numPr>
      </w:pPr>
      <w:r>
        <w:t>Equations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723BDB" w:rsidRDefault="005A64B3">
      <w:pPr>
        <w:pBdr>
          <w:top w:val="nil"/>
          <w:left w:val="nil"/>
          <w:bottom w:val="nil"/>
          <w:right w:val="nil"/>
          <w:between w:val="nil"/>
        </w:pBdr>
        <w:tabs>
          <w:tab w:val="center" w:pos="2520"/>
          <w:tab w:val="right" w:pos="5040"/>
        </w:tabs>
        <w:spacing w:before="240" w:after="240"/>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rFonts w:eastAsia="Times New Roman"/>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eastAsia="Times New Roman"/>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Note that the equation is centered using a center tab stop. Be sure that the symbols in your equation have been defined before or immediately following the equation. Use “(1)”, not “Eq. (1)” or “equation (1)”, except at the beginning of a sentence: “Equation (1) is . . .”</w:t>
      </w:r>
    </w:p>
    <w:p w:rsidR="00723BDB" w:rsidRDefault="005A64B3">
      <w:pPr>
        <w:pStyle w:val="Heading2"/>
        <w:numPr>
          <w:ilvl w:val="1"/>
          <w:numId w:val="6"/>
        </w:numPr>
      </w:pPr>
      <w:r>
        <w:t>Some Common Mistakes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word “data” is plural, not singular.</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The subscript for the permeability of vacuum </w:t>
      </w:r>
      <w:r>
        <w:rPr>
          <w:rFonts w:ascii="Noto Sans Symbols" w:eastAsia="Noto Sans Symbols" w:hAnsi="Noto Sans Symbols" w:cs="Noto Sans Symbols"/>
          <w:i/>
          <w:color w:val="000000"/>
        </w:rPr>
        <w:t>μ</w:t>
      </w:r>
      <w:r>
        <w:rPr>
          <w:rFonts w:eastAsia="Times New Roman"/>
          <w:color w:val="000000"/>
          <w:vertAlign w:val="subscript"/>
        </w:rPr>
        <w:t>0</w:t>
      </w:r>
      <w:r>
        <w:rPr>
          <w:rFonts w:eastAsia="Times New Roman"/>
          <w:color w:val="000000"/>
        </w:rPr>
        <w:t>, and other common scientific constants, is zero with subscript formatting, not a lowercase letter “o”.</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lastRenderedPageBreak/>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 graph within a graph is an “inset”, not an “insert”. The word alternatively is preferred to the word “alternately” (unless you really mean something that alternates).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use the word “essentially” to mean “approximately” or “effectively”.</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your paper title, if the words “that uses” can accurately replace the word “using”, capitalize the “u”; if not, keep using lower-cased.</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Be aware of the different meanings of the homophones “affect” and “effect”, “complement” and “compliment”, “discreet” and “discrete”, “principal” and “principle”.</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confuse “imply” and “infer”.</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prefix “non” is not a word; it should be joined to the word it modifies, usually without a hyphen.</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There is no period after the “et” in the Latin abbreviation “et al.”.</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abbreviation “i.e.” means “that is”, and the abbreviation “e.g.” means “for example”.</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An excellent style manual for science writers is [7].</w:t>
      </w:r>
    </w:p>
    <w:p w:rsidR="00723BDB" w:rsidRDefault="005A64B3">
      <w:pPr>
        <w:pStyle w:val="Heading1"/>
        <w:numPr>
          <w:ilvl w:val="0"/>
          <w:numId w:val="6"/>
        </w:numPr>
      </w:pPr>
      <w:r>
        <w:t>Using the Template</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723BDB" w:rsidRDefault="005A64B3">
      <w:pPr>
        <w:pStyle w:val="Heading2"/>
        <w:numPr>
          <w:ilvl w:val="1"/>
          <w:numId w:val="6"/>
        </w:numPr>
      </w:pPr>
      <w:r>
        <w:t>Authors and Affiliations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b/>
          <w:color w:val="000000"/>
        </w:rPr>
        <w:t>The template is designed for, but not limited to, six authors.</w:t>
      </w:r>
      <w:r>
        <w:rPr>
          <w:rFonts w:eastAsia="Times New Roman"/>
          <w:color w:val="00000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723BDB" w:rsidRDefault="005A64B3">
      <w:pPr>
        <w:pStyle w:val="Heading3"/>
        <w:numPr>
          <w:ilvl w:val="2"/>
          <w:numId w:val="6"/>
        </w:numPr>
      </w:pPr>
      <w:r>
        <w:t xml:space="preserve">For papers with more than six authors: </w:t>
      </w:r>
      <w:r>
        <w:rPr>
          <w:i w:val="0"/>
        </w:rPr>
        <w:t>Add author names horizontally, moving to a third row if needed for more than 8 authors.</w:t>
      </w:r>
    </w:p>
    <w:p w:rsidR="00723BDB" w:rsidRDefault="005A64B3">
      <w:pPr>
        <w:pStyle w:val="Heading3"/>
        <w:numPr>
          <w:ilvl w:val="2"/>
          <w:numId w:val="6"/>
        </w:numPr>
      </w:pPr>
      <w:r>
        <w:lastRenderedPageBreak/>
        <w:t xml:space="preserve">For papers with less than six authors: </w:t>
      </w:r>
      <w:r>
        <w:rPr>
          <w:i w:val="0"/>
        </w:rPr>
        <w:t>To change the default, adjust the template as follows.</w:t>
      </w:r>
    </w:p>
    <w:p w:rsidR="00723BDB" w:rsidRDefault="005A64B3">
      <w:pPr>
        <w:pStyle w:val="Heading4"/>
        <w:numPr>
          <w:ilvl w:val="3"/>
          <w:numId w:val="6"/>
        </w:numPr>
      </w:pPr>
      <w:r>
        <w:t xml:space="preserve">Selection: </w:t>
      </w:r>
      <w:r>
        <w:rPr>
          <w:i w:val="0"/>
        </w:rPr>
        <w:t>Highlight all author and affiliation lines.</w:t>
      </w:r>
    </w:p>
    <w:p w:rsidR="00723BDB" w:rsidRDefault="005A64B3">
      <w:pPr>
        <w:pStyle w:val="Heading4"/>
        <w:numPr>
          <w:ilvl w:val="3"/>
          <w:numId w:val="6"/>
        </w:numPr>
      </w:pPr>
      <w:r>
        <w:t xml:space="preserve">Change number of columns: </w:t>
      </w:r>
      <w:r>
        <w:rPr>
          <w:i w:val="0"/>
        </w:rPr>
        <w:t>Select the Columns icon from the MS Word Standard toolbar and then select the correct number of columns from the selection palette.</w:t>
      </w:r>
    </w:p>
    <w:p w:rsidR="00723BDB" w:rsidRDefault="005A64B3">
      <w:pPr>
        <w:pStyle w:val="Heading4"/>
        <w:numPr>
          <w:ilvl w:val="3"/>
          <w:numId w:val="6"/>
        </w:numPr>
        <w:rPr>
          <w:i w:val="0"/>
        </w:rPr>
      </w:pPr>
      <w:r>
        <w:t xml:space="preserve">Deletion: </w:t>
      </w:r>
      <w:r>
        <w:rPr>
          <w:i w:val="0"/>
        </w:rPr>
        <w:t>Delete the author and affiliation lines for the extra authors.</w:t>
      </w:r>
    </w:p>
    <w:p w:rsidR="00723BDB" w:rsidRDefault="00723BDB">
      <w:pPr>
        <w:jc w:val="left"/>
        <w:rPr>
          <w:i/>
        </w:rPr>
      </w:pPr>
    </w:p>
    <w:p w:rsidR="00723BDB" w:rsidRDefault="005A64B3">
      <w:pPr>
        <w:pStyle w:val="Heading2"/>
        <w:numPr>
          <w:ilvl w:val="1"/>
          <w:numId w:val="6"/>
        </w:numPr>
      </w:pPr>
      <w:r>
        <w:t>Identify the Headings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Headings, or heads, are organizational devices that guide the reader through your paper. There are two types: component heads and text heads.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723BDB" w:rsidRDefault="005A64B3">
      <w:pPr>
        <w:pStyle w:val="Heading2"/>
        <w:numPr>
          <w:ilvl w:val="1"/>
          <w:numId w:val="6"/>
        </w:numPr>
      </w:pPr>
      <w:r>
        <w:t>Figures and Tables</w:t>
      </w:r>
    </w:p>
    <w:p w:rsidR="00723BDB" w:rsidRDefault="005A64B3">
      <w:pPr>
        <w:pStyle w:val="Heading4"/>
        <w:numPr>
          <w:ilvl w:val="3"/>
          <w:numId w:val="6"/>
        </w:numPr>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723BDB" w:rsidRDefault="005A64B3">
      <w:pPr>
        <w:numPr>
          <w:ilvl w:val="0"/>
          <w:numId w:val="2"/>
        </w:numPr>
        <w:pBdr>
          <w:top w:val="nil"/>
          <w:left w:val="nil"/>
          <w:bottom w:val="nil"/>
          <w:right w:val="nil"/>
          <w:between w:val="nil"/>
        </w:pBdr>
        <w:spacing w:before="240" w:after="120"/>
      </w:pPr>
      <w:r>
        <w:rPr>
          <w:rFonts w:eastAsia="Times New Roman"/>
          <w:smallCaps/>
          <w:color w:val="000000"/>
          <w:sz w:val="16"/>
          <w:szCs w:val="16"/>
        </w:rPr>
        <w:t>Table Type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20"/>
        <w:gridCol w:w="2340"/>
        <w:gridCol w:w="900"/>
        <w:gridCol w:w="900"/>
      </w:tblGrid>
      <w:tr w:rsidR="00723BDB">
        <w:trPr>
          <w:trHeight w:val="240"/>
          <w:jc w:val="center"/>
        </w:trPr>
        <w:tc>
          <w:tcPr>
            <w:tcW w:w="720" w:type="dxa"/>
            <w:vMerge w:val="restart"/>
            <w:vAlign w:val="center"/>
          </w:tcPr>
          <w:p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Head</w:t>
            </w:r>
          </w:p>
        </w:tc>
        <w:tc>
          <w:tcPr>
            <w:tcW w:w="4140" w:type="dxa"/>
            <w:gridSpan w:val="3"/>
            <w:vAlign w:val="center"/>
          </w:tcPr>
          <w:p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Column Head</w:t>
            </w:r>
          </w:p>
        </w:tc>
      </w:tr>
      <w:tr w:rsidR="00723BDB">
        <w:trPr>
          <w:trHeight w:val="240"/>
          <w:jc w:val="center"/>
        </w:trPr>
        <w:tc>
          <w:tcPr>
            <w:tcW w:w="720" w:type="dxa"/>
            <w:vMerge/>
            <w:vAlign w:val="center"/>
          </w:tcPr>
          <w:p w:rsidR="00723BDB" w:rsidRDefault="00723BDB">
            <w:pPr>
              <w:widowControl w:val="0"/>
              <w:pBdr>
                <w:top w:val="nil"/>
                <w:left w:val="nil"/>
                <w:bottom w:val="nil"/>
                <w:right w:val="nil"/>
                <w:between w:val="nil"/>
              </w:pBdr>
              <w:spacing w:line="276" w:lineRule="auto"/>
              <w:jc w:val="left"/>
              <w:rPr>
                <w:rFonts w:eastAsia="Times New Roman"/>
                <w:b/>
                <w:color w:val="000000"/>
                <w:sz w:val="16"/>
                <w:szCs w:val="16"/>
              </w:rPr>
            </w:pPr>
          </w:p>
        </w:tc>
        <w:tc>
          <w:tcPr>
            <w:tcW w:w="2340" w:type="dxa"/>
            <w:vAlign w:val="center"/>
          </w:tcPr>
          <w:p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Table column subhead</w:t>
            </w:r>
          </w:p>
        </w:tc>
        <w:tc>
          <w:tcPr>
            <w:tcW w:w="900" w:type="dxa"/>
            <w:vAlign w:val="center"/>
          </w:tcPr>
          <w:p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c>
          <w:tcPr>
            <w:tcW w:w="900" w:type="dxa"/>
            <w:vAlign w:val="center"/>
          </w:tcPr>
          <w:p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r>
      <w:tr w:rsidR="00723BDB">
        <w:trPr>
          <w:trHeight w:val="320"/>
          <w:jc w:val="center"/>
        </w:trPr>
        <w:tc>
          <w:tcPr>
            <w:tcW w:w="720" w:type="dxa"/>
            <w:vAlign w:val="center"/>
          </w:tcPr>
          <w:p w:rsidR="00723BDB" w:rsidRDefault="005A64B3">
            <w:pPr>
              <w:pBdr>
                <w:top w:val="nil"/>
                <w:left w:val="nil"/>
                <w:bottom w:val="nil"/>
                <w:right w:val="nil"/>
                <w:between w:val="nil"/>
              </w:pBdr>
              <w:jc w:val="both"/>
              <w:rPr>
                <w:rFonts w:eastAsia="Times New Roman"/>
                <w:color w:val="000000"/>
                <w:sz w:val="8"/>
                <w:szCs w:val="8"/>
              </w:rPr>
            </w:pPr>
            <w:r>
              <w:rPr>
                <w:rFonts w:eastAsia="Times New Roman"/>
                <w:color w:val="000000"/>
                <w:sz w:val="16"/>
                <w:szCs w:val="16"/>
              </w:rPr>
              <w:t>copy</w:t>
            </w:r>
          </w:p>
        </w:tc>
        <w:tc>
          <w:tcPr>
            <w:tcW w:w="2340" w:type="dxa"/>
            <w:vAlign w:val="center"/>
          </w:tcPr>
          <w:p w:rsidR="00723BDB" w:rsidRDefault="005A64B3">
            <w:pPr>
              <w:pBdr>
                <w:top w:val="nil"/>
                <w:left w:val="nil"/>
                <w:bottom w:val="nil"/>
                <w:right w:val="nil"/>
                <w:between w:val="nil"/>
              </w:pBdr>
              <w:jc w:val="both"/>
              <w:rPr>
                <w:rFonts w:eastAsia="Times New Roman"/>
                <w:color w:val="000000"/>
                <w:sz w:val="16"/>
                <w:szCs w:val="16"/>
              </w:rPr>
            </w:pPr>
            <w:r>
              <w:rPr>
                <w:rFonts w:eastAsia="Times New Roman"/>
                <w:color w:val="000000"/>
                <w:sz w:val="16"/>
                <w:szCs w:val="16"/>
              </w:rPr>
              <w:t>More table copy</w:t>
            </w:r>
            <w:r>
              <w:rPr>
                <w:rFonts w:eastAsia="Times New Roman"/>
                <w:color w:val="000000"/>
                <w:sz w:val="16"/>
                <w:szCs w:val="16"/>
                <w:vertAlign w:val="superscript"/>
              </w:rPr>
              <w:t>a</w:t>
            </w:r>
          </w:p>
        </w:tc>
        <w:tc>
          <w:tcPr>
            <w:tcW w:w="900" w:type="dxa"/>
            <w:vAlign w:val="center"/>
          </w:tcPr>
          <w:p w:rsidR="00723BDB" w:rsidRDefault="00723BDB">
            <w:pPr>
              <w:rPr>
                <w:sz w:val="16"/>
                <w:szCs w:val="16"/>
              </w:rPr>
            </w:pPr>
          </w:p>
        </w:tc>
        <w:tc>
          <w:tcPr>
            <w:tcW w:w="900" w:type="dxa"/>
            <w:vAlign w:val="center"/>
          </w:tcPr>
          <w:p w:rsidR="00723BDB" w:rsidRDefault="00723BDB">
            <w:pPr>
              <w:rPr>
                <w:sz w:val="16"/>
                <w:szCs w:val="16"/>
              </w:rPr>
            </w:pPr>
          </w:p>
        </w:tc>
      </w:tr>
    </w:tbl>
    <w:p w:rsidR="00723BDB" w:rsidRDefault="005A64B3">
      <w:pPr>
        <w:numPr>
          <w:ilvl w:val="0"/>
          <w:numId w:val="3"/>
        </w:numPr>
        <w:pBdr>
          <w:top w:val="nil"/>
          <w:left w:val="nil"/>
          <w:bottom w:val="nil"/>
          <w:right w:val="nil"/>
          <w:between w:val="nil"/>
        </w:pBdr>
        <w:spacing w:before="60" w:after="30"/>
        <w:jc w:val="right"/>
      </w:pPr>
      <w:r>
        <w:rPr>
          <w:rFonts w:eastAsia="Times New Roman"/>
          <w:color w:val="000000"/>
          <w:sz w:val="12"/>
          <w:szCs w:val="12"/>
        </w:rPr>
        <w:t>Sample of a Table footnote. (</w:t>
      </w:r>
      <w:r>
        <w:rPr>
          <w:rFonts w:eastAsia="Times New Roman"/>
          <w:i/>
          <w:color w:val="000000"/>
          <w:sz w:val="12"/>
          <w:szCs w:val="12"/>
        </w:rPr>
        <w:t>Table footnote</w:t>
      </w:r>
      <w:r>
        <w:rPr>
          <w:rFonts w:eastAsia="Times New Roman"/>
          <w:color w:val="000000"/>
          <w:sz w:val="12"/>
          <w:szCs w:val="12"/>
        </w:rPr>
        <w:t>)</w:t>
      </w:r>
    </w:p>
    <w:p w:rsidR="00723BDB" w:rsidRDefault="005A64B3">
      <w:pPr>
        <w:numPr>
          <w:ilvl w:val="0"/>
          <w:numId w:val="5"/>
        </w:numPr>
        <w:pBdr>
          <w:top w:val="nil"/>
          <w:left w:val="nil"/>
          <w:bottom w:val="nil"/>
          <w:right w:val="nil"/>
          <w:between w:val="nil"/>
        </w:pBdr>
        <w:tabs>
          <w:tab w:val="left" w:pos="533"/>
        </w:tabs>
        <w:spacing w:before="80" w:after="200"/>
        <w:jc w:val="both"/>
      </w:pPr>
      <w:r>
        <w:rPr>
          <w:rFonts w:eastAsia="Times New Roman"/>
          <w:color w:val="000000"/>
          <w:sz w:val="16"/>
          <w:szCs w:val="16"/>
        </w:rPr>
        <w:t>Example of a figure caption. (</w:t>
      </w:r>
      <w:r>
        <w:rPr>
          <w:rFonts w:eastAsia="Times New Roman"/>
          <w:i/>
          <w:color w:val="000000"/>
          <w:sz w:val="16"/>
          <w:szCs w:val="16"/>
        </w:rPr>
        <w:t>figure caption</w:t>
      </w:r>
      <w:r>
        <w:rPr>
          <w:rFonts w:eastAsia="Times New Roman"/>
          <w:color w:val="000000"/>
          <w:sz w:val="16"/>
          <w:szCs w:val="16"/>
        </w:rPr>
        <w:t>)</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Figure Labels: Use 8 point Times New Roman for Figure labels. Use words rather than symbols or abbreviations when writing Figure axis labels to avoid </w:t>
      </w:r>
      <w:r>
        <w:rPr>
          <w:rFonts w:eastAsia="Times New Roman"/>
          <w:color w:val="000000"/>
        </w:rPr>
        <w:lastRenderedPageBreak/>
        <w:t>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723BDB" w:rsidRDefault="005A64B3">
      <w:pPr>
        <w:pStyle w:val="Heading5"/>
      </w:pPr>
      <w:r>
        <w:t>References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will number citations consecutively within brackets [1]. The sentence punctuation follows the bracket [2]. Refer simply to the reference number, as in [3]—do not use “Ref. [3]” or “reference [3]” except at the beginning of a sentence: “Reference [3] was the first ...”</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Number footnotes separately in superscripts. Place the actual footnote at the bottom of the column in which it was cited. Do not put footnotes in the abstract or reference list. Use letters for table footnotes.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For papers published in translation journals, please give the English citation first, followed by the original foreign-language citation [6].</w:t>
      </w:r>
    </w:p>
    <w:p w:rsidR="00723BDB" w:rsidRDefault="00723BDB"/>
    <w:p w:rsidR="00723BDB" w:rsidRPr="009931F0" w:rsidRDefault="009931F0">
      <w:pPr>
        <w:numPr>
          <w:ilvl w:val="0"/>
          <w:numId w:val="1"/>
        </w:numPr>
        <w:pBdr>
          <w:top w:val="nil"/>
          <w:left w:val="nil"/>
          <w:bottom w:val="nil"/>
          <w:right w:val="nil"/>
          <w:between w:val="nil"/>
        </w:pBdr>
        <w:spacing w:after="50"/>
        <w:ind w:left="354" w:hanging="354"/>
        <w:jc w:val="both"/>
        <w:rPr>
          <w:sz w:val="16"/>
          <w:szCs w:val="16"/>
        </w:rPr>
      </w:pPr>
      <w:r w:rsidRPr="009931F0">
        <w:rPr>
          <w:color w:val="000000"/>
          <w:sz w:val="16"/>
          <w:szCs w:val="16"/>
        </w:rPr>
        <w:t>L. D. Stevanovic, K. S. Matocha, P. A. Losee, J. S. Glaser, J. J. Nasadoski and S. D. Arthur, "Recent advances in silicon carbide MOSFET power devices," </w:t>
      </w:r>
      <w:r w:rsidRPr="009931F0">
        <w:rPr>
          <w:rStyle w:val="Emphasis"/>
          <w:color w:val="000000"/>
          <w:sz w:val="16"/>
          <w:szCs w:val="16"/>
        </w:rPr>
        <w:t>2010 Twenty-Fifth Annual IEEE Applied Power Electronics Conference and Exposition (APEC)</w:t>
      </w:r>
      <w:r w:rsidRPr="009931F0">
        <w:rPr>
          <w:color w:val="000000"/>
          <w:sz w:val="16"/>
          <w:szCs w:val="16"/>
        </w:rPr>
        <w:t>, Palm Springs, CA, 2010, pp. 401-407.</w:t>
      </w:r>
    </w:p>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J. Clerk Maxwell, A Treatise on Electricity and Magnetism, 3rd ed., vol. 2. Oxford: Clarendon, 1892, pp.68–73.</w:t>
      </w:r>
    </w:p>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I. S. Jacobs and C. P. Bean, “Fine particles, thin films and exchange anisotropy,” in Magnetism, vol. III, G. T. Rado and H. Suhl, Eds. New York: Academic, 1963, pp. 271–350.</w:t>
      </w:r>
    </w:p>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K. Elissa, “Title of paper if known,” unpublished.</w:t>
      </w:r>
    </w:p>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R. Nicole, “Title of paper with only first word capitalized,” J. Name Stand. Abbrev., in press.</w:t>
      </w:r>
    </w:p>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Y. Yorozu, M. Hirano, K. Oka, and Y. Tagawa, “Electron spectroscopy studies on magneto-optical media and plastic substrate interface,” IEEE Transl. J. Magn. Japan, vol. 2, pp. 740–741, August 1987 [Digests 9th Annual Conf. Magnetics Japan, p. 301, 1982].</w:t>
      </w:r>
    </w:p>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M. Young, The Technical Writer’s Handbook. Mill Valley, CA: University Science, 1989.</w:t>
      </w:r>
    </w:p>
    <w:p w:rsidR="00723BDB" w:rsidRDefault="00723BDB">
      <w:pPr>
        <w:pBdr>
          <w:top w:val="nil"/>
          <w:left w:val="nil"/>
          <w:bottom w:val="nil"/>
          <w:right w:val="nil"/>
          <w:between w:val="nil"/>
        </w:pBdr>
        <w:spacing w:after="50"/>
        <w:ind w:left="360" w:hanging="360"/>
        <w:jc w:val="both"/>
        <w:rPr>
          <w:rFonts w:eastAsia="Times New Roman"/>
          <w:color w:val="000000"/>
          <w:sz w:val="16"/>
          <w:szCs w:val="16"/>
        </w:rPr>
      </w:pPr>
    </w:p>
    <w:p w:rsidR="00723BDB" w:rsidRDefault="005A64B3">
      <w:pPr>
        <w:pBdr>
          <w:top w:val="nil"/>
          <w:left w:val="nil"/>
          <w:bottom w:val="nil"/>
          <w:right w:val="nil"/>
          <w:between w:val="nil"/>
        </w:pBdr>
        <w:spacing w:after="50"/>
        <w:ind w:left="360" w:hanging="360"/>
        <w:rPr>
          <w:rFonts w:eastAsia="Times New Roman"/>
          <w:b/>
          <w:color w:val="FF0000"/>
        </w:rPr>
        <w:sectPr w:rsidR="00723BDB">
          <w:type w:val="continuous"/>
          <w:pgSz w:w="11906" w:h="16838"/>
          <w:pgMar w:top="1080" w:right="907" w:bottom="1440" w:left="907" w:header="720" w:footer="720" w:gutter="0"/>
          <w:cols w:num="2" w:space="720" w:equalWidth="0">
            <w:col w:w="4865" w:space="360"/>
            <w:col w:w="4865" w:space="0"/>
          </w:cols>
        </w:sectPr>
      </w:pPr>
      <w:r>
        <w:rPr>
          <w:rFonts w:eastAsia="Times New Roman"/>
          <w:b/>
          <w:color w:val="FF0000"/>
        </w:rPr>
        <w:t>This is the official template to be used by Power Electronics students for the special topic course conducted by Prof. Melisa Miranda.</w:t>
      </w:r>
    </w:p>
    <w:p w:rsidR="00723BDB" w:rsidRDefault="00617795">
      <w:r>
        <w:rPr>
          <w:noProof/>
        </w:rPr>
        <w:lastRenderedPageBreak/>
        <w:pict>
          <v:rect id="Rectangle 2" o:spid="_x0000_s1026" style="position:absolute;left:0;text-align:left;margin-left:0;margin-top:19pt;width:252.75pt;height:90.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">
            <v:stroke startarrowwidth="narrow" startarrowlength="short" endarrowwidth="narrow" endarrowlength="short"/>
            <v:textbox style="mso-next-textbox:#Rectangle 2" inset="2.53958mm,1.2694mm,2.53958mm,1.2694mm">
              <w:txbxContent>
                <w:p w:rsidR="001B19C8" w:rsidRDefault="001C5217">
                  <w:pPr>
                    <w:spacing w:after="120"/>
                    <w:ind w:firstLine="287"/>
                    <w:jc w:val="both"/>
                    <w:textDirection w:val="btLr"/>
                  </w:pPr>
                  <w:r>
                    <w:rPr>
                      <w:rFonts w:eastAsia="Times New Roman"/>
                      <w:color w:val="000000"/>
                    </w:rPr>
                    <w:t>We suggest that you use a text box to insert a graphic (which is ideally a 300 dpi TIFF or EPS file, with all fonts embedded) because, in an MSW document, this method is somewhat more stable than directly inserting a picture.</w:t>
                  </w:r>
                </w:p>
                <w:p w:rsidR="001B19C8" w:rsidRDefault="001C5217">
                  <w:pPr>
                    <w:spacing w:after="120"/>
                    <w:ind w:firstLine="287"/>
                    <w:jc w:val="both"/>
                    <w:textDirection w:val="btLr"/>
                  </w:pPr>
                  <w:r>
                    <w:rPr>
                      <w:rFonts w:eastAsia="Times New Roman"/>
                      <w:color w:val="000000"/>
                    </w:rPr>
                    <w:t>To have non-visible rules on your frame, use the MSWord “Format” pull-down menu, select Text Box &gt; Colors and Lines to choose No Fill and No Line.</w:t>
                  </w:r>
                </w:p>
              </w:txbxContent>
            </v:textbox>
            <w10:wrap type="square"/>
          </v:rect>
        </w:pict>
      </w:r>
    </w:p>
    <w:p w:rsidR="00723BDB" w:rsidRDefault="00723BDB">
      <w:bookmarkStart w:id="6" w:name="_heading=h.gjdgxs" w:colFirst="0" w:colLast="0"/>
      <w:bookmarkEnd w:id="6"/>
    </w:p>
    <w:sectPr w:rsidR="00723BDB"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larence Tauro" w:date="2019-09-02T16:17:00Z" w:initials="CT">
    <w:p w:rsidR="003E11A2" w:rsidRDefault="003E11A2">
      <w:pPr>
        <w:pStyle w:val="CommentText"/>
      </w:pPr>
      <w:r>
        <w:rPr>
          <w:rStyle w:val="CommentReference"/>
        </w:rPr>
        <w:annotationRef/>
      </w:r>
      <w:r>
        <w:t>Title has to be in Title case</w:t>
      </w:r>
    </w:p>
  </w:comment>
  <w:comment w:id="1" w:author="Karthik K Bhat" w:date="2019-09-02T18:24:00Z" w:initials="KKB">
    <w:p w:rsidR="006166F1" w:rsidRDefault="006166F1">
      <w:pPr>
        <w:pStyle w:val="CommentText"/>
      </w:pPr>
      <w:r>
        <w:rPr>
          <w:rStyle w:val="CommentReference"/>
        </w:rPr>
        <w:annotationRef/>
      </w:r>
      <w:r>
        <w:t>Done.</w:t>
      </w:r>
    </w:p>
  </w:comment>
  <w:comment w:id="2" w:author="Clarence Tauro" w:date="2019-09-02T16:18:00Z" w:initials="CT">
    <w:p w:rsidR="003E11A2" w:rsidRDefault="003E11A2">
      <w:pPr>
        <w:pStyle w:val="CommentText"/>
      </w:pPr>
      <w:r>
        <w:rPr>
          <w:rStyle w:val="CommentReference"/>
        </w:rPr>
        <w:annotationRef/>
      </w:r>
      <w:r>
        <w:t>Caps “C”</w:t>
      </w:r>
    </w:p>
  </w:comment>
  <w:comment w:id="3" w:author="Karthik K Bhat" w:date="2019-09-02T18:25:00Z" w:initials="KKB">
    <w:p w:rsidR="006166F1" w:rsidRDefault="006166F1" w:rsidP="006166F1">
      <w:pPr>
        <w:pStyle w:val="CommentText"/>
      </w:pPr>
      <w:r>
        <w:rPr>
          <w:rStyle w:val="CommentReference"/>
        </w:rPr>
        <w:annotationRef/>
      </w:r>
      <w:r>
        <w:t>Done</w:t>
      </w:r>
    </w:p>
  </w:comment>
  <w:comment w:id="4" w:author="Clarence Tauro" w:date="2019-09-02T16:21:00Z" w:initials="CT">
    <w:p w:rsidR="003E11A2" w:rsidRDefault="003E11A2">
      <w:pPr>
        <w:pStyle w:val="CommentText"/>
      </w:pPr>
      <w:r>
        <w:rPr>
          <w:rStyle w:val="CommentReference"/>
        </w:rPr>
        <w:annotationRef/>
      </w:r>
      <w:r>
        <w:t>Are used</w:t>
      </w:r>
    </w:p>
  </w:comment>
  <w:comment w:id="5" w:author="Karthik K Bhat" w:date="2019-09-02T18:26:00Z" w:initials="KKB">
    <w:p w:rsidR="006166F1" w:rsidRDefault="006166F1">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7620AA" w15:done="0"/>
  <w15:commentEx w15:paraId="4834E811" w15:paraIdParent="157620AA" w15:done="0"/>
  <w15:commentEx w15:paraId="6FCFC8F6" w15:done="0"/>
  <w15:commentEx w15:paraId="1A332EF7" w15:paraIdParent="6FCFC8F6" w15:done="0"/>
  <w15:commentEx w15:paraId="115D86D9" w15:done="0"/>
  <w15:commentEx w15:paraId="5148B957" w15:paraIdParent="115D86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7620AA" w16cid:durableId="2117BF27"/>
  <w16cid:commentId w16cid:paraId="4834E811" w16cid:durableId="211A6B41"/>
  <w16cid:commentId w16cid:paraId="6FCFC8F6" w16cid:durableId="2117BF44"/>
  <w16cid:commentId w16cid:paraId="1A332EF7" w16cid:durableId="211A6B43"/>
  <w16cid:commentId w16cid:paraId="115D86D9" w16cid:durableId="2117BFF0"/>
  <w16cid:commentId w16cid:paraId="5148B957" w16cid:durableId="211A6B45"/>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30D0" w:rsidRDefault="00BE30D0" w:rsidP="00723BDB">
      <w:r>
        <w:separator/>
      </w:r>
    </w:p>
  </w:endnote>
  <w:endnote w:type="continuationSeparator" w:id="1">
    <w:p w:rsidR="00BE30D0" w:rsidRDefault="00BE30D0" w:rsidP="00723B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unga">
    <w:altName w:val="Bahnschrift Light"/>
    <w:panose1 w:val="020B0502040204020203"/>
    <w:charset w:val="01"/>
    <w:family w:val="roman"/>
    <w:notTrueType/>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BDB" w:rsidRDefault="005A64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30D0" w:rsidRDefault="00BE30D0" w:rsidP="00723BDB">
      <w:r>
        <w:separator/>
      </w:r>
    </w:p>
  </w:footnote>
  <w:footnote w:type="continuationSeparator" w:id="1">
    <w:p w:rsidR="00BE30D0" w:rsidRDefault="00BE30D0" w:rsidP="00723B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7A22362E"/>
    <w:multiLevelType w:val="hybridMultilevel"/>
    <w:tmpl w:val="E6525B3A"/>
    <w:lvl w:ilvl="0" w:tplc="3C8A08A6">
      <w:start w:val="1"/>
      <w:numFmt w:val="upperRoman"/>
      <w:lvlText w:val="%1."/>
      <w:lvlJc w:val="right"/>
      <w:pPr>
        <w:ind w:left="936" w:hanging="360"/>
      </w:pPr>
      <w:rPr>
        <w:b w:val="0"/>
        <w:bCs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1"/>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23BDB"/>
    <w:rsid w:val="000C7362"/>
    <w:rsid w:val="00125424"/>
    <w:rsid w:val="001B19C8"/>
    <w:rsid w:val="001C5217"/>
    <w:rsid w:val="00223C44"/>
    <w:rsid w:val="002954CA"/>
    <w:rsid w:val="00397F1A"/>
    <w:rsid w:val="003E11A2"/>
    <w:rsid w:val="004A6DAD"/>
    <w:rsid w:val="005A64B3"/>
    <w:rsid w:val="005C2337"/>
    <w:rsid w:val="005E07FF"/>
    <w:rsid w:val="006166F1"/>
    <w:rsid w:val="00617795"/>
    <w:rsid w:val="00626B09"/>
    <w:rsid w:val="00703CE2"/>
    <w:rsid w:val="00723BDB"/>
    <w:rsid w:val="00765F4D"/>
    <w:rsid w:val="008E4142"/>
    <w:rsid w:val="00932B34"/>
    <w:rsid w:val="00943CC9"/>
    <w:rsid w:val="009931F0"/>
    <w:rsid w:val="009C27D6"/>
    <w:rsid w:val="009E3EA8"/>
    <w:rsid w:val="00A73FB1"/>
    <w:rsid w:val="00A752E2"/>
    <w:rsid w:val="00BC5ACB"/>
    <w:rsid w:val="00BD4C53"/>
    <w:rsid w:val="00BE30D0"/>
    <w:rsid w:val="00C645A3"/>
    <w:rsid w:val="00CA1FD6"/>
    <w:rsid w:val="00CC529B"/>
    <w:rsid w:val="00CE627F"/>
    <w:rsid w:val="00DF6346"/>
    <w:rsid w:val="00E22390"/>
    <w:rsid w:val="00E87F95"/>
    <w:rsid w:val="00EB4E7B"/>
    <w:rsid w:val="00EC7A52"/>
    <w:rsid w:val="00F6689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42E"/>
    <w:rPr>
      <w:rFonts w:eastAsia="SimSun"/>
    </w:rPr>
  </w:style>
  <w:style w:type="paragraph" w:styleId="Heading1">
    <w:name w:val="heading 1"/>
    <w:basedOn w:val="Normal"/>
    <w:next w:val="Normal"/>
    <w:link w:val="Heading1Char"/>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CD1E8E-1D9D-43E6-95DD-3891F7774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3</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DELL-PC</cp:lastModifiedBy>
  <cp:revision>20</cp:revision>
  <dcterms:created xsi:type="dcterms:W3CDTF">2019-08-28T14:00:00Z</dcterms:created>
  <dcterms:modified xsi:type="dcterms:W3CDTF">2019-09-10T12:37:00Z</dcterms:modified>
</cp:coreProperties>
</file>