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w:t>
      </w:r>
      <w:proofErr w:type="spellStart"/>
      <w:r>
        <w:rPr>
          <w:shd w:val="clear" w:color="auto" w:fill="FFFFFF"/>
        </w:rPr>
        <w:t>SiC</w:t>
      </w:r>
      <w:proofErr w:type="spellEnd"/>
      <w:r>
        <w:rPr>
          <w:shd w:val="clear" w:color="auto" w:fill="FFFFFF"/>
        </w:rPr>
        <w:t xml:space="preserve"> MOSFET and compare the performance of that with a cycloconverter designed using IGBT. The forthcoming sections give a better understanding of the above. </w:t>
      </w:r>
      <w:proofErr w:type="spellStart"/>
      <w:r w:rsidR="002B5B0B">
        <w:rPr>
          <w:shd w:val="clear" w:color="auto" w:fill="FFFFFF"/>
        </w:rPr>
        <w:t>SiC</w:t>
      </w:r>
      <w:proofErr w:type="spellEnd"/>
      <w:r w:rsidR="002B5B0B">
        <w:rPr>
          <w:shd w:val="clear" w:color="auto" w:fill="FFFFFF"/>
        </w:rPr>
        <w:t xml:space="preserve">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proofErr w:type="spellStart"/>
      <w:r>
        <w:rPr>
          <w:shd w:val="clear" w:color="auto" w:fill="FFFFFF"/>
        </w:rPr>
        <w:t>SiC</w:t>
      </w:r>
      <w:proofErr w:type="spellEnd"/>
      <w:r>
        <w:rPr>
          <w:shd w:val="clear" w:color="auto" w:fill="FFFFFF"/>
        </w:rPr>
        <w:t xml:space="preserve">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lastRenderedPageBreak/>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2204DA86" w:rsidR="003B1B2E" w:rsidRDefault="003B1B2E" w:rsidP="003B1B2E">
      <w:pPr>
        <w:spacing w:after="120"/>
        <w:ind w:firstLine="289"/>
        <w:jc w:val="both"/>
      </w:pPr>
      <w:r>
        <w:t xml:space="preserve">An accurate </w:t>
      </w:r>
      <w:proofErr w:type="spellStart"/>
      <w:r>
        <w:t>SiC</w:t>
      </w:r>
      <w:proofErr w:type="spellEnd"/>
      <w:r>
        <w:t xml:space="preserve"> MOSFET Model is built using MATLAB/Simulink</w:t>
      </w:r>
      <w:r w:rsidR="000266EB">
        <w:t xml:space="preserve">. Extensive research on the </w:t>
      </w:r>
      <w:proofErr w:type="spellStart"/>
      <w:r w:rsidR="000266EB">
        <w:t>SiC</w:t>
      </w:r>
      <w:proofErr w:type="spellEnd"/>
      <w:r w:rsidR="000266EB">
        <w:t xml:space="preserve"> device has demonstrated it to be a superior material to Silicon in many properties for the construction of power switching devices [9]. </w:t>
      </w:r>
      <w:r>
        <w:t xml:space="preserve"> </w:t>
      </w:r>
      <w:r w:rsidR="00AD6179">
        <w:t xml:space="preserve">The </w:t>
      </w:r>
      <w:proofErr w:type="spellStart"/>
      <w:r w:rsidR="00AD6179">
        <w:t>SiC</w:t>
      </w:r>
      <w:proofErr w:type="spellEnd"/>
      <w:r w:rsidR="00AD6179">
        <w:t xml:space="preserve">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with much lower switching losses. An added benefit of using the </w:t>
      </w:r>
      <w:proofErr w:type="spellStart"/>
      <w:r w:rsidR="00307B42">
        <w:t>SiC</w:t>
      </w:r>
      <w:proofErr w:type="spellEnd"/>
      <w:r w:rsidR="00307B42">
        <w:t xml:space="preserve"> MOSFET in place of the conventional IGBT it their overall system efficiency improvement</w:t>
      </w:r>
      <w:r w:rsidR="00171697">
        <w:t xml:space="preserve">, </w:t>
      </w:r>
      <w:r w:rsidR="00307B42">
        <w:t xml:space="preserve">the capability of higher frequency operation and the reduction in size. The </w:t>
      </w:r>
      <w:proofErr w:type="spellStart"/>
      <w:r w:rsidR="00307B42">
        <w:t>SiC</w:t>
      </w:r>
      <w:proofErr w:type="spellEnd"/>
      <w:r w:rsidR="00307B42">
        <w:t xml:space="preserve"> MOSFET is modelled as shown in Fig. 1. </w:t>
      </w:r>
      <w:bookmarkStart w:id="10" w:name="_GoBack"/>
      <w:bookmarkEnd w:id="10"/>
    </w:p>
    <w:p w14:paraId="1776EC5E" w14:textId="3B7C0F59" w:rsidR="00171697" w:rsidRPr="003B1B2E" w:rsidRDefault="00171697" w:rsidP="003B1B2E">
      <w:pPr>
        <w:spacing w:after="120"/>
        <w:ind w:firstLine="289"/>
        <w:jc w:val="both"/>
      </w:pPr>
      <w:r>
        <w:rPr>
          <w:noProof/>
        </w:rPr>
        <w:drawing>
          <wp:inline distT="0" distB="0" distL="0" distR="0" wp14:anchorId="21659C21" wp14:editId="5B35B204">
            <wp:extent cx="299466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4660" cy="1727200"/>
                    </a:xfrm>
                    <a:prstGeom prst="rect">
                      <a:avLst/>
                    </a:prstGeom>
                  </pic:spPr>
                </pic:pic>
              </a:graphicData>
            </a:graphic>
          </wp:inline>
        </w:drawing>
      </w:r>
    </w:p>
    <w:p w14:paraId="79653D06" w14:textId="6D41EA88" w:rsidR="00713376" w:rsidRPr="00713376" w:rsidRDefault="00171697" w:rsidP="00713376">
      <w:r>
        <w:t xml:space="preserve">Fig. 1. </w:t>
      </w:r>
      <w:proofErr w:type="spellStart"/>
      <w:r>
        <w:t>SiC</w:t>
      </w:r>
      <w:proofErr w:type="spellEnd"/>
      <w:r>
        <w:t xml:space="preserve"> Simulink Model </w:t>
      </w:r>
    </w:p>
    <w:p w14:paraId="4992A259" w14:textId="4B9E5875" w:rsidR="0040310A" w:rsidRDefault="0040310A" w:rsidP="004D3DB8">
      <w:pPr>
        <w:pStyle w:val="Heading2"/>
        <w:numPr>
          <w:ilvl w:val="1"/>
          <w:numId w:val="6"/>
        </w:numPr>
      </w:pPr>
      <w:r>
        <w:t>Cycloconverter Design using IGBT</w:t>
      </w:r>
    </w:p>
    <w:p w14:paraId="196B01C8" w14:textId="316EB041"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w:t>
      </w:r>
      <w:r w:rsidR="00307B42">
        <w:rPr>
          <w:rFonts w:eastAsia="Times New Roman"/>
          <w:color w:val="000000"/>
        </w:rPr>
        <w:t>2</w:t>
      </w:r>
      <w:r>
        <w:rPr>
          <w:rFonts w:eastAsia="Times New Roman"/>
          <w:color w:val="000000"/>
        </w:rPr>
        <w:t>.</w:t>
      </w:r>
      <w:r w:rsidR="006D347A">
        <w:rPr>
          <w:rFonts w:eastAsia="Times New Roman"/>
          <w:color w:val="000000"/>
        </w:rPr>
        <w:t xml:space="preserve"> </w:t>
      </w:r>
      <w:r w:rsidR="006D347A">
        <w:rPr>
          <w:rFonts w:eastAsia="Times New Roman"/>
          <w:color w:val="000000"/>
        </w:rPr>
        <w:t>As can be observed the conventional cycloconverter uses 2 separate converters called the P-converter and the N-converter; each performing like an H-bridge inverter</w:t>
      </w:r>
      <w:r w:rsidR="006D347A">
        <w:rPr>
          <w:rFonts w:eastAsia="Times New Roman"/>
          <w:color w:val="000000"/>
        </w:rPr>
        <w:t xml:space="preserve">. </w:t>
      </w:r>
      <w:r>
        <w:rPr>
          <w:rFonts w:eastAsia="Times New Roman"/>
          <w:color w:val="000000"/>
        </w:rPr>
        <w:t xml:space="preserve">The below model is used as a standard of comparison for the </w:t>
      </w:r>
      <w:proofErr w:type="spellStart"/>
      <w:r>
        <w:rPr>
          <w:rFonts w:eastAsia="Times New Roman"/>
          <w:color w:val="000000"/>
        </w:rPr>
        <w:t>SiC</w:t>
      </w:r>
      <w:proofErr w:type="spellEnd"/>
      <w:r>
        <w:rPr>
          <w:rFonts w:eastAsia="Times New Roman"/>
          <w:color w:val="000000"/>
        </w:rPr>
        <w:t xml:space="preserve">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23590D0A" w:rsidR="0040310A" w:rsidRDefault="0040310A" w:rsidP="0040310A">
      <w:r w:rsidRPr="0040310A">
        <w:t xml:space="preserve">Fig. </w:t>
      </w:r>
      <w:r w:rsidR="00307B42">
        <w:t>2</w:t>
      </w:r>
      <w:r w:rsidRPr="0040310A">
        <w:t>. Cycloconverter model using IGBT</w:t>
      </w:r>
    </w:p>
    <w:p w14:paraId="67DB912D" w14:textId="6D5D5658" w:rsidR="0040310A" w:rsidRDefault="0040310A" w:rsidP="0040310A"/>
    <w:p w14:paraId="0A772C48" w14:textId="43E7C861" w:rsidR="0040310A" w:rsidRDefault="0040310A" w:rsidP="0040310A">
      <w:pPr>
        <w:spacing w:after="120"/>
        <w:ind w:firstLine="289"/>
        <w:jc w:val="left"/>
      </w:pPr>
      <w:r>
        <w:t>The supply input to the cycloconverter is a 100V signal alternating at 50 Hz as in Fig</w:t>
      </w:r>
      <w:r w:rsidR="004D3DB8">
        <w:t>.</w:t>
      </w:r>
      <w:r>
        <w:t xml:space="preserve"> </w:t>
      </w:r>
      <w:r w:rsidR="00307B42">
        <w:t>3</w:t>
      </w:r>
      <w:r>
        <w:t>. The corresponding step-down output corresponds to a signal of 100V, alternating at a frequency of 5 Hz as shown in Fig</w:t>
      </w:r>
      <w:r w:rsidR="004D3DB8">
        <w:t>.</w:t>
      </w:r>
      <w:r>
        <w:t xml:space="preserve"> </w:t>
      </w:r>
      <w:r w:rsidR="00307B42">
        <w:t>4</w:t>
      </w:r>
      <w:r>
        <w:t xml:space="preserve">.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5">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41F00A90" w:rsidR="0040310A" w:rsidRDefault="0040310A" w:rsidP="00713376">
      <w:pPr>
        <w:ind w:left="720" w:firstLine="720"/>
        <w:jc w:val="both"/>
      </w:pPr>
      <w:r>
        <w:t xml:space="preserve">Fig. </w:t>
      </w:r>
      <w:r w:rsidR="00307B42">
        <w:t>3</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2E137C06" w:rsidR="0040310A" w:rsidRDefault="0040310A" w:rsidP="0040310A">
      <w:pPr>
        <w:spacing w:after="120"/>
        <w:ind w:firstLine="289"/>
        <w:jc w:val="left"/>
      </w:pPr>
      <w:r>
        <w:t xml:space="preserve">                    Fig. </w:t>
      </w:r>
      <w:r w:rsidR="00307B42">
        <w:t>4</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equations are an exception to the prescribed specifications of this template. You will need to determine </w:t>
      </w:r>
      <w:proofErr w:type="gramStart"/>
      <w:r>
        <w:rPr>
          <w:rFonts w:eastAsia="Times New Roman"/>
          <w:color w:val="000000"/>
        </w:rPr>
        <w:t>whether or not</w:t>
      </w:r>
      <w:proofErr w:type="gramEnd"/>
      <w:r>
        <w:rPr>
          <w:rFonts w:eastAsia="Times New Roman"/>
          <w:color w:val="000000"/>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598778C8" w14:textId="246C4161" w:rsidR="00713376" w:rsidRDefault="00076669" w:rsidP="00713376">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6814ECF8" w14:textId="77777777" w:rsidR="00713376" w:rsidRPr="00713376" w:rsidRDefault="00713376" w:rsidP="00713376"/>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lastRenderedPageBreak/>
                      <w:t>[</w:t>
                    </w:r>
                    <w:r w:rsidR="00A03DDC">
                      <w:rPr>
                        <w:noProof/>
                      </w:rPr>
                      <w:t>8</w:t>
                    </w:r>
                    <w:r>
                      <w:rPr>
                        <w:noProof/>
                      </w:rPr>
                      <w:t>]</w:t>
                    </w:r>
                  </w:p>
                </w:tc>
                <w:tc>
                  <w:tcPr>
                    <w:tcW w:w="0" w:type="auto"/>
                    <w:hideMark/>
                  </w:tcPr>
                  <w:p w14:paraId="18E98A1F" w14:textId="2AFA99C9" w:rsidR="000266EB" w:rsidRDefault="00076669" w:rsidP="00AD6179">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AEA70C9" w14:textId="77777777" w:rsidR="00AD6179" w:rsidRPr="00AD6179" w:rsidRDefault="00AD6179" w:rsidP="00AD6179"/>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EF12585" w14:textId="77777777" w:rsidR="00AD6179" w:rsidRDefault="00AD6179" w:rsidP="00AD6179">
                    <w:pPr>
                      <w:jc w:val="both"/>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p w14:paraId="08BFFB48" w14:textId="77777777" w:rsidR="00AD6179" w:rsidRDefault="00AD6179" w:rsidP="000266EB">
                    <w:pPr>
                      <w:pStyle w:val="Bibliography"/>
                      <w:jc w:val="both"/>
                      <w:rPr>
                        <w:noProof/>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DF707" w14:textId="77777777" w:rsidR="00477A58" w:rsidRDefault="00477A58" w:rsidP="00723BDB">
      <w:r>
        <w:separator/>
      </w:r>
    </w:p>
  </w:endnote>
  <w:endnote w:type="continuationSeparator" w:id="0">
    <w:p w14:paraId="1101BBF3" w14:textId="77777777" w:rsidR="00477A58" w:rsidRDefault="00477A58"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E9CC5" w14:textId="77777777" w:rsidR="00477A58" w:rsidRDefault="00477A58" w:rsidP="00723BDB">
      <w:r>
        <w:separator/>
      </w:r>
    </w:p>
  </w:footnote>
  <w:footnote w:type="continuationSeparator" w:id="0">
    <w:p w14:paraId="3E6BB956" w14:textId="77777777" w:rsidR="00477A58" w:rsidRDefault="00477A58"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266EB"/>
    <w:rsid w:val="000300AB"/>
    <w:rsid w:val="00076669"/>
    <w:rsid w:val="000C00A9"/>
    <w:rsid w:val="000C0D22"/>
    <w:rsid w:val="000C7362"/>
    <w:rsid w:val="00125424"/>
    <w:rsid w:val="00171697"/>
    <w:rsid w:val="001B19C8"/>
    <w:rsid w:val="001C5217"/>
    <w:rsid w:val="00223C44"/>
    <w:rsid w:val="00227CA0"/>
    <w:rsid w:val="00244F51"/>
    <w:rsid w:val="002578DE"/>
    <w:rsid w:val="002954C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77A58"/>
    <w:rsid w:val="004A2774"/>
    <w:rsid w:val="004A6DAD"/>
    <w:rsid w:val="004D3DB8"/>
    <w:rsid w:val="004F3C39"/>
    <w:rsid w:val="00545EA4"/>
    <w:rsid w:val="005537E1"/>
    <w:rsid w:val="00592A11"/>
    <w:rsid w:val="005A64B3"/>
    <w:rsid w:val="005C2337"/>
    <w:rsid w:val="005E07FF"/>
    <w:rsid w:val="006166F1"/>
    <w:rsid w:val="00617795"/>
    <w:rsid w:val="006178E2"/>
    <w:rsid w:val="00626B09"/>
    <w:rsid w:val="006B37DD"/>
    <w:rsid w:val="006D347A"/>
    <w:rsid w:val="00703CE2"/>
    <w:rsid w:val="00713376"/>
    <w:rsid w:val="00717B81"/>
    <w:rsid w:val="00723BDB"/>
    <w:rsid w:val="00737641"/>
    <w:rsid w:val="00750B1F"/>
    <w:rsid w:val="00765F4D"/>
    <w:rsid w:val="00777962"/>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AD6179"/>
    <w:rsid w:val="00BB7D0C"/>
    <w:rsid w:val="00BC2515"/>
    <w:rsid w:val="00BC5ACB"/>
    <w:rsid w:val="00BD4C53"/>
    <w:rsid w:val="00BE30D0"/>
    <w:rsid w:val="00C36A5E"/>
    <w:rsid w:val="00C645A3"/>
    <w:rsid w:val="00CA1FD6"/>
    <w:rsid w:val="00CA4213"/>
    <w:rsid w:val="00CC529B"/>
    <w:rsid w:val="00CE627F"/>
    <w:rsid w:val="00CF1B3B"/>
    <w:rsid w:val="00DE2E68"/>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6</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7</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8</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9</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10</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C31E39-8A49-4C34-80BC-8C144054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4</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45</cp:revision>
  <dcterms:created xsi:type="dcterms:W3CDTF">2019-08-28T14:00:00Z</dcterms:created>
  <dcterms:modified xsi:type="dcterms:W3CDTF">2019-10-02T14:12:00Z</dcterms:modified>
</cp:coreProperties>
</file>