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73CA5975" w14:textId="15782B62"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34D6D145" w14:textId="77777777" w:rsidR="00723BDB" w:rsidRPr="000C7362" w:rsidRDefault="005A64B3">
      <w:pPr>
        <w:rPr>
          <w:sz w:val="18"/>
          <w:szCs w:val="18"/>
        </w:rPr>
      </w:pPr>
      <w:r w:rsidRPr="000C7362">
        <w:rPr>
          <w:sz w:val="18"/>
          <w:szCs w:val="18"/>
        </w:rPr>
        <w:t>Karthik K Bhat</w:t>
      </w:r>
    </w:p>
    <w:p w14:paraId="30270FF8" w14:textId="77777777"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713CB6A"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77777777" w:rsidR="00723BDB" w:rsidRPr="000C7362" w:rsidRDefault="005A64B3">
      <w:pPr>
        <w:rPr>
          <w:sz w:val="18"/>
          <w:szCs w:val="18"/>
        </w:rPr>
      </w:pPr>
      <w:r w:rsidRPr="000C7362">
        <w:rPr>
          <w:sz w:val="18"/>
          <w:szCs w:val="18"/>
        </w:rPr>
        <w:t>maithili.shetty15@gmail.com</w:t>
      </w:r>
    </w:p>
    <w:p w14:paraId="0555AD24" w14:textId="77777777" w:rsidR="00723BDB" w:rsidRPr="000C7362" w:rsidRDefault="005A64B3" w:rsidP="00C645A3">
      <w:pPr>
        <w:rPr>
          <w:sz w:val="18"/>
          <w:szCs w:val="18"/>
        </w:rPr>
      </w:pPr>
      <w:r>
        <w:br w:type="column"/>
      </w:r>
      <w:r w:rsidRPr="000C7362">
        <w:rPr>
          <w:sz w:val="18"/>
          <w:szCs w:val="18"/>
        </w:rPr>
        <w:t>Anoop Narayana</w:t>
      </w:r>
    </w:p>
    <w:p w14:paraId="42DFF5E6" w14:textId="77777777" w:rsidR="00723BDB" w:rsidRPr="000C7362" w:rsidRDefault="005A64B3" w:rsidP="00C645A3">
      <w:pPr>
        <w:rPr>
          <w:i/>
          <w:sz w:val="18"/>
          <w:szCs w:val="18"/>
        </w:rPr>
      </w:pPr>
      <w:r w:rsidRPr="000C7362">
        <w:rPr>
          <w:i/>
          <w:sz w:val="18"/>
          <w:szCs w:val="18"/>
        </w:rPr>
        <w:t>Electronics and Communication Engineering</w:t>
      </w:r>
    </w:p>
    <w:p w14:paraId="24E95EC2" w14:textId="77777777" w:rsidR="00723BDB" w:rsidRPr="000C7362" w:rsidRDefault="005A64B3" w:rsidP="00C645A3">
      <w:pPr>
        <w:rPr>
          <w:i/>
          <w:sz w:val="18"/>
          <w:szCs w:val="18"/>
        </w:rPr>
      </w:pPr>
      <w:r w:rsidRPr="000C7362">
        <w:rPr>
          <w:i/>
          <w:sz w:val="18"/>
          <w:szCs w:val="18"/>
        </w:rPr>
        <w:t>PES University</w:t>
      </w:r>
    </w:p>
    <w:p w14:paraId="27E50907" w14:textId="77777777" w:rsidR="00723BDB" w:rsidRPr="000C7362" w:rsidRDefault="005A64B3" w:rsidP="00C645A3">
      <w:pPr>
        <w:rPr>
          <w:sz w:val="18"/>
          <w:szCs w:val="18"/>
        </w:rPr>
      </w:pPr>
      <w:r w:rsidRPr="000C7362">
        <w:rPr>
          <w:sz w:val="18"/>
          <w:szCs w:val="18"/>
        </w:rPr>
        <w:t>Bengaluru, India.</w:t>
      </w:r>
    </w:p>
    <w:p w14:paraId="18980F23"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F6689B">
        <w:rPr>
          <w:b/>
          <w:sz w:val="18"/>
          <w:szCs w:val="18"/>
        </w:rPr>
        <w:t>Cycloconverters</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55ACB76D"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SiC based DC/DC </w:t>
      </w:r>
      <w:r w:rsidR="006178E2">
        <w:rPr>
          <w:shd w:val="clear" w:color="auto" w:fill="FFFFFF"/>
        </w:rPr>
        <w:t xml:space="preserve"> </w:t>
      </w:r>
      <w:r w:rsidR="00737641">
        <w:rPr>
          <w:shd w:val="clear" w:color="auto" w:fill="FFFFFF"/>
        </w:rPr>
        <w:t xml:space="preserve">converter and an IGBT based DC/DC converter and thus concludes that the efficiency of an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73304F72"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 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 xml:space="preserve">. Reference [7]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efficient by using various methods to control the action of the cyclo-converter which will control the motor performance [8],</w:t>
      </w:r>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57D144F4"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SiC MOSFET and compare the performance of that with a cycloconverter designed using IGBT. The forthcoming sections give a better understanding of the above. </w:t>
      </w:r>
      <w:r w:rsidR="002B5B0B">
        <w:rPr>
          <w:shd w:val="clear" w:color="auto" w:fill="FFFFFF"/>
        </w:rPr>
        <w:t xml:space="preserve">SiC MOSFET is modelled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r>
        <w:rPr>
          <w:shd w:val="clear" w:color="auto" w:fill="FFFFFF"/>
        </w:rPr>
        <w:t>SiC MOSFET and IGBT</w:t>
      </w:r>
      <w:r w:rsidR="00227CA0">
        <w:rPr>
          <w:shd w:val="clear" w:color="auto" w:fill="FFFFFF"/>
        </w:rPr>
        <w:t xml:space="preserve"> </w:t>
      </w:r>
      <w:r>
        <w:rPr>
          <w:shd w:val="clear" w:color="auto" w:fill="FFFFFF"/>
        </w:rPr>
        <w:t xml:space="preserve">pertaining to various characteristics such as power loss, system efficiency, leakage current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46A6750D" w:rsidR="00723BDB" w:rsidRDefault="0040310A" w:rsidP="000239D2">
      <w:pPr>
        <w:pStyle w:val="Heading1"/>
        <w:numPr>
          <w:ilvl w:val="0"/>
          <w:numId w:val="7"/>
        </w:numPr>
      </w:pPr>
      <w:r>
        <w:lastRenderedPageBreak/>
        <w:t xml:space="preserve">SIMULINK MODEL </w:t>
      </w:r>
    </w:p>
    <w:p w14:paraId="4992A259" w14:textId="0388A76F" w:rsidR="0040310A" w:rsidRDefault="0040310A" w:rsidP="004D3DB8">
      <w:pPr>
        <w:pStyle w:val="Heading2"/>
        <w:numPr>
          <w:ilvl w:val="1"/>
          <w:numId w:val="6"/>
        </w:numPr>
      </w:pPr>
      <w:r>
        <w:t>Cycloconverter Design using IGBT</w:t>
      </w:r>
    </w:p>
    <w:p w14:paraId="196B01C8" w14:textId="470A8C22"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A cycloconverter for converting power at supply frequency to a lower frequency is modelled using IGBT as the switching element in Simulink. The converter has back to back connection of two full-wave rectifiers. The two-bridge type-controlled rectifiers are connected in anti-parallel direction via 4 ideal switched as represented in Fig. 1.</w:t>
      </w:r>
      <w:r w:rsidR="006D347A">
        <w:rPr>
          <w:rFonts w:eastAsia="Times New Roman"/>
          <w:color w:val="000000"/>
        </w:rPr>
        <w:t xml:space="preserve"> </w:t>
      </w:r>
      <w:r w:rsidR="006D347A">
        <w:rPr>
          <w:rFonts w:eastAsia="Times New Roman"/>
          <w:color w:val="000000"/>
        </w:rPr>
        <w:t>As can be observed the conventional cycloconverter using uses 2 separate converters called the P-converter and the N-converter; each performing like an H-bridge inverter</w:t>
      </w:r>
      <w:r w:rsidR="006D347A">
        <w:rPr>
          <w:rFonts w:eastAsia="Times New Roman"/>
          <w:color w:val="000000"/>
        </w:rPr>
        <w:t xml:space="preserve">. </w:t>
      </w:r>
      <w:bookmarkStart w:id="10" w:name="_GoBack"/>
      <w:bookmarkEnd w:id="10"/>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rPr>
        <w:drawing>
          <wp:inline distT="0" distB="0" distL="0" distR="0" wp14:anchorId="31465985" wp14:editId="6041097D">
            <wp:extent cx="2975610" cy="153098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5610" cy="1530985"/>
                    </a:xfrm>
                    <a:prstGeom prst="rect">
                      <a:avLst/>
                    </a:prstGeom>
                  </pic:spPr>
                </pic:pic>
              </a:graphicData>
            </a:graphic>
          </wp:inline>
        </w:drawing>
      </w:r>
    </w:p>
    <w:p w14:paraId="74261220" w14:textId="6810CED4" w:rsidR="0040310A" w:rsidRDefault="0040310A" w:rsidP="0040310A">
      <w:r w:rsidRPr="0040310A">
        <w:t>Fig. 1. Cycloconverter model using IGBT</w:t>
      </w:r>
    </w:p>
    <w:p w14:paraId="67DB912D" w14:textId="6D5D5658" w:rsidR="0040310A" w:rsidRDefault="0040310A" w:rsidP="0040310A"/>
    <w:p w14:paraId="0A772C48" w14:textId="661D69D2" w:rsidR="0040310A" w:rsidRDefault="0040310A" w:rsidP="0040310A">
      <w:pPr>
        <w:spacing w:after="120"/>
        <w:ind w:firstLine="289"/>
        <w:jc w:val="left"/>
      </w:pPr>
      <w:r>
        <w:t>The supply input to the cycloconverter is a 100V signal alternating at 50 Hz as in Fig</w:t>
      </w:r>
      <w:r w:rsidR="004D3DB8">
        <w:t>.</w:t>
      </w:r>
      <w:r>
        <w:t xml:space="preserve"> 2. The corresponding step-down output corresponds to a signal of 100V, alternating at a frequency of 5 Hz as shown in Fig</w:t>
      </w:r>
      <w:r w:rsidR="004D3DB8">
        <w:t>.</w:t>
      </w:r>
      <w:r>
        <w:t xml:space="preserve"> 3. </w:t>
      </w:r>
    </w:p>
    <w:p w14:paraId="006E0EDB" w14:textId="77777777" w:rsidR="0040310A" w:rsidRDefault="0040310A" w:rsidP="0040310A">
      <w:pPr>
        <w:spacing w:after="120"/>
        <w:ind w:firstLine="289"/>
        <w:jc w:val="left"/>
      </w:pPr>
    </w:p>
    <w:p w14:paraId="30C6567F" w14:textId="59AC1207" w:rsidR="0040310A" w:rsidRDefault="0040310A" w:rsidP="0040310A">
      <w:r>
        <w:rPr>
          <w:noProof/>
        </w:rPr>
        <w:drawing>
          <wp:inline distT="0" distB="0" distL="0" distR="0" wp14:anchorId="5DCCCDD2" wp14:editId="04473025">
            <wp:extent cx="2978150" cy="1631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4">
                      <a:extLst>
                        <a:ext uri="{28A0092B-C50C-407E-A947-70E740481C1C}">
                          <a14:useLocalDpi xmlns:a14="http://schemas.microsoft.com/office/drawing/2010/main" val="0"/>
                        </a:ext>
                      </a:extLst>
                    </a:blip>
                    <a:stretch>
                      <a:fillRect/>
                    </a:stretch>
                  </pic:blipFill>
                  <pic:spPr>
                    <a:xfrm>
                      <a:off x="0" y="0"/>
                      <a:ext cx="3005618" cy="1646690"/>
                    </a:xfrm>
                    <a:prstGeom prst="rect">
                      <a:avLst/>
                    </a:prstGeom>
                  </pic:spPr>
                </pic:pic>
              </a:graphicData>
            </a:graphic>
          </wp:inline>
        </w:drawing>
      </w:r>
    </w:p>
    <w:p w14:paraId="393C7D92" w14:textId="1082DE00" w:rsidR="0040310A" w:rsidRDefault="0040310A" w:rsidP="0040310A">
      <w:r>
        <w:t>Fig. 2.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40310A">
      <w:r>
        <w:rPr>
          <w:noProof/>
        </w:rPr>
        <w:drawing>
          <wp:inline distT="0" distB="0" distL="0" distR="0" wp14:anchorId="24219B95" wp14:editId="668A3932">
            <wp:extent cx="2975610" cy="150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5610" cy="1503680"/>
                    </a:xfrm>
                    <a:prstGeom prst="rect">
                      <a:avLst/>
                    </a:prstGeom>
                  </pic:spPr>
                </pic:pic>
              </a:graphicData>
            </a:graphic>
          </wp:inline>
        </w:drawing>
      </w:r>
    </w:p>
    <w:p w14:paraId="5B9CAE1F" w14:textId="5EC94C34" w:rsidR="0040310A" w:rsidRDefault="0040310A" w:rsidP="0040310A">
      <w:pPr>
        <w:spacing w:after="120"/>
        <w:ind w:firstLine="289"/>
        <w:jc w:val="left"/>
      </w:pPr>
      <w:r>
        <w:t xml:space="preserve">                    Fig. 3. Cycloconverter output </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AA61330" w14:textId="3921232F"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203ABEE1"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r w:rsidR="00CF1B3B">
        <w:rPr>
          <w:rFonts w:eastAsia="Times New Roman"/>
          <w:color w:val="000000"/>
        </w:rPr>
        <w:t>you?</w:t>
      </w:r>
    </w:p>
    <w:p w14:paraId="08B97830" w14:textId="77777777" w:rsidR="00723BDB" w:rsidRDefault="005A64B3" w:rsidP="000239D2">
      <w:pPr>
        <w:pStyle w:val="Heading2"/>
        <w:numPr>
          <w:ilvl w:val="1"/>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0239D2">
      <w:pPr>
        <w:pStyle w:val="Heading2"/>
        <w:numPr>
          <w:ilvl w:val="1"/>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7B6773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“webers per square meter”, not “webers/m2”.  Spell out units when they appear in text: “. . . a few henries”, not “. . . a few H”.</w:t>
      </w:r>
    </w:p>
    <w:p w14:paraId="0E0894FC"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A4841C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10FDB36" w14:textId="77777777" w:rsidR="00723BDB" w:rsidRDefault="005A64B3" w:rsidP="000239D2">
      <w:pPr>
        <w:pStyle w:val="Heading2"/>
        <w:numPr>
          <w:ilvl w:val="1"/>
          <w:numId w:val="7"/>
        </w:numPr>
      </w:pPr>
      <w:r>
        <w:t>Equations</w:t>
      </w:r>
    </w:p>
    <w:p w14:paraId="18598CB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E7944F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4D579FC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359A872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043F39BD" w14:textId="77777777" w:rsidR="00723BDB" w:rsidRDefault="005A64B3" w:rsidP="000239D2">
      <w:pPr>
        <w:pStyle w:val="Heading2"/>
        <w:numPr>
          <w:ilvl w:val="1"/>
          <w:numId w:val="7"/>
        </w:numPr>
      </w:pPr>
      <w:r>
        <w:t>Some Common Mistakes</w:t>
      </w:r>
    </w:p>
    <w:p w14:paraId="0896A9F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1703BD0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0576996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E77CD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18AD83C6"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53A50ED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7E36DB4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1987A4E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03CD6DD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7AFA73C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753810A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02E49B0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171C6830" w14:textId="77777777" w:rsidR="00723BDB" w:rsidRDefault="005A64B3" w:rsidP="000239D2">
      <w:pPr>
        <w:pStyle w:val="Heading1"/>
        <w:numPr>
          <w:ilvl w:val="0"/>
          <w:numId w:val="7"/>
        </w:numPr>
      </w:pPr>
      <w:r>
        <w:t>Using the Template</w:t>
      </w:r>
    </w:p>
    <w:p w14:paraId="37D5AA9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AFE59B2" w14:textId="77777777" w:rsidR="00723BDB" w:rsidRDefault="005A64B3" w:rsidP="000239D2">
      <w:pPr>
        <w:pStyle w:val="Heading2"/>
        <w:numPr>
          <w:ilvl w:val="1"/>
          <w:numId w:val="7"/>
        </w:numPr>
      </w:pPr>
      <w:r>
        <w:t>Authors and Affiliations</w:t>
      </w:r>
    </w:p>
    <w:p w14:paraId="2AC3B84A"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59387F3F" w14:textId="77777777" w:rsidR="00723BDB" w:rsidRDefault="00723BDB" w:rsidP="0040310A">
      <w:pPr>
        <w:jc w:val="both"/>
        <w:rPr>
          <w:i/>
        </w:rPr>
      </w:pPr>
    </w:p>
    <w:p w14:paraId="67768421" w14:textId="77777777" w:rsidR="00723BDB" w:rsidRDefault="005A64B3" w:rsidP="000239D2">
      <w:pPr>
        <w:pStyle w:val="Heading2"/>
        <w:numPr>
          <w:ilvl w:val="1"/>
          <w:numId w:val="7"/>
        </w:numPr>
      </w:pPr>
      <w:r>
        <w:t>Identify the Headings</w:t>
      </w:r>
    </w:p>
    <w:p w14:paraId="48B7C393"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4CD6B339" w14:textId="77777777" w:rsidR="00947734" w:rsidRDefault="005A64B3" w:rsidP="0094773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w:t>
      </w:r>
    </w:p>
    <w:p w14:paraId="63A65CD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introduced. Styles named “Heading 1”, “Heading 2”, “Heading 3”, and “Heading 4” are prescribed.</w:t>
      </w:r>
    </w:p>
    <w:p w14:paraId="7A694D97"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07207587" w14:textId="77777777">
        <w:trPr>
          <w:trHeight w:val="240"/>
          <w:jc w:val="center"/>
        </w:trPr>
        <w:tc>
          <w:tcPr>
            <w:tcW w:w="720" w:type="dxa"/>
            <w:vMerge w:val="restart"/>
            <w:vAlign w:val="center"/>
          </w:tcPr>
          <w:p w14:paraId="34D29A0F"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14:paraId="0E6D0333"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19C8AA2A" w14:textId="77777777">
        <w:trPr>
          <w:trHeight w:val="240"/>
          <w:jc w:val="center"/>
        </w:trPr>
        <w:tc>
          <w:tcPr>
            <w:tcW w:w="720" w:type="dxa"/>
            <w:vMerge/>
            <w:vAlign w:val="center"/>
          </w:tcPr>
          <w:p w14:paraId="03495FCA"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30EC6E26"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794A7042"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37C19D9F"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66A2C291" w14:textId="77777777">
        <w:trPr>
          <w:trHeight w:val="320"/>
          <w:jc w:val="center"/>
        </w:trPr>
        <w:tc>
          <w:tcPr>
            <w:tcW w:w="720" w:type="dxa"/>
            <w:vAlign w:val="center"/>
          </w:tcPr>
          <w:p w14:paraId="4234D916"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0078F3F1"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14:paraId="3B331AF3" w14:textId="77777777" w:rsidR="00723BDB" w:rsidRDefault="00723BDB">
            <w:pPr>
              <w:rPr>
                <w:sz w:val="16"/>
                <w:szCs w:val="16"/>
              </w:rPr>
            </w:pPr>
          </w:p>
        </w:tc>
        <w:tc>
          <w:tcPr>
            <w:tcW w:w="900" w:type="dxa"/>
            <w:vAlign w:val="center"/>
          </w:tcPr>
          <w:p w14:paraId="329DB12C" w14:textId="77777777" w:rsidR="00723BDB" w:rsidRDefault="00723BDB">
            <w:pPr>
              <w:rPr>
                <w:sz w:val="16"/>
                <w:szCs w:val="16"/>
              </w:rPr>
            </w:pPr>
          </w:p>
        </w:tc>
      </w:tr>
    </w:tbl>
    <w:p w14:paraId="0D0F2FDC"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1AABD614"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w:t>
                    </w:r>
                    <w:r>
                      <w:rPr>
                        <w:noProof/>
                      </w:rPr>
                      <w:lastRenderedPageBreak/>
                      <w:t xml:space="preserve">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lastRenderedPageBreak/>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2ECFDE45" w14:textId="25DE3698" w:rsidR="00076669" w:rsidRDefault="00076669" w:rsidP="007E0102">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tc>
              </w:tr>
              <w:tr w:rsidR="00076669" w14:paraId="3DCA8606" w14:textId="77777777" w:rsidTr="00A03DDC">
                <w:trPr>
                  <w:divId w:val="1927231538"/>
                  <w:tblCellSpacing w:w="15" w:type="dxa"/>
                </w:trPr>
                <w:tc>
                  <w:tcPr>
                    <w:tcW w:w="276" w:type="pct"/>
                    <w:hideMark/>
                  </w:tcPr>
                  <w:p w14:paraId="7295877D" w14:textId="17CB5EA9" w:rsidR="00076669" w:rsidRDefault="00076669" w:rsidP="007E0102">
                    <w:pPr>
                      <w:pStyle w:val="Bibliography"/>
                      <w:jc w:val="both"/>
                      <w:rPr>
                        <w:noProof/>
                      </w:rPr>
                    </w:pPr>
                    <w:r>
                      <w:rPr>
                        <w:noProof/>
                      </w:rPr>
                      <w:t>[</w:t>
                    </w:r>
                    <w:r w:rsidR="00A03DDC">
                      <w:rPr>
                        <w:noProof/>
                      </w:rPr>
                      <w:t>8</w:t>
                    </w:r>
                    <w:r>
                      <w:rPr>
                        <w:noProof/>
                      </w:rPr>
                      <w:t>]</w:t>
                    </w:r>
                  </w:p>
                </w:tc>
                <w:tc>
                  <w:tcPr>
                    <w:tcW w:w="0" w:type="auto"/>
                    <w:hideMark/>
                  </w:tcPr>
                  <w:p w14:paraId="6D7BB48D" w14:textId="775B64BE" w:rsidR="00076669" w:rsidRDefault="00076669" w:rsidP="007E0102">
                    <w:pPr>
                      <w:pStyle w:val="Bibliography"/>
                      <w:jc w:val="both"/>
                      <w:rPr>
                        <w:noProof/>
                      </w:rPr>
                    </w:pPr>
                    <w:r>
                      <w:rPr>
                        <w:noProof/>
                      </w:rPr>
                      <w:t xml:space="preserve">B. Brindha, T. Porselvi and R. Ilayaraja, "Speed Control of Single and Three Phase Induction Motor Using Full Bridge Cycloconverter," in </w:t>
                    </w:r>
                    <w:r>
                      <w:rPr>
                        <w:i/>
                        <w:iCs/>
                        <w:noProof/>
                      </w:rPr>
                      <w:t>2018 International Conference on Power, Energy, Control and Transmission Systems (ICPECTS)</w:t>
                    </w:r>
                    <w:r>
                      <w:rPr>
                        <w:noProof/>
                      </w:rPr>
                      <w:t>, Chennai, 2018.</w:t>
                    </w:r>
                  </w:p>
                </w:tc>
              </w:tr>
            </w:tbl>
            <w:p w14:paraId="1D847750" w14:textId="77777777" w:rsidR="00076669" w:rsidRDefault="00076669" w:rsidP="007E0102">
              <w:pPr>
                <w:jc w:val="both"/>
                <w:divId w:val="1927231538"/>
                <w:rPr>
                  <w:rFonts w:eastAsia="Times New Roman"/>
                  <w:noProof/>
                </w:rPr>
              </w:pPr>
            </w:p>
            <w:p w14:paraId="7DE1F773" w14:textId="77777777" w:rsidR="003B0086" w:rsidRDefault="0033013A" w:rsidP="007E0102">
              <w:pPr>
                <w:jc w:val="both"/>
              </w:pPr>
              <w:r>
                <w:rPr>
                  <w:b/>
                  <w:bCs/>
                  <w:noProof/>
                </w:rPr>
                <w:fldChar w:fldCharType="end"/>
              </w:r>
              <w:commentRangeEnd w:id="12"/>
              <w:r w:rsidR="004A2774">
                <w:rPr>
                  <w:rStyle w:val="CommentReference"/>
                </w:rPr>
                <w:commentReference w:id="12"/>
              </w:r>
              <w:commentRangeEnd w:id="11"/>
              <w:r w:rsidR="00EB25F9">
                <w:rPr>
                  <w:rStyle w:val="CommentReference"/>
                </w:rPr>
                <w:commentReference w:id="11"/>
              </w:r>
            </w:p>
          </w:sdtContent>
        </w:sdt>
      </w:sdtContent>
    </w:sdt>
    <w:p w14:paraId="60DEEA3D" w14:textId="77777777" w:rsidR="00723BDB" w:rsidRDefault="00723BDB" w:rsidP="00076669">
      <w:pPr>
        <w:pBdr>
          <w:top w:val="nil"/>
          <w:left w:val="nil"/>
          <w:bottom w:val="nil"/>
          <w:right w:val="nil"/>
          <w:between w:val="nil"/>
        </w:pBdr>
        <w:spacing w:after="50"/>
        <w:ind w:left="360" w:hanging="360"/>
        <w:jc w:val="both"/>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p>
    <w:p w14:paraId="62CD22EA" w14:textId="77777777" w:rsidR="00076669" w:rsidRDefault="00076669"/>
    <w:p w14:paraId="72C15567" w14:textId="77777777" w:rsidR="00723BDB" w:rsidRDefault="00723BDB" w:rsidP="009947CC">
      <w:pPr>
        <w:jc w:val="both"/>
      </w:pPr>
    </w:p>
    <w:p w14:paraId="7DF64DEB" w14:textId="77777777" w:rsidR="00723BDB" w:rsidRDefault="00723BDB">
      <w:bookmarkStart w:id="13" w:name="_heading=h.gjdgxs" w:colFirst="0" w:colLast="0"/>
      <w:bookmarkEnd w:id="13"/>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2CA0E4F5" w14:textId="77777777" w:rsidR="006166F1" w:rsidRDefault="006166F1">
      <w:pPr>
        <w:pStyle w:val="CommentText"/>
      </w:pPr>
      <w:r>
        <w:rPr>
          <w:rStyle w:val="CommentReference"/>
        </w:rPr>
        <w:annotationRef/>
      </w:r>
      <w:r>
        <w:t>Done.</w:t>
      </w:r>
    </w:p>
  </w:comment>
  <w:comment w:id="2" w:author="Clarence Tauro" w:date="2019-09-02T16:18:00Z" w:initials="CT">
    <w:p w14:paraId="337C4B85" w14:textId="77777777" w:rsidR="003E11A2" w:rsidRDefault="003E11A2">
      <w:pPr>
        <w:pStyle w:val="CommentText"/>
      </w:pPr>
      <w:r>
        <w:rPr>
          <w:rStyle w:val="CommentReference"/>
        </w:rPr>
        <w:annotationRef/>
      </w:r>
      <w:r>
        <w:t>Caps “C”</w:t>
      </w:r>
    </w:p>
  </w:comment>
  <w:comment w:id="3" w:author="Karthik K Bhat" w:date="2019-09-02T18:25:00Z" w:initials="KKB">
    <w:p w14:paraId="4269EFDA" w14:textId="77777777" w:rsidR="006166F1" w:rsidRDefault="006166F1" w:rsidP="006166F1">
      <w:pPr>
        <w:pStyle w:val="CommentText"/>
      </w:pPr>
      <w:r>
        <w:rPr>
          <w:rStyle w:val="CommentReference"/>
        </w:rPr>
        <w:annotationRef/>
      </w:r>
      <w:r>
        <w:t>Done</w:t>
      </w:r>
    </w:p>
  </w:comment>
  <w:comment w:id="4" w:author="Clarence Tauro" w:date="2019-09-02T16:21:00Z" w:initials="CT">
    <w:p w14:paraId="7523636C" w14:textId="77777777" w:rsidR="003E11A2" w:rsidRDefault="003E11A2">
      <w:pPr>
        <w:pStyle w:val="CommentText"/>
      </w:pPr>
      <w:r>
        <w:rPr>
          <w:rStyle w:val="CommentReference"/>
        </w:rPr>
        <w:annotationRef/>
      </w:r>
      <w:r>
        <w:t>Are used</w:t>
      </w:r>
    </w:p>
  </w:comment>
  <w:comment w:id="5" w:author="Karthik K Bhat" w:date="2019-09-02T18:26:00Z" w:initials="KKB">
    <w:p w14:paraId="69AA0F48" w14:textId="77777777" w:rsidR="006166F1" w:rsidRDefault="006166F1">
      <w:pPr>
        <w:pStyle w:val="CommentText"/>
      </w:pPr>
      <w:r>
        <w:rPr>
          <w:rStyle w:val="CommentReference"/>
        </w:rPr>
        <w:annotationRef/>
      </w:r>
      <w:r>
        <w:t>Done</w:t>
      </w:r>
    </w:p>
  </w:comment>
  <w:comment w:id="6" w:author="Clarence Tauro" w:date="2019-09-22T16:37:00Z" w:initials="CT">
    <w:p w14:paraId="244780EB" w14:textId="77777777" w:rsidR="004A2774" w:rsidRDefault="004A2774"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4A2774" w:rsidRDefault="004A2774">
      <w:pPr>
        <w:pStyle w:val="CommentText"/>
      </w:pPr>
    </w:p>
    <w:p w14:paraId="5E0EB757" w14:textId="77777777" w:rsidR="004A2774" w:rsidRDefault="004A2774">
      <w:pPr>
        <w:pStyle w:val="CommentText"/>
      </w:pPr>
      <w:r>
        <w:t xml:space="preserve">Please rework </w:t>
      </w:r>
    </w:p>
  </w:comment>
  <w:comment w:id="7" w:author="Maithili Shetty" w:date="2019-10-02T11:32:00Z" w:initials="MS">
    <w:p w14:paraId="1F64CB3E" w14:textId="37B48306" w:rsidR="00857EA1" w:rsidRDefault="00857EA1" w:rsidP="00857EA1">
      <w:pPr>
        <w:pStyle w:val="CommentText"/>
      </w:pPr>
      <w:r>
        <w:rPr>
          <w:rStyle w:val="CommentReference"/>
        </w:rPr>
        <w:annotationRef/>
      </w:r>
      <w:r>
        <w:t xml:space="preserve">Done. </w:t>
      </w:r>
    </w:p>
  </w:comment>
  <w:comment w:id="8" w:author="Clarence Tauro" w:date="2019-09-22T16:38:00Z" w:initials="CT">
    <w:p w14:paraId="759C5F44" w14:textId="77777777" w:rsidR="004A2774" w:rsidRDefault="004A2774">
      <w:pPr>
        <w:pStyle w:val="CommentText"/>
      </w:pPr>
      <w:r>
        <w:rPr>
          <w:rStyle w:val="CommentReference"/>
        </w:rPr>
        <w:annotationRef/>
      </w:r>
      <w:r>
        <w:t>Well planned.. but don’t mention sections I section II etc  here.. you can brief on what you are doing.</w:t>
      </w:r>
    </w:p>
  </w:comment>
  <w:comment w:id="9" w:author="Maithili Shetty" w:date="2019-10-02T12:20:00Z" w:initials="MS">
    <w:p w14:paraId="124F3868" w14:textId="144412BE" w:rsidR="00227CA0" w:rsidRDefault="00227CA0">
      <w:pPr>
        <w:pStyle w:val="CommentText"/>
      </w:pPr>
      <w:r>
        <w:rPr>
          <w:rStyle w:val="CommentReference"/>
        </w:rPr>
        <w:annotationRef/>
      </w:r>
      <w:r>
        <w:t>Done.</w:t>
      </w:r>
    </w:p>
  </w:comment>
  <w:comment w:id="12" w:author="Clarence Tauro" w:date="2019-09-22T16:39:00Z" w:initials="CT">
    <w:p w14:paraId="0AFFABAB" w14:textId="77777777" w:rsidR="004A2774" w:rsidRDefault="004A2774" w:rsidP="004A2774">
      <w:pPr>
        <w:pStyle w:val="CommentText"/>
        <w:jc w:val="both"/>
      </w:pPr>
      <w:r>
        <w:rPr>
          <w:rStyle w:val="CommentReference"/>
        </w:rPr>
        <w:annotationRef/>
      </w:r>
      <w:r>
        <w:t>A little bit of alignment issue. Please follow the template for spacing and alignment</w:t>
      </w:r>
    </w:p>
  </w:comment>
  <w:comment w:id="11" w:author="Maithili Shetty" w:date="2019-10-02T10:40:00Z" w:initials="MS">
    <w:p w14:paraId="017E881F" w14:textId="5DCCBEDC" w:rsidR="00EB25F9" w:rsidRDefault="00EB25F9"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613C6" w14:textId="77777777" w:rsidR="004D3D7D" w:rsidRDefault="004D3D7D" w:rsidP="00723BDB">
      <w:r>
        <w:separator/>
      </w:r>
    </w:p>
  </w:endnote>
  <w:endnote w:type="continuationSeparator" w:id="0">
    <w:p w14:paraId="6A14700F" w14:textId="77777777" w:rsidR="004D3D7D" w:rsidRDefault="004D3D7D"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1AFF3" w14:textId="77777777" w:rsidR="004D3D7D" w:rsidRDefault="004D3D7D" w:rsidP="00723BDB">
      <w:r>
        <w:separator/>
      </w:r>
    </w:p>
  </w:footnote>
  <w:footnote w:type="continuationSeparator" w:id="0">
    <w:p w14:paraId="76AA3176" w14:textId="77777777" w:rsidR="004D3D7D" w:rsidRDefault="004D3D7D"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239D2"/>
    <w:rsid w:val="0002432F"/>
    <w:rsid w:val="000300AB"/>
    <w:rsid w:val="00076669"/>
    <w:rsid w:val="000C00A9"/>
    <w:rsid w:val="000C0D22"/>
    <w:rsid w:val="000C7362"/>
    <w:rsid w:val="00125424"/>
    <w:rsid w:val="001B19C8"/>
    <w:rsid w:val="001C5217"/>
    <w:rsid w:val="00223C44"/>
    <w:rsid w:val="00227CA0"/>
    <w:rsid w:val="00244F51"/>
    <w:rsid w:val="002578DE"/>
    <w:rsid w:val="002954CA"/>
    <w:rsid w:val="002B5B0B"/>
    <w:rsid w:val="002E5D88"/>
    <w:rsid w:val="003116E2"/>
    <w:rsid w:val="0033013A"/>
    <w:rsid w:val="00397F1A"/>
    <w:rsid w:val="003B0086"/>
    <w:rsid w:val="003D49F0"/>
    <w:rsid w:val="003E11A2"/>
    <w:rsid w:val="0040310A"/>
    <w:rsid w:val="00417A0E"/>
    <w:rsid w:val="00422D2B"/>
    <w:rsid w:val="004A2774"/>
    <w:rsid w:val="004A6DAD"/>
    <w:rsid w:val="004D3D7D"/>
    <w:rsid w:val="004D3DB8"/>
    <w:rsid w:val="004F3C39"/>
    <w:rsid w:val="00545EA4"/>
    <w:rsid w:val="005537E1"/>
    <w:rsid w:val="00592A11"/>
    <w:rsid w:val="005A64B3"/>
    <w:rsid w:val="005C2337"/>
    <w:rsid w:val="005E07FF"/>
    <w:rsid w:val="006166F1"/>
    <w:rsid w:val="00617795"/>
    <w:rsid w:val="006178E2"/>
    <w:rsid w:val="00626B09"/>
    <w:rsid w:val="006B37DD"/>
    <w:rsid w:val="006D347A"/>
    <w:rsid w:val="00703CE2"/>
    <w:rsid w:val="00717B81"/>
    <w:rsid w:val="00723BDB"/>
    <w:rsid w:val="00737641"/>
    <w:rsid w:val="00750B1F"/>
    <w:rsid w:val="00765F4D"/>
    <w:rsid w:val="007821DA"/>
    <w:rsid w:val="007A1B30"/>
    <w:rsid w:val="007E0102"/>
    <w:rsid w:val="007F769A"/>
    <w:rsid w:val="008073CF"/>
    <w:rsid w:val="00857EA1"/>
    <w:rsid w:val="008655E3"/>
    <w:rsid w:val="008E4142"/>
    <w:rsid w:val="00913582"/>
    <w:rsid w:val="009157B9"/>
    <w:rsid w:val="00926782"/>
    <w:rsid w:val="00932B34"/>
    <w:rsid w:val="00943CC9"/>
    <w:rsid w:val="00947734"/>
    <w:rsid w:val="009931F0"/>
    <w:rsid w:val="009947CC"/>
    <w:rsid w:val="00997EA4"/>
    <w:rsid w:val="009C27D6"/>
    <w:rsid w:val="009E3EA8"/>
    <w:rsid w:val="00A03DDC"/>
    <w:rsid w:val="00A128FF"/>
    <w:rsid w:val="00A73FB1"/>
    <w:rsid w:val="00A752E2"/>
    <w:rsid w:val="00BC2515"/>
    <w:rsid w:val="00BC5ACB"/>
    <w:rsid w:val="00BD4C53"/>
    <w:rsid w:val="00BE30D0"/>
    <w:rsid w:val="00C36A5E"/>
    <w:rsid w:val="00C645A3"/>
    <w:rsid w:val="00CA1FD6"/>
    <w:rsid w:val="00CA4213"/>
    <w:rsid w:val="00CC529B"/>
    <w:rsid w:val="00CE627F"/>
    <w:rsid w:val="00CF1B3B"/>
    <w:rsid w:val="00DE2E68"/>
    <w:rsid w:val="00DF6346"/>
    <w:rsid w:val="00E0433D"/>
    <w:rsid w:val="00E22390"/>
    <w:rsid w:val="00E253E6"/>
    <w:rsid w:val="00E87F95"/>
    <w:rsid w:val="00EB2438"/>
    <w:rsid w:val="00EB25F9"/>
    <w:rsid w:val="00EB4E7B"/>
    <w:rsid w:val="00EC7A52"/>
    <w:rsid w:val="00F004F1"/>
    <w:rsid w:val="00F46807"/>
    <w:rsid w:val="00F6689B"/>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8</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9</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5</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6</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9E9253-9C4D-46F8-96B4-272B24B4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4</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43</cp:revision>
  <dcterms:created xsi:type="dcterms:W3CDTF">2019-08-28T14:00:00Z</dcterms:created>
  <dcterms:modified xsi:type="dcterms:W3CDTF">2019-10-02T12:33:00Z</dcterms:modified>
</cp:coreProperties>
</file>