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Annapurna Store Data Platform — Tasks A–F</w:t>
      </w:r>
    </w:p>
    <w:p>
      <w:pPr>
        <w:pStyle w:val="Heading1"/>
      </w:pPr>
      <w:r>
        <w:t>A. Object Storage and File Organization</w:t>
      </w:r>
    </w:p>
    <w:p>
      <w:r>
        <w:t>The raw daily sales files were loaded into MinIO as the object-storage layer. A partitioned layout based on store, year, and month was used.</w:t>
      </w:r>
    </w:p>
    <w:p>
      <w:pPr>
        <w:ind w:left="288"/>
      </w:pPr>
      <w:r>
        <w:rPr>
          <w:rFonts w:ascii="Consolas" w:hAnsi="Consolas"/>
          <w:sz w:val="17"/>
        </w:rPr>
        <w:t>raw/sales/store=SXX/year=YYYY/month=MM/&lt;original filename&gt;.csv</w:t>
      </w:r>
    </w:p>
    <w:tbl>
      <w:tblPr>
        <w:tblStyle w:val="TableGrid"/>
        <w:tblW w:type="auto" w:w="0"/>
        <w:tblLook w:firstColumn="1" w:firstRow="1" w:lastColumn="0" w:lastRow="0" w:noHBand="0" w:noVBand="1" w:val="04A0"/>
      </w:tblPr>
      <w:tblGrid>
        <w:gridCol w:w="5328"/>
        <w:gridCol w:w="5328"/>
      </w:tblGrid>
      <w:tr>
        <w:tc>
          <w:tcPr>
            <w:tcW w:type="dxa" w:w="5328"/>
          </w:tcPr>
          <w:p>
            <w:r>
              <w:rPr>
                <w:b/>
                <w:sz w:val="16"/>
              </w:rPr>
              <w:t>Metric</w:t>
            </w:r>
          </w:p>
        </w:tc>
        <w:tc>
          <w:tcPr>
            <w:tcW w:type="dxa" w:w="5328"/>
          </w:tcPr>
          <w:p>
            <w:r>
              <w:rPr>
                <w:b/>
                <w:sz w:val="16"/>
              </w:rPr>
              <w:t>Result</w:t>
            </w:r>
          </w:p>
        </w:tc>
      </w:tr>
      <w:tr>
        <w:tc>
          <w:tcPr>
            <w:tcW w:type="dxa" w:w="5328"/>
          </w:tcPr>
          <w:p>
            <w:r>
              <w:rPr>
                <w:sz w:val="16"/>
              </w:rPr>
              <w:t>Total source files</w:t>
            </w:r>
          </w:p>
        </w:tc>
        <w:tc>
          <w:tcPr>
            <w:tcW w:type="dxa" w:w="5328"/>
          </w:tcPr>
          <w:p>
            <w:r>
              <w:rPr>
                <w:sz w:val="16"/>
              </w:rPr>
              <w:t>4,457</w:t>
            </w:r>
          </w:p>
        </w:tc>
      </w:tr>
      <w:tr>
        <w:tc>
          <w:tcPr>
            <w:tcW w:type="dxa" w:w="5328"/>
          </w:tcPr>
          <w:p>
            <w:r>
              <w:rPr>
                <w:sz w:val="16"/>
              </w:rPr>
              <w:t>Total source bytes</w:t>
            </w:r>
          </w:p>
        </w:tc>
        <w:tc>
          <w:tcPr>
            <w:tcW w:type="dxa" w:w="5328"/>
          </w:tcPr>
          <w:p>
            <w:r>
              <w:rPr>
                <w:sz w:val="16"/>
              </w:rPr>
              <w:t>68,706,877 bytes</w:t>
            </w:r>
          </w:p>
        </w:tc>
      </w:tr>
      <w:tr>
        <w:tc>
          <w:tcPr>
            <w:tcW w:type="dxa" w:w="5328"/>
          </w:tcPr>
          <w:p>
            <w:r>
              <w:rPr>
                <w:sz w:val="16"/>
              </w:rPr>
              <w:t>Objects uploaded to MinIO</w:t>
            </w:r>
          </w:p>
        </w:tc>
        <w:tc>
          <w:tcPr>
            <w:tcW w:type="dxa" w:w="5328"/>
          </w:tcPr>
          <w:p>
            <w:r>
              <w:rPr>
                <w:sz w:val="16"/>
              </w:rPr>
              <w:t>4,457</w:t>
            </w:r>
          </w:p>
        </w:tc>
      </w:tr>
      <w:tr>
        <w:tc>
          <w:tcPr>
            <w:tcW w:type="dxa" w:w="5328"/>
          </w:tcPr>
          <w:p>
            <w:r>
              <w:rPr>
                <w:sz w:val="16"/>
              </w:rPr>
              <w:t>Bytes stored</w:t>
            </w:r>
          </w:p>
        </w:tc>
        <w:tc>
          <w:tcPr>
            <w:tcW w:type="dxa" w:w="5328"/>
          </w:tcPr>
          <w:p>
            <w:r>
              <w:rPr>
                <w:sz w:val="16"/>
              </w:rPr>
              <w:t>68,706,877 bytes</w:t>
            </w:r>
          </w:p>
        </w:tc>
      </w:tr>
      <w:tr>
        <w:tc>
          <w:tcPr>
            <w:tcW w:type="dxa" w:w="5328"/>
          </w:tcPr>
          <w:p>
            <w:r>
              <w:rPr>
                <w:sz w:val="16"/>
              </w:rPr>
              <w:t>Store/month partitions</w:t>
            </w:r>
          </w:p>
        </w:tc>
        <w:tc>
          <w:tcPr>
            <w:tcW w:type="dxa" w:w="5328"/>
          </w:tcPr>
          <w:p>
            <w:r>
              <w:rPr>
                <w:sz w:val="16"/>
              </w:rPr>
              <w:t>144</w:t>
            </w:r>
          </w:p>
        </w:tc>
      </w:tr>
      <w:tr>
        <w:tc>
          <w:tcPr>
            <w:tcW w:type="dxa" w:w="5328"/>
          </w:tcPr>
          <w:p>
            <w:r>
              <w:rPr>
                <w:sz w:val="16"/>
              </w:rPr>
              <w:t>S01 October files</w:t>
            </w:r>
          </w:p>
        </w:tc>
        <w:tc>
          <w:tcPr>
            <w:tcW w:type="dxa" w:w="5328"/>
          </w:tcPr>
          <w:p>
            <w:r>
              <w:rPr>
                <w:sz w:val="16"/>
              </w:rPr>
              <w:t>31</w:t>
            </w:r>
          </w:p>
        </w:tc>
      </w:tr>
      <w:tr>
        <w:tc>
          <w:tcPr>
            <w:tcW w:type="dxa" w:w="5328"/>
          </w:tcPr>
          <w:p>
            <w:r>
              <w:rPr>
                <w:sz w:val="16"/>
              </w:rPr>
              <w:t>S01 October bytes</w:t>
            </w:r>
          </w:p>
        </w:tc>
        <w:tc>
          <w:tcPr>
            <w:tcW w:type="dxa" w:w="5328"/>
          </w:tcPr>
          <w:p>
            <w:r>
              <w:rPr>
                <w:sz w:val="16"/>
              </w:rPr>
              <w:t>846,899</w:t>
            </w:r>
          </w:p>
        </w:tc>
      </w:tr>
    </w:tbl>
    <w:p>
      <w:r>
        <w:t>DuckDB was verified to read the files directly from MinIO. The S01 October partition returned a total quantity of 22,783.</w:t>
      </w:r>
    </w:p>
    <w:p>
      <w:pPr>
        <w:pStyle w:val="Heading1"/>
      </w:pPr>
      <w:r>
        <w:t>B. Idempotent Sales Loading</w:t>
      </w:r>
    </w:p>
    <w:p>
      <w:r>
        <w:t>The sales loader uses (bill_no, line_no) as the primary key and ON CONFLICT (bill_no, line_no) DO NOTHING, making the loading process safe to replay.</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tcPr>
          <w:p>
            <w:r>
              <w:rPr>
                <w:b/>
                <w:sz w:val="16"/>
              </w:rPr>
              <w:t>Run</w:t>
            </w:r>
          </w:p>
        </w:tc>
        <w:tc>
          <w:tcPr>
            <w:tcW w:type="dxa" w:w="1776"/>
          </w:tcPr>
          <w:p>
            <w:r>
              <w:rPr>
                <w:b/>
                <w:sz w:val="16"/>
              </w:rPr>
              <w:t>Files processed</w:t>
            </w:r>
          </w:p>
        </w:tc>
        <w:tc>
          <w:tcPr>
            <w:tcW w:type="dxa" w:w="1776"/>
          </w:tcPr>
          <w:p>
            <w:r>
              <w:rPr>
                <w:b/>
                <w:sz w:val="16"/>
              </w:rPr>
              <w:t>Rows seen</w:t>
            </w:r>
          </w:p>
        </w:tc>
        <w:tc>
          <w:tcPr>
            <w:tcW w:type="dxa" w:w="1776"/>
          </w:tcPr>
          <w:p>
            <w:r>
              <w:rPr>
                <w:b/>
                <w:sz w:val="16"/>
              </w:rPr>
              <w:t>Rows inserted</w:t>
            </w:r>
          </w:p>
        </w:tc>
        <w:tc>
          <w:tcPr>
            <w:tcW w:type="dxa" w:w="1776"/>
          </w:tcPr>
          <w:p>
            <w:r>
              <w:rPr>
                <w:b/>
                <w:sz w:val="16"/>
              </w:rPr>
              <w:t>Final row count</w:t>
            </w:r>
          </w:p>
        </w:tc>
        <w:tc>
          <w:tcPr>
            <w:tcW w:type="dxa" w:w="1776"/>
          </w:tcPr>
          <w:p>
            <w:r>
              <w:rPr>
                <w:b/>
                <w:sz w:val="16"/>
              </w:rPr>
              <w:t>Checksum</w:t>
            </w:r>
          </w:p>
        </w:tc>
      </w:tr>
      <w:tr>
        <w:tc>
          <w:tcPr>
            <w:tcW w:type="dxa" w:w="1776"/>
          </w:tcPr>
          <w:p>
            <w:r>
              <w:rPr>
                <w:sz w:val="16"/>
              </w:rPr>
              <w:t>1</w:t>
            </w:r>
          </w:p>
        </w:tc>
        <w:tc>
          <w:tcPr>
            <w:tcW w:type="dxa" w:w="1776"/>
          </w:tcPr>
          <w:p>
            <w:r>
              <w:rPr>
                <w:sz w:val="16"/>
              </w:rPr>
              <w:t>4,457</w:t>
            </w:r>
          </w:p>
        </w:tc>
        <w:tc>
          <w:tcPr>
            <w:tcW w:type="dxa" w:w="1776"/>
          </w:tcPr>
          <w:p>
            <w:r>
              <w:rPr>
                <w:sz w:val="16"/>
              </w:rPr>
              <w:t>1,137,585</w:t>
            </w:r>
          </w:p>
        </w:tc>
        <w:tc>
          <w:tcPr>
            <w:tcW w:type="dxa" w:w="1776"/>
          </w:tcPr>
          <w:p>
            <w:r>
              <w:rPr>
                <w:sz w:val="16"/>
              </w:rPr>
              <w:t>1,120,924</w:t>
            </w:r>
          </w:p>
        </w:tc>
        <w:tc>
          <w:tcPr>
            <w:tcW w:type="dxa" w:w="1776"/>
          </w:tcPr>
          <w:p>
            <w:r>
              <w:rPr>
                <w:sz w:val="16"/>
              </w:rPr>
              <w:t>1,120,924</w:t>
            </w:r>
          </w:p>
        </w:tc>
        <w:tc>
          <w:tcPr>
            <w:tcW w:type="dxa" w:w="1776"/>
          </w:tcPr>
          <w:p>
            <w:r>
              <w:rPr>
                <w:sz w:val="16"/>
              </w:rPr>
              <w:t>a3dfe71a57a6489a87a968864da768e8</w:t>
            </w:r>
          </w:p>
        </w:tc>
      </w:tr>
      <w:tr>
        <w:tc>
          <w:tcPr>
            <w:tcW w:type="dxa" w:w="1776"/>
          </w:tcPr>
          <w:p>
            <w:r>
              <w:rPr>
                <w:sz w:val="16"/>
              </w:rPr>
              <w:t>2</w:t>
            </w:r>
          </w:p>
        </w:tc>
        <w:tc>
          <w:tcPr>
            <w:tcW w:type="dxa" w:w="1776"/>
          </w:tcPr>
          <w:p>
            <w:r>
              <w:rPr>
                <w:sz w:val="16"/>
              </w:rPr>
              <w:t>4,457</w:t>
            </w:r>
          </w:p>
        </w:tc>
        <w:tc>
          <w:tcPr>
            <w:tcW w:type="dxa" w:w="1776"/>
          </w:tcPr>
          <w:p>
            <w:r>
              <w:rPr>
                <w:sz w:val="16"/>
              </w:rPr>
              <w:t>1,137,585</w:t>
            </w:r>
          </w:p>
        </w:tc>
        <w:tc>
          <w:tcPr>
            <w:tcW w:type="dxa" w:w="1776"/>
          </w:tcPr>
          <w:p>
            <w:r>
              <w:rPr>
                <w:sz w:val="16"/>
              </w:rPr>
              <w:t>0</w:t>
            </w:r>
          </w:p>
        </w:tc>
        <w:tc>
          <w:tcPr>
            <w:tcW w:type="dxa" w:w="1776"/>
          </w:tcPr>
          <w:p>
            <w:r>
              <w:rPr>
                <w:sz w:val="16"/>
              </w:rPr>
              <w:t>1,120,924</w:t>
            </w:r>
          </w:p>
        </w:tc>
        <w:tc>
          <w:tcPr>
            <w:tcW w:type="dxa" w:w="1776"/>
          </w:tcPr>
          <w:p>
            <w:r>
              <w:rPr>
                <w:sz w:val="16"/>
              </w:rPr>
              <w:t>a3dfe71a57a6489a87a968864da768e8</w:t>
            </w:r>
          </w:p>
        </w:tc>
      </w:tr>
      <w:tr>
        <w:tc>
          <w:tcPr>
            <w:tcW w:type="dxa" w:w="1776"/>
          </w:tcPr>
          <w:p>
            <w:r>
              <w:rPr>
                <w:sz w:val="16"/>
              </w:rPr>
              <w:t>3</w:t>
            </w:r>
          </w:p>
        </w:tc>
        <w:tc>
          <w:tcPr>
            <w:tcW w:type="dxa" w:w="1776"/>
          </w:tcPr>
          <w:p>
            <w:r>
              <w:rPr>
                <w:sz w:val="16"/>
              </w:rPr>
              <w:t>4,457</w:t>
            </w:r>
          </w:p>
        </w:tc>
        <w:tc>
          <w:tcPr>
            <w:tcW w:type="dxa" w:w="1776"/>
          </w:tcPr>
          <w:p>
            <w:r>
              <w:rPr>
                <w:sz w:val="16"/>
              </w:rPr>
              <w:t>1,137,585</w:t>
            </w:r>
          </w:p>
        </w:tc>
        <w:tc>
          <w:tcPr>
            <w:tcW w:type="dxa" w:w="1776"/>
          </w:tcPr>
          <w:p>
            <w:r>
              <w:rPr>
                <w:sz w:val="16"/>
              </w:rPr>
              <w:t>0</w:t>
            </w:r>
          </w:p>
        </w:tc>
        <w:tc>
          <w:tcPr>
            <w:tcW w:type="dxa" w:w="1776"/>
          </w:tcPr>
          <w:p>
            <w:r>
              <w:rPr>
                <w:sz w:val="16"/>
              </w:rPr>
              <w:t>1,120,924</w:t>
            </w:r>
          </w:p>
        </w:tc>
        <w:tc>
          <w:tcPr>
            <w:tcW w:type="dxa" w:w="1776"/>
          </w:tcPr>
          <w:p>
            <w:r>
              <w:rPr>
                <w:sz w:val="16"/>
              </w:rPr>
              <w:t>a3dfe71a57a6489a87a968864da768e8</w:t>
            </w:r>
          </w:p>
        </w:tc>
      </w:tr>
    </w:tbl>
    <w:p>
      <w:r>
        <w:t>The row count and checksum remained identical after all three runs, proving that replaying the same input does not create duplicates or change the database result.</w:t>
      </w:r>
    </w:p>
    <w:p>
      <w:pPr>
        <w:pStyle w:val="Heading1"/>
      </w:pPr>
      <w:r>
        <w:t>C. Master Data, Revenue Lines, and Star Schema</w:t>
      </w:r>
    </w:p>
    <w:p>
      <w:r>
        <w:t>The operational master data was loaded from masters.sql.</w:t>
      </w:r>
    </w:p>
    <w:tbl>
      <w:tblPr>
        <w:tblStyle w:val="TableGrid"/>
        <w:tblW w:type="auto" w:w="0"/>
        <w:tblLook w:firstColumn="1" w:firstRow="1" w:lastColumn="0" w:lastRow="0" w:noHBand="0" w:noVBand="1" w:val="04A0"/>
      </w:tblPr>
      <w:tblGrid>
        <w:gridCol w:w="5328"/>
        <w:gridCol w:w="5328"/>
      </w:tblGrid>
      <w:tr>
        <w:tc>
          <w:tcPr>
            <w:tcW w:type="dxa" w:w="5328"/>
          </w:tcPr>
          <w:p>
            <w:r>
              <w:rPr>
                <w:b/>
                <w:sz w:val="16"/>
              </w:rPr>
              <w:t>Master table</w:t>
            </w:r>
          </w:p>
        </w:tc>
        <w:tc>
          <w:tcPr>
            <w:tcW w:type="dxa" w:w="5328"/>
          </w:tcPr>
          <w:p>
            <w:r>
              <w:rPr>
                <w:b/>
                <w:sz w:val="16"/>
              </w:rPr>
              <w:t>Rows</w:t>
            </w:r>
          </w:p>
        </w:tc>
      </w:tr>
      <w:tr>
        <w:tc>
          <w:tcPr>
            <w:tcW w:type="dxa" w:w="5328"/>
          </w:tcPr>
          <w:p>
            <w:r>
              <w:rPr>
                <w:sz w:val="16"/>
              </w:rPr>
              <w:t>stores</w:t>
            </w:r>
          </w:p>
        </w:tc>
        <w:tc>
          <w:tcPr>
            <w:tcW w:type="dxa" w:w="5328"/>
          </w:tcPr>
          <w:p>
            <w:r>
              <w:rPr>
                <w:sz w:val="16"/>
              </w:rPr>
              <w:t>12</w:t>
            </w:r>
          </w:p>
        </w:tc>
      </w:tr>
      <w:tr>
        <w:tc>
          <w:tcPr>
            <w:tcW w:type="dxa" w:w="5328"/>
          </w:tcPr>
          <w:p>
            <w:r>
              <w:rPr>
                <w:sz w:val="16"/>
              </w:rPr>
              <w:t>product_categories</w:t>
            </w:r>
          </w:p>
        </w:tc>
        <w:tc>
          <w:tcPr>
            <w:tcW w:type="dxa" w:w="5328"/>
          </w:tcPr>
          <w:p>
            <w:r>
              <w:rPr>
                <w:sz w:val="16"/>
              </w:rPr>
              <w:t>14</w:t>
            </w:r>
          </w:p>
        </w:tc>
      </w:tr>
      <w:tr>
        <w:tc>
          <w:tcPr>
            <w:tcW w:type="dxa" w:w="5328"/>
          </w:tcPr>
          <w:p>
            <w:r>
              <w:rPr>
                <w:sz w:val="16"/>
              </w:rPr>
              <w:t>products</w:t>
            </w:r>
          </w:p>
        </w:tc>
        <w:tc>
          <w:tcPr>
            <w:tcW w:type="dxa" w:w="5328"/>
          </w:tcPr>
          <w:p>
            <w:r>
              <w:rPr>
                <w:sz w:val="16"/>
              </w:rPr>
              <w:t>1,224</w:t>
            </w:r>
          </w:p>
        </w:tc>
      </w:tr>
      <w:tr>
        <w:tc>
          <w:tcPr>
            <w:tcW w:type="dxa" w:w="5328"/>
          </w:tcPr>
          <w:p>
            <w:r>
              <w:rPr>
                <w:sz w:val="16"/>
              </w:rPr>
              <w:t>price_revisions</w:t>
            </w:r>
          </w:p>
        </w:tc>
        <w:tc>
          <w:tcPr>
            <w:tcW w:type="dxa" w:w="5328"/>
          </w:tcPr>
          <w:p>
            <w:r>
              <w:rPr>
                <w:sz w:val="16"/>
              </w:rPr>
              <w:t>4,320</w:t>
            </w:r>
          </w:p>
        </w:tc>
      </w:tr>
    </w:tbl>
    <w:p>
      <w:r>
        <w:t>Product codes are not unique because some retired codes were later reused. Products were therefore matched using product_sk and validity dates. There were 24 reused product codes.</w:t>
      </w:r>
    </w:p>
    <w:p>
      <w:r>
        <w:t>Product matching validation:</w:t>
      </w:r>
    </w:p>
    <w:tbl>
      <w:tblPr>
        <w:tblStyle w:val="TableGrid"/>
        <w:tblW w:type="auto" w:w="0"/>
        <w:tblLook w:firstColumn="1" w:firstRow="1" w:lastColumn="0" w:lastRow="0" w:noHBand="0" w:noVBand="1" w:val="04A0"/>
      </w:tblPr>
      <w:tblGrid>
        <w:gridCol w:w="3552"/>
        <w:gridCol w:w="3552"/>
        <w:gridCol w:w="3552"/>
      </w:tblGrid>
      <w:tr>
        <w:tc>
          <w:tcPr>
            <w:tcW w:type="dxa" w:w="3552"/>
          </w:tcPr>
          <w:p>
            <w:r>
              <w:rPr>
                <w:b/>
                <w:sz w:val="16"/>
              </w:rPr>
              <w:t>Product lines</w:t>
            </w:r>
          </w:p>
        </w:tc>
        <w:tc>
          <w:tcPr>
            <w:tcW w:type="dxa" w:w="3552"/>
          </w:tcPr>
          <w:p>
            <w:r>
              <w:rPr>
                <w:b/>
                <w:sz w:val="16"/>
              </w:rPr>
              <w:t>Matched lines</w:t>
            </w:r>
          </w:p>
        </w:tc>
        <w:tc>
          <w:tcPr>
            <w:tcW w:type="dxa" w:w="3552"/>
          </w:tcPr>
          <w:p>
            <w:r>
              <w:rPr>
                <w:b/>
                <w:sz w:val="16"/>
              </w:rPr>
              <w:t>Unmatched lines</w:t>
            </w:r>
          </w:p>
        </w:tc>
      </w:tr>
      <w:tr>
        <w:tc>
          <w:tcPr>
            <w:tcW w:type="dxa" w:w="3552"/>
          </w:tcPr>
          <w:p>
            <w:r>
              <w:rPr>
                <w:sz w:val="16"/>
              </w:rPr>
              <w:t>762,021</w:t>
            </w:r>
          </w:p>
        </w:tc>
        <w:tc>
          <w:tcPr>
            <w:tcW w:type="dxa" w:w="3552"/>
          </w:tcPr>
          <w:p>
            <w:r>
              <w:rPr>
                <w:sz w:val="16"/>
              </w:rPr>
              <w:t>762,021</w:t>
            </w:r>
          </w:p>
        </w:tc>
        <w:tc>
          <w:tcPr>
            <w:tcW w:type="dxa" w:w="3552"/>
          </w:tcPr>
          <w:p>
            <w:r>
              <w:rPr>
                <w:sz w:val="16"/>
              </w:rPr>
              <w:t>0</w:t>
            </w:r>
          </w:p>
        </w:tc>
      </w:tr>
    </w:tbl>
    <w:p>
      <w:r>
        <w:t>Revenue line types:</w:t>
      </w:r>
    </w:p>
    <w:tbl>
      <w:tblPr>
        <w:tblStyle w:val="TableGrid"/>
        <w:tblW w:type="auto" w:w="0"/>
        <w:tblLook w:firstColumn="1" w:firstRow="1" w:lastColumn="0" w:lastRow="0" w:noHBand="0" w:noVBand="1" w:val="04A0"/>
      </w:tblPr>
      <w:tblGrid>
        <w:gridCol w:w="3552"/>
        <w:gridCol w:w="3552"/>
        <w:gridCol w:w="3552"/>
      </w:tblGrid>
      <w:tr>
        <w:tc>
          <w:tcPr>
            <w:tcW w:type="dxa" w:w="3552"/>
          </w:tcPr>
          <w:p>
            <w:r>
              <w:rPr>
                <w:b/>
                <w:sz w:val="16"/>
              </w:rPr>
              <w:t>Line type</w:t>
            </w:r>
          </w:p>
        </w:tc>
        <w:tc>
          <w:tcPr>
            <w:tcW w:type="dxa" w:w="3552"/>
          </w:tcPr>
          <w:p>
            <w:r>
              <w:rPr>
                <w:b/>
                <w:sz w:val="16"/>
              </w:rPr>
              <w:t>Rows</w:t>
            </w:r>
          </w:p>
        </w:tc>
        <w:tc>
          <w:tcPr>
            <w:tcW w:type="dxa" w:w="3552"/>
          </w:tcPr>
          <w:p>
            <w:r>
              <w:rPr>
                <w:b/>
                <w:sz w:val="16"/>
              </w:rPr>
              <w:t>Total quantity</w:t>
            </w:r>
          </w:p>
        </w:tc>
      </w:tr>
      <w:tr>
        <w:tc>
          <w:tcPr>
            <w:tcW w:type="dxa" w:w="3552"/>
          </w:tcPr>
          <w:p>
            <w:r>
              <w:rPr>
                <w:sz w:val="16"/>
              </w:rPr>
              <w:t>DISCOUNT</w:t>
            </w:r>
          </w:p>
        </w:tc>
        <w:tc>
          <w:tcPr>
            <w:tcW w:type="dxa" w:w="3552"/>
          </w:tcPr>
          <w:p>
            <w:r>
              <w:rPr>
                <w:sz w:val="16"/>
              </w:rPr>
              <w:t>22,603</w:t>
            </w:r>
          </w:p>
        </w:tc>
        <w:tc>
          <w:tcPr>
            <w:tcW w:type="dxa" w:w="3552"/>
          </w:tcPr>
          <w:p>
            <w:r>
              <w:rPr>
                <w:sz w:val="16"/>
              </w:rPr>
              <w:t>22,603</w:t>
            </w:r>
          </w:p>
        </w:tc>
      </w:tr>
      <w:tr>
        <w:tc>
          <w:tcPr>
            <w:tcW w:type="dxa" w:w="3552"/>
          </w:tcPr>
          <w:p>
            <w:r>
              <w:rPr>
                <w:sz w:val="16"/>
              </w:rPr>
              <w:t>RETURN</w:t>
            </w:r>
          </w:p>
        </w:tc>
        <w:tc>
          <w:tcPr>
            <w:tcW w:type="dxa" w:w="3552"/>
          </w:tcPr>
          <w:p>
            <w:r>
              <w:rPr>
                <w:sz w:val="16"/>
              </w:rPr>
              <w:t>16,161</w:t>
            </w:r>
          </w:p>
        </w:tc>
        <w:tc>
          <w:tcPr>
            <w:tcW w:type="dxa" w:w="3552"/>
          </w:tcPr>
          <w:p>
            <w:r>
              <w:rPr>
                <w:sz w:val="16"/>
              </w:rPr>
              <w:t>-33,852</w:t>
            </w:r>
          </w:p>
        </w:tc>
      </w:tr>
      <w:tr>
        <w:tc>
          <w:tcPr>
            <w:tcW w:type="dxa" w:w="3552"/>
          </w:tcPr>
          <w:p>
            <w:r>
              <w:rPr>
                <w:sz w:val="16"/>
              </w:rPr>
              <w:t>SALE</w:t>
            </w:r>
          </w:p>
        </w:tc>
        <w:tc>
          <w:tcPr>
            <w:tcW w:type="dxa" w:w="3552"/>
          </w:tcPr>
          <w:p>
            <w:r>
              <w:rPr>
                <w:sz w:val="16"/>
              </w:rPr>
              <w:t>745,860</w:t>
            </w:r>
          </w:p>
        </w:tc>
        <w:tc>
          <w:tcPr>
            <w:tcW w:type="dxa" w:w="3552"/>
          </w:tcPr>
          <w:p>
            <w:r>
              <w:rPr>
                <w:sz w:val="16"/>
              </w:rPr>
              <w:t>1,567,348</w:t>
            </w:r>
          </w:p>
        </w:tc>
      </w:tr>
      <w:tr>
        <w:tc>
          <w:tcPr>
            <w:tcW w:type="dxa" w:w="3552"/>
          </w:tcPr>
          <w:p>
            <w:r>
              <w:rPr>
                <w:sz w:val="16"/>
              </w:rPr>
              <w:t>TAX</w:t>
            </w:r>
          </w:p>
        </w:tc>
        <w:tc>
          <w:tcPr>
            <w:tcW w:type="dxa" w:w="3552"/>
          </w:tcPr>
          <w:p>
            <w:r>
              <w:rPr>
                <w:sz w:val="16"/>
              </w:rPr>
              <w:t>165,704</w:t>
            </w:r>
          </w:p>
        </w:tc>
        <w:tc>
          <w:tcPr>
            <w:tcW w:type="dxa" w:w="3552"/>
          </w:tcPr>
          <w:p>
            <w:r>
              <w:rPr>
                <w:sz w:val="16"/>
              </w:rPr>
              <w:t>165,704</w:t>
            </w:r>
          </w:p>
        </w:tc>
      </w:tr>
      <w:tr>
        <w:tc>
          <w:tcPr>
            <w:tcW w:type="dxa" w:w="3552"/>
          </w:tcPr>
          <w:p>
            <w:r>
              <w:rPr>
                <w:sz w:val="16"/>
              </w:rPr>
              <w:t>TENDER</w:t>
            </w:r>
          </w:p>
        </w:tc>
        <w:tc>
          <w:tcPr>
            <w:tcW w:type="dxa" w:w="3552"/>
          </w:tcPr>
          <w:p>
            <w:r>
              <w:rPr>
                <w:sz w:val="16"/>
              </w:rPr>
              <w:t>165,704</w:t>
            </w:r>
          </w:p>
        </w:tc>
        <w:tc>
          <w:tcPr>
            <w:tcW w:type="dxa" w:w="3552"/>
          </w:tcPr>
          <w:p>
            <w:r>
              <w:rPr>
                <w:sz w:val="16"/>
              </w:rPr>
              <w:t>165,704</w:t>
            </w:r>
          </w:p>
        </w:tc>
      </w:tr>
      <w:tr>
        <w:tc>
          <w:tcPr>
            <w:tcW w:type="dxa" w:w="3552"/>
          </w:tcPr>
          <w:p>
            <w:r>
              <w:rPr>
                <w:sz w:val="16"/>
              </w:rPr>
              <w:t>VOID</w:t>
            </w:r>
          </w:p>
        </w:tc>
        <w:tc>
          <w:tcPr>
            <w:tcW w:type="dxa" w:w="3552"/>
          </w:tcPr>
          <w:p>
            <w:r>
              <w:rPr>
                <w:sz w:val="16"/>
              </w:rPr>
              <w:t>4,892</w:t>
            </w:r>
          </w:p>
        </w:tc>
        <w:tc>
          <w:tcPr>
            <w:tcW w:type="dxa" w:w="3552"/>
          </w:tcPr>
          <w:p>
            <w:r>
              <w:rPr>
                <w:sz w:val="16"/>
              </w:rPr>
              <w:t>-9,548</w:t>
            </w:r>
          </w:p>
        </w:tc>
      </w:tr>
    </w:tbl>
    <w:p>
      <w:r>
        <w:t>Revenue includes SALE, RETURN, DISCOUNT and VOID. TAX and TENDER are excluded. Cancelled bills retain both the original item lines and VOID lines so they net to zero.</w:t>
      </w:r>
    </w:p>
    <w:p>
      <w:r>
        <w:t>The analytical star schema consists of dim_store, dim_category, dim_product and fact_sales. fact_sales contains 762,021 SALE/RETURN rows.</w:t>
      </w:r>
    </w:p>
    <w:tbl>
      <w:tblPr>
        <w:tblStyle w:val="TableGrid"/>
        <w:tblW w:type="auto" w:w="0"/>
        <w:tblLook w:firstColumn="1" w:firstRow="1" w:lastColumn="0" w:lastRow="0" w:noHBand="0" w:noVBand="1" w:val="04A0"/>
      </w:tblPr>
      <w:tblGrid>
        <w:gridCol w:w="5328"/>
        <w:gridCol w:w="5328"/>
      </w:tblGrid>
      <w:tr>
        <w:tc>
          <w:tcPr>
            <w:tcW w:type="dxa" w:w="5328"/>
          </w:tcPr>
          <w:p>
            <w:r>
              <w:rPr>
                <w:b/>
                <w:sz w:val="16"/>
              </w:rPr>
              <w:t>Validation metric</w:t>
            </w:r>
          </w:p>
        </w:tc>
        <w:tc>
          <w:tcPr>
            <w:tcW w:type="dxa" w:w="5328"/>
          </w:tcPr>
          <w:p>
            <w:r>
              <w:rPr>
                <w:b/>
                <w:sz w:val="16"/>
              </w:rPr>
              <w:t>Result</w:t>
            </w:r>
          </w:p>
        </w:tc>
      </w:tr>
      <w:tr>
        <w:tc>
          <w:tcPr>
            <w:tcW w:type="dxa" w:w="5328"/>
          </w:tcPr>
          <w:p>
            <w:r>
              <w:rPr>
                <w:sz w:val="16"/>
              </w:rPr>
              <w:t>Fact rows</w:t>
            </w:r>
          </w:p>
        </w:tc>
        <w:tc>
          <w:tcPr>
            <w:tcW w:type="dxa" w:w="5328"/>
          </w:tcPr>
          <w:p>
            <w:r>
              <w:rPr>
                <w:sz w:val="16"/>
              </w:rPr>
              <w:t>762,021</w:t>
            </w:r>
          </w:p>
        </w:tc>
      </w:tr>
      <w:tr>
        <w:tc>
          <w:tcPr>
            <w:tcW w:type="dxa" w:w="5328"/>
          </w:tcPr>
          <w:p>
            <w:r>
              <w:rPr>
                <w:sz w:val="16"/>
              </w:rPr>
              <w:t>Products used</w:t>
            </w:r>
          </w:p>
        </w:tc>
        <w:tc>
          <w:tcPr>
            <w:tcW w:type="dxa" w:w="5328"/>
          </w:tcPr>
          <w:p>
            <w:r>
              <w:rPr>
                <w:sz w:val="16"/>
              </w:rPr>
              <w:t>1,224</w:t>
            </w:r>
          </w:p>
        </w:tc>
      </w:tr>
      <w:tr>
        <w:tc>
          <w:tcPr>
            <w:tcW w:type="dxa" w:w="5328"/>
          </w:tcPr>
          <w:p>
            <w:r>
              <w:rPr>
                <w:sz w:val="16"/>
              </w:rPr>
              <w:t>Months</w:t>
            </w:r>
          </w:p>
        </w:tc>
        <w:tc>
          <w:tcPr>
            <w:tcW w:type="dxa" w:w="5328"/>
          </w:tcPr>
          <w:p>
            <w:r>
              <w:rPr>
                <w:sz w:val="16"/>
              </w:rPr>
              <w:t>13</w:t>
            </w:r>
          </w:p>
        </w:tc>
      </w:tr>
      <w:tr>
        <w:tc>
          <w:tcPr>
            <w:tcW w:type="dxa" w:w="5328"/>
          </w:tcPr>
          <w:p>
            <w:r>
              <w:rPr>
                <w:sz w:val="16"/>
              </w:rPr>
              <w:t>Weekdays</w:t>
            </w:r>
          </w:p>
        </w:tc>
        <w:tc>
          <w:tcPr>
            <w:tcW w:type="dxa" w:w="5328"/>
          </w:tcPr>
          <w:p>
            <w:r>
              <w:rPr>
                <w:sz w:val="16"/>
              </w:rPr>
              <w:t>7</w:t>
            </w:r>
          </w:p>
        </w:tc>
      </w:tr>
      <w:tr>
        <w:tc>
          <w:tcPr>
            <w:tcW w:type="dxa" w:w="5328"/>
          </w:tcPr>
          <w:p>
            <w:r>
              <w:rPr>
                <w:sz w:val="16"/>
              </w:rPr>
              <w:t>Stores used</w:t>
            </w:r>
          </w:p>
        </w:tc>
        <w:tc>
          <w:tcPr>
            <w:tcW w:type="dxa" w:w="5328"/>
          </w:tcPr>
          <w:p>
            <w:r>
              <w:rPr>
                <w:sz w:val="16"/>
              </w:rPr>
              <w:t>12</w:t>
            </w:r>
          </w:p>
        </w:tc>
      </w:tr>
    </w:tbl>
    <w:p>
      <w:pPr>
        <w:pStyle w:val="Heading1"/>
      </w:pPr>
      <w:r>
        <w:t>D. Historical Pricing</w:t>
      </w:r>
    </w:p>
    <w:p>
      <w:r>
        <w:t>The reporting query joins each sale to the price revision effective on its sale date using product_sk.</w:t>
      </w:r>
    </w:p>
    <w:p>
      <w:pPr>
        <w:ind w:left="288"/>
      </w:pPr>
      <w:r>
        <w:rPr>
          <w:rFonts w:ascii="Consolas" w:hAnsi="Consolas"/>
          <w:sz w:val="17"/>
        </w:rPr>
        <w:t>JOIN price_revisions pr</w:t>
        <w:br/>
        <w:t xml:space="preserve">  ON pr.product_sk = fs.product_sk</w:t>
        <w:br/>
        <w:t xml:space="preserve"> AND fs.sale_date &gt;= pr.effective_from</w:t>
        <w:br/>
        <w:t xml:space="preserve"> AND fs.sale_date &lt;= pr.effective_to</w:t>
      </w:r>
    </w:p>
    <w:tbl>
      <w:tblPr>
        <w:tblStyle w:val="TableGrid"/>
        <w:tblW w:type="auto" w:w="0"/>
        <w:tblLook w:firstColumn="1" w:firstRow="1" w:lastColumn="0" w:lastRow="0" w:noHBand="0" w:noVBand="1" w:val="04A0"/>
      </w:tblPr>
      <w:tblGrid>
        <w:gridCol w:w="5328"/>
        <w:gridCol w:w="5328"/>
      </w:tblGrid>
      <w:tr>
        <w:tc>
          <w:tcPr>
            <w:tcW w:type="dxa" w:w="5328"/>
          </w:tcPr>
          <w:p>
            <w:r>
              <w:rPr>
                <w:b/>
                <w:sz w:val="16"/>
              </w:rPr>
              <w:t>Reporting period</w:t>
            </w:r>
          </w:p>
        </w:tc>
        <w:tc>
          <w:tcPr>
            <w:tcW w:type="dxa" w:w="5328"/>
          </w:tcPr>
          <w:p>
            <w:r>
              <w:rPr>
                <w:b/>
                <w:sz w:val="16"/>
              </w:rPr>
              <w:t>Revenue</w:t>
            </w:r>
          </w:p>
        </w:tc>
      </w:tr>
      <w:tr>
        <w:tc>
          <w:tcPr>
            <w:tcW w:type="dxa" w:w="5328"/>
          </w:tcPr>
          <w:p>
            <w:r>
              <w:rPr>
                <w:sz w:val="16"/>
              </w:rPr>
              <w:t>March 2024</w:t>
            </w:r>
          </w:p>
        </w:tc>
        <w:tc>
          <w:tcPr>
            <w:tcW w:type="dxa" w:w="5328"/>
          </w:tcPr>
          <w:p>
            <w:r>
              <w:rPr>
                <w:sz w:val="16"/>
              </w:rPr>
              <w:t>₹42,616,349.88</w:t>
            </w:r>
          </w:p>
        </w:tc>
      </w:tr>
      <w:tr>
        <w:tc>
          <w:tcPr>
            <w:tcW w:type="dxa" w:w="5328"/>
          </w:tcPr>
          <w:p>
            <w:r>
              <w:rPr>
                <w:sz w:val="16"/>
              </w:rPr>
              <w:t>October 2024</w:t>
            </w:r>
          </w:p>
        </w:tc>
        <w:tc>
          <w:tcPr>
            <w:tcW w:type="dxa" w:w="5328"/>
          </w:tcPr>
          <w:p>
            <w:r>
              <w:rPr>
                <w:sz w:val="16"/>
              </w:rPr>
              <w:t>₹57,235,946.05</w:t>
            </w:r>
          </w:p>
        </w:tc>
      </w:tr>
    </w:tbl>
    <w:p>
      <w:r>
        <w:t>The same pricing logic was used for both periods. Across all 762,021 sale/return lines, there were 762,021 exact price matches, 0 missing matches and 0 multiple matches.</w:t>
      </w:r>
    </w:p>
    <w:p>
      <w:pPr>
        <w:pStyle w:val="Heading1"/>
      </w:pPr>
      <w:r>
        <w:t>E. DuckDB Analytical Layer and Cross-System Query</w:t>
      </w:r>
    </w:p>
    <w:p>
      <w:r>
        <w:t>DuckDB was configured to access PostgreSQL and MinIO directly. PostgreSQL was attached read-only and MinIO was accessed using httpfs.</w:t>
      </w:r>
    </w:p>
    <w:p>
      <w:r>
        <w:t>For October 2024, DuckDB directly read s3://annapurna/raw/sales/store=*/year=2024/month=10/*.csv. The raw October files contained 119,913 rows.</w:t>
      </w:r>
    </w:p>
    <w:p>
      <w:r>
        <w:t>The cross-system query joined MinIO sales CSV files with PostgreSQL products and product_categories. The execution plan showed READ_CSV_AUTO, POSTGRES_SCAN for both PostgreSQL tables, HASH_JOIN, HASH_GROUP_BY and TOP_N in DuckDB.</w:t>
      </w:r>
    </w:p>
    <w:p>
      <w:r>
        <w:t>This demonstrates that DuckDB acted as the analytical engine and combined data from the object store and relational database without first copying the datasets into one another.</w:t>
      </w:r>
    </w:p>
    <w:p>
      <w:pPr>
        <w:pStyle w:val="Heading1"/>
      </w:pPr>
      <w:r>
        <w:t>F. Finance Reconciliation</w:t>
      </w:r>
    </w:p>
    <w:p>
      <w:r>
        <w:t>Reconciliation uses the business date in the filename/bill number rather than the timestamp. Revenue is defined as SALE + RETURN + DISCOUNT + VOID, excluding TAX and TENDER.</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rPr>
                <w:b/>
                <w:sz w:val="16"/>
              </w:rPr>
              <w:t>Month</w:t>
            </w:r>
          </w:p>
        </w:tc>
        <w:tc>
          <w:tcPr>
            <w:tcW w:type="dxa" w:w="2131"/>
          </w:tcPr>
          <w:p>
            <w:r>
              <w:rPr>
                <w:b/>
                <w:sz w:val="16"/>
              </w:rPr>
              <w:t>Platform revenue</w:t>
            </w:r>
          </w:p>
        </w:tc>
        <w:tc>
          <w:tcPr>
            <w:tcW w:type="dxa" w:w="2131"/>
          </w:tcPr>
          <w:p>
            <w:r>
              <w:rPr>
                <w:b/>
                <w:sz w:val="16"/>
              </w:rPr>
              <w:t>Finance revenue</w:t>
            </w:r>
          </w:p>
        </w:tc>
        <w:tc>
          <w:tcPr>
            <w:tcW w:type="dxa" w:w="2131"/>
          </w:tcPr>
          <w:p>
            <w:r>
              <w:rPr>
                <w:b/>
                <w:sz w:val="16"/>
              </w:rPr>
              <w:t>Difference</w:t>
            </w:r>
          </w:p>
        </w:tc>
        <w:tc>
          <w:tcPr>
            <w:tcW w:type="dxa" w:w="2131"/>
          </w:tcPr>
          <w:p>
            <w:r>
              <w:rPr>
                <w:b/>
                <w:sz w:val="16"/>
              </w:rPr>
              <w:t>Finding</w:t>
            </w:r>
          </w:p>
        </w:tc>
      </w:tr>
      <w:tr>
        <w:tc>
          <w:tcPr>
            <w:tcW w:type="dxa" w:w="2131"/>
          </w:tcPr>
          <w:p>
            <w:r>
              <w:rPr>
                <w:sz w:val="16"/>
              </w:rPr>
              <w:t>Jan 2024</w:t>
            </w:r>
          </w:p>
        </w:tc>
        <w:tc>
          <w:tcPr>
            <w:tcW w:type="dxa" w:w="2131"/>
          </w:tcPr>
          <w:p>
            <w:r>
              <w:rPr>
                <w:sz w:val="16"/>
              </w:rPr>
              <w:t>₹38,446,071.33</w:t>
            </w:r>
          </w:p>
        </w:tc>
        <w:tc>
          <w:tcPr>
            <w:tcW w:type="dxa" w:w="2131"/>
          </w:tcPr>
          <w:p>
            <w:r>
              <w:rPr>
                <w:sz w:val="16"/>
              </w:rPr>
              <w:t>₹38,446,071.33</w:t>
            </w:r>
          </w:p>
        </w:tc>
        <w:tc>
          <w:tcPr>
            <w:tcW w:type="dxa" w:w="2131"/>
          </w:tcPr>
          <w:p>
            <w:r>
              <w:rPr>
                <w:sz w:val="16"/>
              </w:rPr>
              <w:t>₹0.00</w:t>
            </w:r>
          </w:p>
        </w:tc>
        <w:tc>
          <w:tcPr>
            <w:tcW w:type="dxa" w:w="2131"/>
          </w:tcPr>
          <w:p>
            <w:r>
              <w:rPr>
                <w:sz w:val="16"/>
              </w:rPr>
              <w:t>Match</w:t>
            </w:r>
          </w:p>
        </w:tc>
      </w:tr>
      <w:tr>
        <w:tc>
          <w:tcPr>
            <w:tcW w:type="dxa" w:w="2131"/>
          </w:tcPr>
          <w:p>
            <w:r>
              <w:rPr>
                <w:sz w:val="16"/>
              </w:rPr>
              <w:t>Feb 2024</w:t>
            </w:r>
          </w:p>
        </w:tc>
        <w:tc>
          <w:tcPr>
            <w:tcW w:type="dxa" w:w="2131"/>
          </w:tcPr>
          <w:p>
            <w:r>
              <w:rPr>
                <w:sz w:val="16"/>
              </w:rPr>
              <w:t>₹34,887,085.55</w:t>
            </w:r>
          </w:p>
        </w:tc>
        <w:tc>
          <w:tcPr>
            <w:tcW w:type="dxa" w:w="2131"/>
          </w:tcPr>
          <w:p>
            <w:r>
              <w:rPr>
                <w:sz w:val="16"/>
              </w:rPr>
              <w:t>₹34,887,085.55</w:t>
            </w:r>
          </w:p>
        </w:tc>
        <w:tc>
          <w:tcPr>
            <w:tcW w:type="dxa" w:w="2131"/>
          </w:tcPr>
          <w:p>
            <w:r>
              <w:rPr>
                <w:sz w:val="16"/>
              </w:rPr>
              <w:t>₹0.00</w:t>
            </w:r>
          </w:p>
        </w:tc>
        <w:tc>
          <w:tcPr>
            <w:tcW w:type="dxa" w:w="2131"/>
          </w:tcPr>
          <w:p>
            <w:r>
              <w:rPr>
                <w:sz w:val="16"/>
              </w:rPr>
              <w:t>Match</w:t>
            </w:r>
          </w:p>
        </w:tc>
      </w:tr>
      <w:tr>
        <w:tc>
          <w:tcPr>
            <w:tcW w:type="dxa" w:w="2131"/>
          </w:tcPr>
          <w:p>
            <w:r>
              <w:rPr>
                <w:sz w:val="16"/>
              </w:rPr>
              <w:t>Mar 2024</w:t>
            </w:r>
          </w:p>
        </w:tc>
        <w:tc>
          <w:tcPr>
            <w:tcW w:type="dxa" w:w="2131"/>
          </w:tcPr>
          <w:p>
            <w:r>
              <w:rPr>
                <w:sz w:val="16"/>
              </w:rPr>
              <w:t>₹41,971,649.09</w:t>
            </w:r>
          </w:p>
        </w:tc>
        <w:tc>
          <w:tcPr>
            <w:tcW w:type="dxa" w:w="2131"/>
          </w:tcPr>
          <w:p>
            <w:r>
              <w:rPr>
                <w:sz w:val="16"/>
              </w:rPr>
              <w:t>₹42,457,899.09</w:t>
            </w:r>
          </w:p>
        </w:tc>
        <w:tc>
          <w:tcPr>
            <w:tcW w:type="dxa" w:w="2131"/>
          </w:tcPr>
          <w:p>
            <w:r>
              <w:rPr>
                <w:sz w:val="16"/>
              </w:rPr>
              <w:t>-₹486,250.00</w:t>
            </w:r>
          </w:p>
        </w:tc>
        <w:tc>
          <w:tcPr>
            <w:tcW w:type="dxa" w:w="2131"/>
          </w:tcPr>
          <w:p>
            <w:r>
              <w:rPr>
                <w:sz w:val="16"/>
              </w:rPr>
              <w:t>Unresolved source/Finance difference</w:t>
            </w:r>
          </w:p>
        </w:tc>
      </w:tr>
      <w:tr>
        <w:tc>
          <w:tcPr>
            <w:tcW w:type="dxa" w:w="2131"/>
          </w:tcPr>
          <w:p>
            <w:r>
              <w:rPr>
                <w:sz w:val="16"/>
              </w:rPr>
              <w:t>Apr 2024</w:t>
            </w:r>
          </w:p>
        </w:tc>
        <w:tc>
          <w:tcPr>
            <w:tcW w:type="dxa" w:w="2131"/>
          </w:tcPr>
          <w:p>
            <w:r>
              <w:rPr>
                <w:sz w:val="16"/>
              </w:rPr>
              <w:t>₹37,958,457.37</w:t>
            </w:r>
          </w:p>
        </w:tc>
        <w:tc>
          <w:tcPr>
            <w:tcW w:type="dxa" w:w="2131"/>
          </w:tcPr>
          <w:p>
            <w:r>
              <w:rPr>
                <w:sz w:val="16"/>
              </w:rPr>
              <w:t>₹37,958,457.37</w:t>
            </w:r>
          </w:p>
        </w:tc>
        <w:tc>
          <w:tcPr>
            <w:tcW w:type="dxa" w:w="2131"/>
          </w:tcPr>
          <w:p>
            <w:r>
              <w:rPr>
                <w:sz w:val="16"/>
              </w:rPr>
              <w:t>₹0.00</w:t>
            </w:r>
          </w:p>
        </w:tc>
        <w:tc>
          <w:tcPr>
            <w:tcW w:type="dxa" w:w="2131"/>
          </w:tcPr>
          <w:p>
            <w:r>
              <w:rPr>
                <w:sz w:val="16"/>
              </w:rPr>
              <w:t>Match</w:t>
            </w:r>
          </w:p>
        </w:tc>
      </w:tr>
      <w:tr>
        <w:tc>
          <w:tcPr>
            <w:tcW w:type="dxa" w:w="2131"/>
          </w:tcPr>
          <w:p>
            <w:r>
              <w:rPr>
                <w:sz w:val="16"/>
              </w:rPr>
              <w:t>May 2024</w:t>
            </w:r>
          </w:p>
        </w:tc>
        <w:tc>
          <w:tcPr>
            <w:tcW w:type="dxa" w:w="2131"/>
          </w:tcPr>
          <w:p>
            <w:r>
              <w:rPr>
                <w:sz w:val="16"/>
              </w:rPr>
              <w:t>₹41,764,716.40</w:t>
            </w:r>
          </w:p>
        </w:tc>
        <w:tc>
          <w:tcPr>
            <w:tcW w:type="dxa" w:w="2131"/>
          </w:tcPr>
          <w:p>
            <w:r>
              <w:rPr>
                <w:sz w:val="16"/>
              </w:rPr>
              <w:t>₹41,764,716.40</w:t>
            </w:r>
          </w:p>
        </w:tc>
        <w:tc>
          <w:tcPr>
            <w:tcW w:type="dxa" w:w="2131"/>
          </w:tcPr>
          <w:p>
            <w:r>
              <w:rPr>
                <w:sz w:val="16"/>
              </w:rPr>
              <w:t>₹0.00</w:t>
            </w:r>
          </w:p>
        </w:tc>
        <w:tc>
          <w:tcPr>
            <w:tcW w:type="dxa" w:w="2131"/>
          </w:tcPr>
          <w:p>
            <w:r>
              <w:rPr>
                <w:sz w:val="16"/>
              </w:rPr>
              <w:t>Match</w:t>
            </w:r>
          </w:p>
        </w:tc>
      </w:tr>
      <w:tr>
        <w:tc>
          <w:tcPr>
            <w:tcW w:type="dxa" w:w="2131"/>
          </w:tcPr>
          <w:p>
            <w:r>
              <w:rPr>
                <w:sz w:val="16"/>
              </w:rPr>
              <w:t>Jun 2024</w:t>
            </w:r>
          </w:p>
        </w:tc>
        <w:tc>
          <w:tcPr>
            <w:tcW w:type="dxa" w:w="2131"/>
          </w:tcPr>
          <w:p>
            <w:r>
              <w:rPr>
                <w:sz w:val="16"/>
              </w:rPr>
              <w:t>₹38,987,082.82</w:t>
            </w:r>
          </w:p>
        </w:tc>
        <w:tc>
          <w:tcPr>
            <w:tcW w:type="dxa" w:w="2131"/>
          </w:tcPr>
          <w:p>
            <w:r>
              <w:rPr>
                <w:sz w:val="16"/>
              </w:rPr>
              <w:t>₹38,987,082.82</w:t>
            </w:r>
          </w:p>
        </w:tc>
        <w:tc>
          <w:tcPr>
            <w:tcW w:type="dxa" w:w="2131"/>
          </w:tcPr>
          <w:p>
            <w:r>
              <w:rPr>
                <w:sz w:val="16"/>
              </w:rPr>
              <w:t>₹0.00</w:t>
            </w:r>
          </w:p>
        </w:tc>
        <w:tc>
          <w:tcPr>
            <w:tcW w:type="dxa" w:w="2131"/>
          </w:tcPr>
          <w:p>
            <w:r>
              <w:rPr>
                <w:sz w:val="16"/>
              </w:rPr>
              <w:t>Match</w:t>
            </w:r>
          </w:p>
        </w:tc>
      </w:tr>
      <w:tr>
        <w:tc>
          <w:tcPr>
            <w:tcW w:type="dxa" w:w="2131"/>
          </w:tcPr>
          <w:p>
            <w:r>
              <w:rPr>
                <w:sz w:val="16"/>
              </w:rPr>
              <w:t>Jul 2024</w:t>
            </w:r>
          </w:p>
        </w:tc>
        <w:tc>
          <w:tcPr>
            <w:tcW w:type="dxa" w:w="2131"/>
          </w:tcPr>
          <w:p>
            <w:r>
              <w:rPr>
                <w:sz w:val="16"/>
              </w:rPr>
              <w:t>₹40,295,160.11</w:t>
            </w:r>
          </w:p>
        </w:tc>
        <w:tc>
          <w:tcPr>
            <w:tcW w:type="dxa" w:w="2131"/>
          </w:tcPr>
          <w:p>
            <w:r>
              <w:rPr>
                <w:sz w:val="16"/>
              </w:rPr>
              <w:t>₹40,527,291.81</w:t>
            </w:r>
          </w:p>
        </w:tc>
        <w:tc>
          <w:tcPr>
            <w:tcW w:type="dxa" w:w="2131"/>
          </w:tcPr>
          <w:p>
            <w:r>
              <w:rPr>
                <w:sz w:val="16"/>
              </w:rPr>
              <w:t>-₹232,131.70</w:t>
            </w:r>
          </w:p>
        </w:tc>
        <w:tc>
          <w:tcPr>
            <w:tcW w:type="dxa" w:w="2131"/>
          </w:tcPr>
          <w:p>
            <w:r>
              <w:rPr>
                <w:sz w:val="16"/>
              </w:rPr>
              <w:t>Source-data gap</w:t>
            </w:r>
          </w:p>
        </w:tc>
      </w:tr>
      <w:tr>
        <w:tc>
          <w:tcPr>
            <w:tcW w:type="dxa" w:w="2131"/>
          </w:tcPr>
          <w:p>
            <w:r>
              <w:rPr>
                <w:sz w:val="16"/>
              </w:rPr>
              <w:t>Aug 2024</w:t>
            </w:r>
          </w:p>
        </w:tc>
        <w:tc>
          <w:tcPr>
            <w:tcW w:type="dxa" w:w="2131"/>
          </w:tcPr>
          <w:p>
            <w:r>
              <w:rPr>
                <w:sz w:val="16"/>
              </w:rPr>
              <w:t>₹45,252,181.75</w:t>
            </w:r>
          </w:p>
        </w:tc>
        <w:tc>
          <w:tcPr>
            <w:tcW w:type="dxa" w:w="2131"/>
          </w:tcPr>
          <w:p>
            <w:r>
              <w:rPr>
                <w:sz w:val="16"/>
              </w:rPr>
              <w:t>₹45,252,181.75</w:t>
            </w:r>
          </w:p>
        </w:tc>
        <w:tc>
          <w:tcPr>
            <w:tcW w:type="dxa" w:w="2131"/>
          </w:tcPr>
          <w:p>
            <w:r>
              <w:rPr>
                <w:sz w:val="16"/>
              </w:rPr>
              <w:t>₹0.00</w:t>
            </w:r>
          </w:p>
        </w:tc>
        <w:tc>
          <w:tcPr>
            <w:tcW w:type="dxa" w:w="2131"/>
          </w:tcPr>
          <w:p>
            <w:r>
              <w:rPr>
                <w:sz w:val="16"/>
              </w:rPr>
              <w:t>Match</w:t>
            </w:r>
          </w:p>
        </w:tc>
      </w:tr>
      <w:tr>
        <w:tc>
          <w:tcPr>
            <w:tcW w:type="dxa" w:w="2131"/>
          </w:tcPr>
          <w:p>
            <w:r>
              <w:rPr>
                <w:sz w:val="16"/>
              </w:rPr>
              <w:t>Sep 2024</w:t>
            </w:r>
          </w:p>
        </w:tc>
        <w:tc>
          <w:tcPr>
            <w:tcW w:type="dxa" w:w="2131"/>
          </w:tcPr>
          <w:p>
            <w:r>
              <w:rPr>
                <w:sz w:val="16"/>
              </w:rPr>
              <w:t>₹44,615,037.46</w:t>
            </w:r>
          </w:p>
        </w:tc>
        <w:tc>
          <w:tcPr>
            <w:tcW w:type="dxa" w:w="2131"/>
          </w:tcPr>
          <w:p>
            <w:r>
              <w:rPr>
                <w:sz w:val="16"/>
              </w:rPr>
              <w:t>₹44,615,037.46</w:t>
            </w:r>
          </w:p>
        </w:tc>
        <w:tc>
          <w:tcPr>
            <w:tcW w:type="dxa" w:w="2131"/>
          </w:tcPr>
          <w:p>
            <w:r>
              <w:rPr>
                <w:sz w:val="16"/>
              </w:rPr>
              <w:t>₹0.00</w:t>
            </w:r>
          </w:p>
        </w:tc>
        <w:tc>
          <w:tcPr>
            <w:tcW w:type="dxa" w:w="2131"/>
          </w:tcPr>
          <w:p>
            <w:r>
              <w:rPr>
                <w:sz w:val="16"/>
              </w:rPr>
              <w:t>Match</w:t>
            </w:r>
          </w:p>
        </w:tc>
      </w:tr>
      <w:tr>
        <w:tc>
          <w:tcPr>
            <w:tcW w:type="dxa" w:w="2131"/>
          </w:tcPr>
          <w:p>
            <w:r>
              <w:rPr>
                <w:sz w:val="16"/>
              </w:rPr>
              <w:t>Oct 2024</w:t>
            </w:r>
          </w:p>
        </w:tc>
        <w:tc>
          <w:tcPr>
            <w:tcW w:type="dxa" w:w="2131"/>
          </w:tcPr>
          <w:p>
            <w:r>
              <w:rPr>
                <w:sz w:val="16"/>
              </w:rPr>
              <w:t>₹56,359,195.92</w:t>
            </w:r>
          </w:p>
        </w:tc>
        <w:tc>
          <w:tcPr>
            <w:tcW w:type="dxa" w:w="2131"/>
          </w:tcPr>
          <w:p>
            <w:r>
              <w:rPr>
                <w:sz w:val="16"/>
              </w:rPr>
              <w:t>₹56,359,195.92</w:t>
            </w:r>
          </w:p>
        </w:tc>
        <w:tc>
          <w:tcPr>
            <w:tcW w:type="dxa" w:w="2131"/>
          </w:tcPr>
          <w:p>
            <w:r>
              <w:rPr>
                <w:sz w:val="16"/>
              </w:rPr>
              <w:t>₹0.00</w:t>
            </w:r>
          </w:p>
        </w:tc>
        <w:tc>
          <w:tcPr>
            <w:tcW w:type="dxa" w:w="2131"/>
          </w:tcPr>
          <w:p>
            <w:r>
              <w:rPr>
                <w:sz w:val="16"/>
              </w:rPr>
              <w:t>Match</w:t>
            </w:r>
          </w:p>
        </w:tc>
      </w:tr>
      <w:tr>
        <w:tc>
          <w:tcPr>
            <w:tcW w:type="dxa" w:w="2131"/>
          </w:tcPr>
          <w:p>
            <w:r>
              <w:rPr>
                <w:sz w:val="16"/>
              </w:rPr>
              <w:t>Nov 2024</w:t>
            </w:r>
          </w:p>
        </w:tc>
        <w:tc>
          <w:tcPr>
            <w:tcW w:type="dxa" w:w="2131"/>
          </w:tcPr>
          <w:p>
            <w:r>
              <w:rPr>
                <w:sz w:val="16"/>
              </w:rPr>
              <w:t>₹51,583,838.47</w:t>
            </w:r>
          </w:p>
        </w:tc>
        <w:tc>
          <w:tcPr>
            <w:tcW w:type="dxa" w:w="2131"/>
          </w:tcPr>
          <w:p>
            <w:r>
              <w:rPr>
                <w:sz w:val="16"/>
              </w:rPr>
              <w:t>₹51,583,838.47</w:t>
            </w:r>
          </w:p>
        </w:tc>
        <w:tc>
          <w:tcPr>
            <w:tcW w:type="dxa" w:w="2131"/>
          </w:tcPr>
          <w:p>
            <w:r>
              <w:rPr>
                <w:sz w:val="16"/>
              </w:rPr>
              <w:t>₹0.00</w:t>
            </w:r>
          </w:p>
        </w:tc>
        <w:tc>
          <w:tcPr>
            <w:tcW w:type="dxa" w:w="2131"/>
          </w:tcPr>
          <w:p>
            <w:r>
              <w:rPr>
                <w:sz w:val="16"/>
              </w:rPr>
              <w:t>Match</w:t>
            </w:r>
          </w:p>
        </w:tc>
      </w:tr>
      <w:tr>
        <w:tc>
          <w:tcPr>
            <w:tcW w:type="dxa" w:w="2131"/>
          </w:tcPr>
          <w:p>
            <w:r>
              <w:rPr>
                <w:sz w:val="16"/>
              </w:rPr>
              <w:t>Dec 2024</w:t>
            </w:r>
          </w:p>
        </w:tc>
        <w:tc>
          <w:tcPr>
            <w:tcW w:type="dxa" w:w="2131"/>
          </w:tcPr>
          <w:p>
            <w:r>
              <w:rPr>
                <w:sz w:val="16"/>
              </w:rPr>
              <w:t>₹50,745,259.48</w:t>
            </w:r>
          </w:p>
        </w:tc>
        <w:tc>
          <w:tcPr>
            <w:tcW w:type="dxa" w:w="2131"/>
          </w:tcPr>
          <w:p>
            <w:r>
              <w:rPr>
                <w:sz w:val="16"/>
              </w:rPr>
              <w:t>₹50,745,209.00</w:t>
            </w:r>
          </w:p>
        </w:tc>
        <w:tc>
          <w:tcPr>
            <w:tcW w:type="dxa" w:w="2131"/>
          </w:tcPr>
          <w:p>
            <w:r>
              <w:rPr>
                <w:sz w:val="16"/>
              </w:rPr>
              <w:t>+₹50.48</w:t>
            </w:r>
          </w:p>
        </w:tc>
        <w:tc>
          <w:tcPr>
            <w:tcW w:type="dxa" w:w="2131"/>
          </w:tcPr>
          <w:p>
            <w:r>
              <w:rPr>
                <w:sz w:val="16"/>
              </w:rPr>
              <w:t>Small unresolved source/Finance difference</w:t>
            </w:r>
          </w:p>
        </w:tc>
      </w:tr>
    </w:tbl>
    <w:p>
      <w:pPr>
        <w:pStyle w:val="Heading2"/>
      </w:pPr>
      <w:r>
        <w:t>March investigation</w:t>
      </w:r>
    </w:p>
    <w:p>
      <w:r>
        <w:t>March differed by ₹486,250.00. The source folder contained 92,223 physical rows while PostgreSQL contained 91,711. The 512-row difference was traced to resend files: S02/20240317 had 330 original plus 330 identical resend rows, and S11/20240314 had 182 original plus 182 identical resend rows. Thus the 512 rows were resend duplicates correctly removed by the idempotent loader. No missing March business dates were found. The difference was therefore not identified as a pipeline loading bug. The exact Finance-side difference is not documented in the supplied billing notes and should be taken back to Finance for reconciliation.</w:t>
      </w:r>
    </w:p>
    <w:p>
      <w:pPr>
        <w:pStyle w:val="Heading2"/>
      </w:pPr>
      <w:r>
        <w:t>July investigation</w:t>
      </w:r>
    </w:p>
    <w:p>
      <w:r>
        <w:t>July differed by ₹232,131.70. S07 (Pune) has no source files for July 9, 10 or 11. The billing notes state that the Pune till server was lost for three days, the exports do not exist, and Finance has those numbers because the store phoned them in. This is a source-data issue, not a pipeline bug.</w:t>
      </w:r>
    </w:p>
    <w:p>
      <w:pPr>
        <w:pStyle w:val="Heading2"/>
      </w:pPr>
      <w:r>
        <w:t>December investigation</w:t>
      </w:r>
    </w:p>
    <w:p>
      <w:r>
        <w:t>December differed by ₹50.48. Business-date revenue was ₹50,745,259.48 while Finance reported ₹50,745,209.00. The billing notes contain no documented December adjustment, rounding correction or ₹50.48 item. Timestamp-month revenue was also checked and produced ₹50,805,016.94, so timestamp assignment does not explain the difference. A till-price versus historical-revision-price comparison also did not explain it. The difference is therefore recorded as a small unresolved source/Finance reconciliation item.</w:t>
      </w:r>
    </w:p>
    <w:p>
      <w:pPr>
        <w:pStyle w:val="Heading2"/>
      </w:pPr>
      <w:r>
        <w:t>Final reconciliation conclusion</w:t>
      </w:r>
    </w:p>
    <w:p>
      <w:r>
        <w:t>Nine of the twelve months match Finance exactly when the correct business-date and revenue rules are applied. The remaining March and December differences remain unresolved Finance/source reconciliation items, while July is a confirmed source-data gap caused by missing S07 exports. No evidence from the reconciliation indicates that the idempotent loading process caused the March or July discrepancies.</w:t>
      </w:r>
    </w:p>
    <w:p>
      <w:r>
        <w:t>The completed platform provides a consistent definition of a reporting month, preserves historical pricing, safely handles duplicate source files, and allows analytical queries across MinIO and PostgreSQL using DuckDB.</w:t>
      </w:r>
    </w:p>
    <w:sectPr w:rsidR="00FC693F" w:rsidRPr="0006063C" w:rsidSect="00034616">
      <w:pgSz w:w="12240" w:h="15840"/>
      <w:pgMar w:top="792" w:right="792" w:bottom="792" w:left="792" w:header="720" w:footer="720" w:gutter="0"/>
      <w:cols w:space="720"/>
      <w:docGrid w:linePitch="360"/>
      <w:pgBorders w:offsetFrom="page">
        <w:top w:val="single" w:sz="6" w:space="10" w:color="808080"/>
        <w:left w:val="single" w:sz="6" w:space="10" w:color="808080"/>
        <w:bottom w:val="single" w:sz="6" w:space="10" w:color="808080"/>
        <w:right w:val="single" w:sz="6" w:space="10" w:color="80808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