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DF42" w14:textId="77777777" w:rsidR="00612ECE" w:rsidRPr="00612ECE" w:rsidRDefault="00612ECE" w:rsidP="00612ECE">
      <w:pPr>
        <w:rPr>
          <w:sz w:val="28"/>
          <w:szCs w:val="28"/>
        </w:rPr>
      </w:pPr>
      <w:r w:rsidRPr="00612ECE">
        <w:rPr>
          <w:sz w:val="28"/>
          <w:szCs w:val="28"/>
        </w:rPr>
        <w:t>We recently analyzed our historical employee data to uncover the hidden patterns behind why our people leave and to help us proactively identify those who might be at risk of resigning. Instead of relying on gut feeling, this analysis allows us to focus our retention budget and HR efforts exactly where they will make the most impact.</w:t>
      </w:r>
    </w:p>
    <w:p w14:paraId="3104ADDC" w14:textId="77777777" w:rsidR="00612ECE" w:rsidRPr="00612ECE" w:rsidRDefault="00612ECE" w:rsidP="00612ECE">
      <w:pPr>
        <w:rPr>
          <w:sz w:val="28"/>
          <w:szCs w:val="28"/>
        </w:rPr>
      </w:pPr>
      <w:r w:rsidRPr="00612ECE">
        <w:rPr>
          <w:b/>
          <w:bCs/>
          <w:sz w:val="28"/>
          <w:szCs w:val="28"/>
        </w:rPr>
        <w:t>The Primary Drivers of Turnover</w:t>
      </w:r>
      <w:r w:rsidRPr="00612ECE">
        <w:rPr>
          <w:sz w:val="28"/>
          <w:szCs w:val="28"/>
        </w:rPr>
        <w:t xml:space="preserve"> When looking at the patterns of employees who have resigned, three dominant factors consistently emerge:</w:t>
      </w:r>
    </w:p>
    <w:p w14:paraId="1B8EA452" w14:textId="77777777" w:rsidR="00612ECE" w:rsidRPr="00612ECE" w:rsidRDefault="00612ECE" w:rsidP="00612ECE">
      <w:pPr>
        <w:numPr>
          <w:ilvl w:val="0"/>
          <w:numId w:val="3"/>
        </w:numPr>
        <w:rPr>
          <w:sz w:val="28"/>
          <w:szCs w:val="28"/>
        </w:rPr>
      </w:pPr>
      <w:r w:rsidRPr="00612ECE">
        <w:rPr>
          <w:b/>
          <w:bCs/>
          <w:sz w:val="28"/>
          <w:szCs w:val="28"/>
        </w:rPr>
        <w:t>Overtime Burden:</w:t>
      </w:r>
      <w:r w:rsidRPr="00612ECE">
        <w:rPr>
          <w:sz w:val="28"/>
          <w:szCs w:val="28"/>
        </w:rPr>
        <w:t xml:space="preserve"> Employees working frequent or excessive overtime are leaving at significantly higher rates. This is the single strongest warning sign of burnout.</w:t>
      </w:r>
    </w:p>
    <w:p w14:paraId="4A4297A2" w14:textId="77777777" w:rsidR="00612ECE" w:rsidRPr="00612ECE" w:rsidRDefault="00612ECE" w:rsidP="00612ECE">
      <w:pPr>
        <w:numPr>
          <w:ilvl w:val="0"/>
          <w:numId w:val="3"/>
        </w:numPr>
        <w:rPr>
          <w:sz w:val="28"/>
          <w:szCs w:val="28"/>
        </w:rPr>
      </w:pPr>
      <w:r w:rsidRPr="00612ECE">
        <w:rPr>
          <w:b/>
          <w:bCs/>
          <w:sz w:val="28"/>
          <w:szCs w:val="28"/>
        </w:rPr>
        <w:t>Compensation:</w:t>
      </w:r>
      <w:r w:rsidRPr="00612ECE">
        <w:rPr>
          <w:sz w:val="28"/>
          <w:szCs w:val="28"/>
        </w:rPr>
        <w:t xml:space="preserve"> Lower monthly income strongly correlates with departure, particularly when combined with other stressors.</w:t>
      </w:r>
    </w:p>
    <w:p w14:paraId="77C00461" w14:textId="77777777" w:rsidR="00612ECE" w:rsidRPr="00612ECE" w:rsidRDefault="00612ECE" w:rsidP="00612ECE">
      <w:pPr>
        <w:numPr>
          <w:ilvl w:val="0"/>
          <w:numId w:val="3"/>
        </w:numPr>
        <w:rPr>
          <w:sz w:val="28"/>
          <w:szCs w:val="28"/>
        </w:rPr>
      </w:pPr>
      <w:r w:rsidRPr="00612ECE">
        <w:rPr>
          <w:b/>
          <w:bCs/>
          <w:sz w:val="28"/>
          <w:szCs w:val="28"/>
        </w:rPr>
        <w:t>Tenure Milestones:</w:t>
      </w:r>
      <w:r w:rsidRPr="00612ECE">
        <w:rPr>
          <w:sz w:val="28"/>
          <w:szCs w:val="28"/>
        </w:rPr>
        <w:t xml:space="preserve"> We are losing people at two critical transition points: a massive spike during their </w:t>
      </w:r>
      <w:r w:rsidRPr="00612ECE">
        <w:rPr>
          <w:b/>
          <w:bCs/>
          <w:sz w:val="28"/>
          <w:szCs w:val="28"/>
        </w:rPr>
        <w:t>first year</w:t>
      </w:r>
      <w:r w:rsidRPr="00612ECE">
        <w:rPr>
          <w:sz w:val="28"/>
          <w:szCs w:val="28"/>
        </w:rPr>
        <w:t xml:space="preserve"> of employment, and another distinct wave around their </w:t>
      </w:r>
      <w:r w:rsidRPr="00612ECE">
        <w:rPr>
          <w:b/>
          <w:bCs/>
          <w:sz w:val="28"/>
          <w:szCs w:val="28"/>
        </w:rPr>
        <w:t>five-year</w:t>
      </w:r>
      <w:r w:rsidRPr="00612ECE">
        <w:rPr>
          <w:sz w:val="28"/>
          <w:szCs w:val="28"/>
        </w:rPr>
        <w:t xml:space="preserve"> anniversary.</w:t>
      </w:r>
    </w:p>
    <w:p w14:paraId="1C74F7F9" w14:textId="77777777" w:rsidR="00612ECE" w:rsidRPr="00612ECE" w:rsidRDefault="00612ECE" w:rsidP="00612ECE">
      <w:pPr>
        <w:rPr>
          <w:sz w:val="28"/>
          <w:szCs w:val="28"/>
        </w:rPr>
      </w:pPr>
      <w:r w:rsidRPr="00612ECE">
        <w:rPr>
          <w:b/>
          <w:bCs/>
          <w:sz w:val="28"/>
          <w:szCs w:val="28"/>
        </w:rPr>
        <w:t>Where We Are Losing the Most People</w:t>
      </w:r>
      <w:r w:rsidRPr="00612ECE">
        <w:rPr>
          <w:sz w:val="28"/>
          <w:szCs w:val="28"/>
        </w:rPr>
        <w:t xml:space="preserve"> Not all departments are experiencing this equally. Our </w:t>
      </w:r>
      <w:proofErr w:type="gramStart"/>
      <w:r w:rsidRPr="00612ECE">
        <w:rPr>
          <w:b/>
          <w:bCs/>
          <w:sz w:val="28"/>
          <w:szCs w:val="28"/>
        </w:rPr>
        <w:t>Sales</w:t>
      </w:r>
      <w:proofErr w:type="gramEnd"/>
      <w:r w:rsidRPr="00612ECE">
        <w:rPr>
          <w:sz w:val="28"/>
          <w:szCs w:val="28"/>
        </w:rPr>
        <w:t xml:space="preserve"> department is highly volatile, with an exit rate of nearly 21%. When we look at specific roles, </w:t>
      </w:r>
      <w:r w:rsidRPr="00612ECE">
        <w:rPr>
          <w:b/>
          <w:bCs/>
          <w:sz w:val="28"/>
          <w:szCs w:val="28"/>
        </w:rPr>
        <w:t>Sales Representatives</w:t>
      </w:r>
      <w:r w:rsidRPr="00612ECE">
        <w:rPr>
          <w:sz w:val="28"/>
          <w:szCs w:val="28"/>
        </w:rPr>
        <w:t xml:space="preserve"> (nearly 40% turnover) and </w:t>
      </w:r>
      <w:r w:rsidRPr="00612ECE">
        <w:rPr>
          <w:b/>
          <w:bCs/>
          <w:sz w:val="28"/>
          <w:szCs w:val="28"/>
        </w:rPr>
        <w:t>Laboratory Technicians</w:t>
      </w:r>
      <w:r w:rsidRPr="00612ECE">
        <w:rPr>
          <w:sz w:val="28"/>
          <w:szCs w:val="28"/>
        </w:rPr>
        <w:t xml:space="preserve"> (24% turnover) are our most vulnerable populations. Conversely, Management and Manufacturing Directors are highly stable.</w:t>
      </w:r>
    </w:p>
    <w:p w14:paraId="4E59D350" w14:textId="77777777" w:rsidR="00612ECE" w:rsidRPr="00612ECE" w:rsidRDefault="00612ECE" w:rsidP="00612ECE">
      <w:pPr>
        <w:rPr>
          <w:sz w:val="28"/>
          <w:szCs w:val="28"/>
        </w:rPr>
      </w:pPr>
      <w:r w:rsidRPr="00612ECE">
        <w:rPr>
          <w:b/>
          <w:bCs/>
          <w:sz w:val="28"/>
          <w:szCs w:val="28"/>
        </w:rPr>
        <w:t>Key Insight: It Isn't Just About Money</w:t>
      </w:r>
      <w:r w:rsidRPr="00612ECE">
        <w:rPr>
          <w:sz w:val="28"/>
          <w:szCs w:val="28"/>
        </w:rPr>
        <w:t xml:space="preserve"> While salary is a major factor, it does not act alone. Employees who report poor work-life balance are leaving at alarming rates (over 30%). Even more telling, high levels of required overtime and frequent business travel act as accelerators—pushing employees out the door even if their compensation is average. We cannot simply pay our way out of bad scheduling or structural burnout.</w:t>
      </w:r>
    </w:p>
    <w:p w14:paraId="670C8551" w14:textId="77777777" w:rsidR="00612ECE" w:rsidRPr="00612ECE" w:rsidRDefault="00612ECE" w:rsidP="00612ECE">
      <w:pPr>
        <w:rPr>
          <w:sz w:val="28"/>
          <w:szCs w:val="28"/>
        </w:rPr>
      </w:pPr>
      <w:r w:rsidRPr="00612ECE">
        <w:rPr>
          <w:b/>
          <w:bCs/>
          <w:sz w:val="28"/>
          <w:szCs w:val="28"/>
        </w:rPr>
        <w:t>Strategic Recommendations</w:t>
      </w:r>
      <w:r w:rsidRPr="00612ECE">
        <w:rPr>
          <w:sz w:val="28"/>
          <w:szCs w:val="28"/>
        </w:rPr>
        <w:t xml:space="preserve"> Based on the data, we recommend two immediate actions:</w:t>
      </w:r>
    </w:p>
    <w:p w14:paraId="66636BC9" w14:textId="77777777" w:rsidR="00612ECE" w:rsidRPr="00612ECE" w:rsidRDefault="00612ECE" w:rsidP="00612ECE">
      <w:pPr>
        <w:numPr>
          <w:ilvl w:val="0"/>
          <w:numId w:val="4"/>
        </w:numPr>
        <w:rPr>
          <w:sz w:val="28"/>
          <w:szCs w:val="28"/>
        </w:rPr>
      </w:pPr>
      <w:r w:rsidRPr="00612ECE">
        <w:rPr>
          <w:b/>
          <w:bCs/>
          <w:sz w:val="28"/>
          <w:szCs w:val="28"/>
        </w:rPr>
        <w:lastRenderedPageBreak/>
        <w:t>Overhaul the First-Year Experience:</w:t>
      </w:r>
      <w:r w:rsidRPr="00612ECE">
        <w:rPr>
          <w:sz w:val="28"/>
          <w:szCs w:val="28"/>
        </w:rPr>
        <w:t xml:space="preserve"> Because year-one attrition is so severe, we need to implement mandatory "stay interviews" at the 6-month and 10-month marks for all new hires. This allows us to catch role-misalignment and workload issues before the employee decides to quit.</w:t>
      </w:r>
    </w:p>
    <w:p w14:paraId="0F2AE56D" w14:textId="77777777" w:rsidR="00612ECE" w:rsidRPr="00612ECE" w:rsidRDefault="00612ECE" w:rsidP="00612ECE">
      <w:pPr>
        <w:numPr>
          <w:ilvl w:val="0"/>
          <w:numId w:val="4"/>
        </w:numPr>
        <w:rPr>
          <w:sz w:val="28"/>
          <w:szCs w:val="28"/>
        </w:rPr>
      </w:pPr>
      <w:r w:rsidRPr="00612ECE">
        <w:rPr>
          <w:b/>
          <w:bCs/>
          <w:sz w:val="28"/>
          <w:szCs w:val="28"/>
        </w:rPr>
        <w:t>Targeted Overtime Audit in High-Risk Roles:</w:t>
      </w:r>
      <w:r w:rsidRPr="00612ECE">
        <w:rPr>
          <w:sz w:val="28"/>
          <w:szCs w:val="28"/>
        </w:rPr>
        <w:t xml:space="preserve"> We must urgently review the base-pay vs. commission structure for Sales Representatives, and investigate capping forced overtime across the board. The data clearly shows that excessive hours are costing us more in turnover than we are gaining in productivity.</w:t>
      </w:r>
    </w:p>
    <w:p w14:paraId="7BB02D2F" w14:textId="77777777" w:rsidR="00612ECE" w:rsidRPr="00612ECE" w:rsidRDefault="00612ECE" w:rsidP="00612ECE">
      <w:pPr>
        <w:rPr>
          <w:sz w:val="28"/>
          <w:szCs w:val="28"/>
        </w:rPr>
      </w:pPr>
      <w:r w:rsidRPr="00612ECE">
        <w:rPr>
          <w:b/>
          <w:bCs/>
          <w:sz w:val="28"/>
          <w:szCs w:val="28"/>
        </w:rPr>
        <w:t>A Note on How to Use This Information</w:t>
      </w:r>
      <w:r w:rsidRPr="00612ECE">
        <w:rPr>
          <w:sz w:val="28"/>
          <w:szCs w:val="28"/>
        </w:rPr>
        <w:t xml:space="preserve"> While our analysis is highly effective at identifying structural risks and patterns, it is important to remember that it relies on historical company data. It cannot account for sudden human emotions, personal life events, or sudden shifts in team dynamics (like a toxic new manager). We should use these findings as an "early warning radar" to guide where HR focuses its attention, rather than an absolute crystal ball.</w:t>
      </w:r>
    </w:p>
    <w:p w14:paraId="336843FC" w14:textId="77777777" w:rsidR="00910AF2" w:rsidRPr="00612ECE" w:rsidRDefault="00910AF2" w:rsidP="00612ECE">
      <w:pPr>
        <w:rPr>
          <w:sz w:val="28"/>
          <w:szCs w:val="28"/>
        </w:rPr>
      </w:pPr>
    </w:p>
    <w:sectPr w:rsidR="00910AF2" w:rsidRPr="00612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A1156"/>
    <w:multiLevelType w:val="multilevel"/>
    <w:tmpl w:val="A5D6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73290"/>
    <w:multiLevelType w:val="multilevel"/>
    <w:tmpl w:val="D7A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77429"/>
    <w:multiLevelType w:val="multilevel"/>
    <w:tmpl w:val="28B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D1F6B"/>
    <w:multiLevelType w:val="multilevel"/>
    <w:tmpl w:val="2070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098498">
    <w:abstractNumId w:val="0"/>
  </w:num>
  <w:num w:numId="2" w16cid:durableId="1190488986">
    <w:abstractNumId w:val="1"/>
  </w:num>
  <w:num w:numId="3" w16cid:durableId="1243179901">
    <w:abstractNumId w:val="3"/>
  </w:num>
  <w:num w:numId="4" w16cid:durableId="254172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EB"/>
    <w:rsid w:val="000453EB"/>
    <w:rsid w:val="00612ECE"/>
    <w:rsid w:val="007E25B7"/>
    <w:rsid w:val="00897AF5"/>
    <w:rsid w:val="00910AF2"/>
    <w:rsid w:val="00996316"/>
    <w:rsid w:val="00A64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63B8"/>
  <w15:chartTrackingRefBased/>
  <w15:docId w15:val="{A959A61B-215D-434B-BF59-A0E1364C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3EB"/>
    <w:rPr>
      <w:rFonts w:eastAsiaTheme="majorEastAsia" w:cstheme="majorBidi"/>
      <w:color w:val="272727" w:themeColor="text1" w:themeTint="D8"/>
    </w:rPr>
  </w:style>
  <w:style w:type="paragraph" w:styleId="Title">
    <w:name w:val="Title"/>
    <w:basedOn w:val="Normal"/>
    <w:next w:val="Normal"/>
    <w:link w:val="TitleChar"/>
    <w:uiPriority w:val="10"/>
    <w:qFormat/>
    <w:rsid w:val="0004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53EB"/>
    <w:rPr>
      <w:i/>
      <w:iCs/>
      <w:color w:val="404040" w:themeColor="text1" w:themeTint="BF"/>
    </w:rPr>
  </w:style>
  <w:style w:type="paragraph" w:styleId="ListParagraph">
    <w:name w:val="List Paragraph"/>
    <w:basedOn w:val="Normal"/>
    <w:uiPriority w:val="34"/>
    <w:qFormat/>
    <w:rsid w:val="000453EB"/>
    <w:pPr>
      <w:ind w:left="720"/>
      <w:contextualSpacing/>
    </w:pPr>
  </w:style>
  <w:style w:type="character" w:styleId="IntenseEmphasis">
    <w:name w:val="Intense Emphasis"/>
    <w:basedOn w:val="DefaultParagraphFont"/>
    <w:uiPriority w:val="21"/>
    <w:qFormat/>
    <w:rsid w:val="000453EB"/>
    <w:rPr>
      <w:i/>
      <w:iCs/>
      <w:color w:val="0F4761" w:themeColor="accent1" w:themeShade="BF"/>
    </w:rPr>
  </w:style>
  <w:style w:type="paragraph" w:styleId="IntenseQuote">
    <w:name w:val="Intense Quote"/>
    <w:basedOn w:val="Normal"/>
    <w:next w:val="Normal"/>
    <w:link w:val="IntenseQuoteChar"/>
    <w:uiPriority w:val="30"/>
    <w:qFormat/>
    <w:rsid w:val="00045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3EB"/>
    <w:rPr>
      <w:i/>
      <w:iCs/>
      <w:color w:val="0F4761" w:themeColor="accent1" w:themeShade="BF"/>
    </w:rPr>
  </w:style>
  <w:style w:type="character" w:styleId="IntenseReference">
    <w:name w:val="Intense Reference"/>
    <w:basedOn w:val="DefaultParagraphFont"/>
    <w:uiPriority w:val="32"/>
    <w:qFormat/>
    <w:rsid w:val="00045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UPPARI MAITHRI</dc:creator>
  <cp:keywords/>
  <dc:description/>
  <cp:lastModifiedBy>UPPARI MAITHRI</cp:lastModifiedBy>
  <cp:revision>3</cp:revision>
  <dcterms:created xsi:type="dcterms:W3CDTF">2026-06-30T17:00:00Z</dcterms:created>
  <dcterms:modified xsi:type="dcterms:W3CDTF">2026-06-30T17:03:00Z</dcterms:modified>
</cp:coreProperties>
</file>