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04C9E" w14:textId="34E5E195" w:rsidR="002D3228" w:rsidRDefault="002D3228" w:rsidP="002D3228">
      <w:pPr>
        <w:pStyle w:val="Titre"/>
      </w:pPr>
      <w:r>
        <w:t>Projet Pharmacométrie</w:t>
      </w:r>
    </w:p>
    <w:p w14:paraId="6B726CA5" w14:textId="325FFFE3" w:rsidR="002D3228" w:rsidRDefault="002D3228" w:rsidP="006E7235">
      <w:pPr>
        <w:pStyle w:val="Sous-titre"/>
      </w:pPr>
      <w:r>
        <w:t>Vivien DUPONT – Maxime BEAULIEU</w:t>
      </w:r>
    </w:p>
    <w:p w14:paraId="60B0C93B" w14:textId="47338637" w:rsidR="004F650B" w:rsidRDefault="004F650B" w:rsidP="004F650B">
      <w:pPr>
        <w:pStyle w:val="Titre1"/>
        <w:numPr>
          <w:ilvl w:val="0"/>
          <w:numId w:val="4"/>
        </w:numPr>
      </w:pPr>
      <w:r>
        <w:t>Modélisation de la dynamique tumorale</w:t>
      </w:r>
    </w:p>
    <w:p w14:paraId="1EB0CF90" w14:textId="77777777" w:rsidR="003F1D60" w:rsidRPr="003F1D60" w:rsidRDefault="003F1D60" w:rsidP="003F1D60"/>
    <w:p w14:paraId="7A2BB698" w14:textId="77777777" w:rsidR="00C56CAE" w:rsidRDefault="00C56CAE" w:rsidP="00C56CAE">
      <w:pPr>
        <w:pStyle w:val="Titre2"/>
        <w:numPr>
          <w:ilvl w:val="0"/>
          <w:numId w:val="10"/>
        </w:numPr>
      </w:pPr>
    </w:p>
    <w:p w14:paraId="1859C6FD" w14:textId="77777777" w:rsidR="003F1D60" w:rsidRDefault="003F1D60" w:rsidP="00C56CAE">
      <w:pPr>
        <w:pStyle w:val="Titre3"/>
      </w:pPr>
    </w:p>
    <w:p w14:paraId="221BAE8C" w14:textId="30A43ABF" w:rsidR="003F1D60" w:rsidRPr="003F1D60" w:rsidRDefault="00C56CAE" w:rsidP="00184EB1">
      <w:pPr>
        <w:pStyle w:val="Titre3"/>
      </w:pPr>
      <w:r>
        <w:t>Mesures</w:t>
      </w:r>
    </w:p>
    <w:p w14:paraId="3AE86E00" w14:textId="58DF54A7" w:rsidR="004F650B" w:rsidRDefault="00F200B5" w:rsidP="00113E79">
      <w:pPr>
        <w:jc w:val="both"/>
      </w:pPr>
      <w:r>
        <w:t xml:space="preserve">49 patients ont participé à l’étude. Les patients ont en moyenne effectué 2.7 scanners. Le temps </w:t>
      </w:r>
      <w:r w:rsidR="007848B6">
        <w:t xml:space="preserve">médian de suivi est de 67 jours. </w:t>
      </w:r>
      <w:r w:rsidR="00C56CAE">
        <w:t>15 patients n’ont effectué qu’un seul scanner</w:t>
      </w:r>
      <w:r w:rsidR="007848B6">
        <w:t xml:space="preserve">. </w:t>
      </w:r>
      <w:r w:rsidR="00113E79">
        <w:t>Deux patients n’ont pas effectué un scanner initial</w:t>
      </w:r>
      <w:r w:rsidR="007848B6">
        <w:t xml:space="preserve"> </w:t>
      </w:r>
      <w:r w:rsidR="00113E79">
        <w:t>(en t=0).</w:t>
      </w:r>
      <w:r w:rsidR="004B6F0D">
        <w:t xml:space="preserve"> Les patients ont en moyenne reçu 6 doses de </w:t>
      </w:r>
      <w:r w:rsidR="007D46CB">
        <w:t>médicament</w:t>
      </w:r>
      <w:r w:rsidR="004B6F0D">
        <w:t xml:space="preserve"> entre le premier scanner et le dernier.</w:t>
      </w:r>
    </w:p>
    <w:p w14:paraId="51976A74" w14:textId="1B03E311" w:rsidR="00C74B36" w:rsidRDefault="00C74B36" w:rsidP="00C74B36">
      <w:pPr>
        <w:pStyle w:val="Titre3"/>
      </w:pPr>
      <w:r>
        <w:t>Âge</w:t>
      </w:r>
    </w:p>
    <w:p w14:paraId="3E37BC33" w14:textId="6E963C6F" w:rsidR="007E26E9" w:rsidRDefault="004B6F0D" w:rsidP="001D4547">
      <w:pPr>
        <w:jc w:val="both"/>
      </w:pPr>
      <w:r>
        <w:t>En moyenne, les patients ont entre 45 et 83 ans (66 ans en moyenne</w:t>
      </w:r>
      <w:r w:rsidR="007D46CB">
        <w:t xml:space="preserve"> et 9.5 ans d’écart-type</w:t>
      </w:r>
      <w:r>
        <w:t>)</w:t>
      </w:r>
      <w:r w:rsidR="007D46CB">
        <w:t xml:space="preserve">. </w:t>
      </w:r>
    </w:p>
    <w:p w14:paraId="5083D615" w14:textId="29DB5A7D" w:rsidR="003F1D60" w:rsidRPr="003F1D60" w:rsidRDefault="009D0EAB" w:rsidP="00184EB1">
      <w:pPr>
        <w:pStyle w:val="Titre3"/>
      </w:pPr>
      <w:r>
        <w:t>Hémoglobine</w:t>
      </w:r>
    </w:p>
    <w:p w14:paraId="407BD285" w14:textId="300083AF" w:rsidR="007D05B0" w:rsidRDefault="007D46CB" w:rsidP="001D4547">
      <w:pPr>
        <w:jc w:val="both"/>
      </w:pPr>
      <w:r>
        <w:t>En moyenne, les patients ont une hémoglobine de 121 g/l (de 88 au minimum jusque 156 et 17.8 en écart-type).</w:t>
      </w:r>
    </w:p>
    <w:p w14:paraId="13E83750" w14:textId="4C075936" w:rsidR="000725FF" w:rsidRDefault="00A16738" w:rsidP="001D4547">
      <w:pPr>
        <w:jc w:val="both"/>
      </w:pPr>
      <w:r>
        <w:t>Les</w:t>
      </w:r>
      <w:r w:rsidR="000725FF">
        <w:t xml:space="preserve"> valeurs d’hémoglobines </w:t>
      </w:r>
      <w:r w:rsidR="00307C0B">
        <w:t xml:space="preserve">sont </w:t>
      </w:r>
      <w:r w:rsidR="000725FF">
        <w:t>plutôt faibles car si l’on regarde les recommandations de l’OMS</w:t>
      </w:r>
      <w:r w:rsidR="001426A1">
        <w:rPr>
          <w:rStyle w:val="Appelnotedebasdep"/>
        </w:rPr>
        <w:footnoteReference w:id="1"/>
      </w:r>
      <w:r w:rsidR="000725FF">
        <w:t xml:space="preserve"> nous avons : </w:t>
      </w:r>
    </w:p>
    <w:p w14:paraId="64325594" w14:textId="2789E4BD" w:rsidR="000725FF" w:rsidRDefault="000725FF" w:rsidP="001D4547">
      <w:pPr>
        <w:pStyle w:val="Paragraphedeliste"/>
        <w:numPr>
          <w:ilvl w:val="0"/>
          <w:numId w:val="1"/>
        </w:numPr>
        <w:jc w:val="both"/>
      </w:pPr>
      <w:r>
        <w:t>Femmes qui ne sont pas enceintes (à partir de 15 ans) : 120 g/l ou plus</w:t>
      </w:r>
    </w:p>
    <w:p w14:paraId="2B572028" w14:textId="4346C5E4" w:rsidR="00365217" w:rsidRDefault="000725FF" w:rsidP="001D4547">
      <w:pPr>
        <w:pStyle w:val="Paragraphedeliste"/>
        <w:numPr>
          <w:ilvl w:val="0"/>
          <w:numId w:val="1"/>
        </w:numPr>
        <w:jc w:val="both"/>
      </w:pPr>
      <w:r>
        <w:t>Hommes (à partir de 15 ans) : 130 g/l ou plus</w:t>
      </w:r>
    </w:p>
    <w:p w14:paraId="7D0C3998" w14:textId="72FB7EC4" w:rsidR="007D05B0" w:rsidRDefault="007D05B0" w:rsidP="007D05B0">
      <w:pPr>
        <w:pStyle w:val="Titre3"/>
      </w:pPr>
      <w:r>
        <w:t>Métastases</w:t>
      </w:r>
    </w:p>
    <w:p w14:paraId="48795C32" w14:textId="140C6F03" w:rsidR="00365217" w:rsidRDefault="00365217" w:rsidP="001D4547">
      <w:pPr>
        <w:jc w:val="both"/>
      </w:pPr>
      <w:r>
        <w:t>11 patients</w:t>
      </w:r>
      <w:r w:rsidR="00B77EF7">
        <w:t xml:space="preserve"> sur 49 souffrent de</w:t>
      </w:r>
      <w:r>
        <w:t xml:space="preserve"> métastases au foie</w:t>
      </w:r>
      <w:r w:rsidR="004271FC">
        <w:t>.</w:t>
      </w:r>
    </w:p>
    <w:p w14:paraId="3C0B82DB" w14:textId="5D58D36D" w:rsidR="003F1D60" w:rsidRDefault="003F1D60" w:rsidP="003F1D60">
      <w:pPr>
        <w:pStyle w:val="Titre3"/>
      </w:pPr>
      <w:r>
        <w:t>Sexe</w:t>
      </w:r>
    </w:p>
    <w:p w14:paraId="33B3E739" w14:textId="4E0B7744" w:rsidR="003F1D60" w:rsidRDefault="003F1D60" w:rsidP="003F1D60">
      <w:r>
        <w:t>Le sexe des patients est absent de la base de données. Ce choix est dommageable pour la qualité de la modélisation.</w:t>
      </w:r>
    </w:p>
    <w:p w14:paraId="28EB4193" w14:textId="77777777" w:rsidR="003F1D60" w:rsidRDefault="003F1D60" w:rsidP="003F1D60"/>
    <w:p w14:paraId="3E9972D9" w14:textId="77777777" w:rsidR="003F1D60" w:rsidRDefault="003F1D60">
      <w:r>
        <w:br w:type="page"/>
      </w:r>
    </w:p>
    <w:p w14:paraId="26C179EC" w14:textId="329A733F" w:rsidR="007E26E9" w:rsidRDefault="006E7235" w:rsidP="007E26E9">
      <w:pPr>
        <w:pStyle w:val="Titre3"/>
      </w:pPr>
      <w:r>
        <w:lastRenderedPageBreak/>
        <w:t>Représentation graphique</w:t>
      </w:r>
    </w:p>
    <w:p w14:paraId="6A441625" w14:textId="51C31EAC" w:rsidR="006E7235" w:rsidRPr="006E7235" w:rsidRDefault="006E7235" w:rsidP="006E7235"/>
    <w:p w14:paraId="2D93E412" w14:textId="01009958" w:rsidR="00F33C10" w:rsidRDefault="006E7235" w:rsidP="006E7235">
      <w:pPr>
        <w:jc w:val="center"/>
      </w:pPr>
      <w:r>
        <w:rPr>
          <w:noProof/>
        </w:rPr>
        <w:drawing>
          <wp:inline distT="0" distB="0" distL="0" distR="0" wp14:anchorId="0F0786D6" wp14:editId="2ECC6642">
            <wp:extent cx="5124450" cy="3366592"/>
            <wp:effectExtent l="0" t="0" r="0" b="571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a:extLst>
                        <a:ext uri="{28A0092B-C50C-407E-A947-70E740481C1C}">
                          <a14:useLocalDpi xmlns:a14="http://schemas.microsoft.com/office/drawing/2010/main" val="0"/>
                        </a:ext>
                      </a:extLst>
                    </a:blip>
                    <a:stretch>
                      <a:fillRect/>
                    </a:stretch>
                  </pic:blipFill>
                  <pic:spPr>
                    <a:xfrm>
                      <a:off x="0" y="0"/>
                      <a:ext cx="5141882" cy="3378045"/>
                    </a:xfrm>
                    <a:prstGeom prst="rect">
                      <a:avLst/>
                    </a:prstGeom>
                  </pic:spPr>
                </pic:pic>
              </a:graphicData>
            </a:graphic>
          </wp:inline>
        </w:drawing>
      </w:r>
    </w:p>
    <w:p w14:paraId="52154541" w14:textId="56F65ADF" w:rsidR="00F33C10" w:rsidRDefault="006E7235" w:rsidP="003F1D60">
      <w:pPr>
        <w:jc w:val="both"/>
      </w:pPr>
      <w:r>
        <w:t xml:space="preserve">La somme des diamètres des tumeurs semble dans un premier temps décroître chez beaucoup </w:t>
      </w:r>
      <w:r w:rsidR="003F1D60">
        <w:t>de patients</w:t>
      </w:r>
      <w:r>
        <w:t xml:space="preserve"> puis recroît </w:t>
      </w:r>
      <w:proofErr w:type="gramStart"/>
      <w:r>
        <w:t>pass</w:t>
      </w:r>
      <w:r w:rsidR="003F1D60">
        <w:t>é</w:t>
      </w:r>
      <w:proofErr w:type="gramEnd"/>
      <w:r>
        <w:t xml:space="preserve"> un certain seuil. Les dynamiques de croissance et de décroissance ne semblent pas linéaires.</w:t>
      </w:r>
      <w:r w:rsidR="003F1D60">
        <w:t xml:space="preserve"> Un minimum de SLD est atteint entre 50 et 200 jours chez la plupart des patients.</w:t>
      </w:r>
    </w:p>
    <w:p w14:paraId="0A4D6869" w14:textId="56AB44CE" w:rsidR="003F1D60" w:rsidRDefault="003F1D60" w:rsidP="003F1D60">
      <w:pPr>
        <w:jc w:val="both"/>
      </w:pPr>
    </w:p>
    <w:p w14:paraId="037B89AD" w14:textId="77777777" w:rsidR="003F1D60" w:rsidRDefault="003F1D60" w:rsidP="003F1D60">
      <w:pPr>
        <w:pStyle w:val="Titre2"/>
        <w:numPr>
          <w:ilvl w:val="0"/>
          <w:numId w:val="10"/>
        </w:numPr>
      </w:pPr>
    </w:p>
    <w:p w14:paraId="4A6F4C69" w14:textId="40A67097" w:rsidR="00184EB1" w:rsidRDefault="00184EB1" w:rsidP="00184EB1">
      <w:pPr>
        <w:pStyle w:val="Titre3"/>
      </w:pPr>
    </w:p>
    <w:p w14:paraId="4C3A2FDD" w14:textId="449D3354" w:rsidR="001426A1" w:rsidRDefault="001426A1" w:rsidP="001426A1">
      <w:pPr>
        <w:jc w:val="both"/>
      </w:pPr>
      <w:r>
        <w:t>Aucunes données dans la littérature -- à notre connaissance -- ne permettent d’estimer un des paramètres du modèle. Dans le cas contraire, on aurait pu se servir de ces valeurs.</w:t>
      </w:r>
    </w:p>
    <w:p w14:paraId="2ECE0717" w14:textId="77777777" w:rsidR="001426A1" w:rsidRPr="001426A1" w:rsidRDefault="001426A1" w:rsidP="001426A1"/>
    <w:p w14:paraId="4D5C2874" w14:textId="12AAD95C" w:rsidR="00184EB1" w:rsidRDefault="00184EB1" w:rsidP="00184EB1">
      <w:pPr>
        <w:pStyle w:val="Titre3"/>
      </w:pPr>
      <w:r>
        <w:t>Estimation de BSLD</w:t>
      </w:r>
    </w:p>
    <w:p w14:paraId="11A717EB" w14:textId="77777777" w:rsidR="00184EB1" w:rsidRDefault="00184EB1" w:rsidP="007012D1">
      <w:pPr>
        <w:jc w:val="both"/>
      </w:pPr>
      <w:r>
        <w:t>BSLD est le niveau de SLD au premier jour d’inclusion. BSLD peut alors être estimé comme la moyenne de SLD au temps 0. L’écart-type de BSLD peut également être estimé de cette manière.</w:t>
      </w:r>
    </w:p>
    <w:p w14:paraId="6C4CCD6E" w14:textId="77777777" w:rsidR="00184EB1" w:rsidRDefault="00184EB1" w:rsidP="007012D1">
      <w:pPr>
        <w:jc w:val="both"/>
      </w:pPr>
      <w:r>
        <w:t>Ainsi :</w:t>
      </w:r>
    </w:p>
    <w:p w14:paraId="11999CEF" w14:textId="5B1503FC" w:rsidR="00184EB1" w:rsidRDefault="00184EB1" w:rsidP="00184EB1">
      <w:pPr>
        <w:jc w:val="center"/>
      </w:pPr>
      <w:r>
        <w:t>BSLD = 74</w:t>
      </w:r>
    </w:p>
    <w:p w14:paraId="3C87C836" w14:textId="541D0DDB" w:rsidR="00161838" w:rsidRPr="00184EB1" w:rsidRDefault="00184EB1" w:rsidP="00161838">
      <w:pPr>
        <w:jc w:val="center"/>
      </w:pPr>
      <w:proofErr w:type="spellStart"/>
      <w:r>
        <w:t>BSLD_sd</w:t>
      </w:r>
      <w:proofErr w:type="spellEnd"/>
      <w:r>
        <w:t xml:space="preserve"> = 50</w:t>
      </w:r>
    </w:p>
    <w:p w14:paraId="1242BE7C" w14:textId="6C747311" w:rsidR="003F1D60" w:rsidRDefault="00184EB1" w:rsidP="00184EB1">
      <w:pPr>
        <w:pStyle w:val="Titre3"/>
      </w:pPr>
      <w:r>
        <w:t>Modèle de Wang</w:t>
      </w:r>
    </w:p>
    <w:p w14:paraId="57E7A366" w14:textId="20399522" w:rsidR="00184EB1" w:rsidRDefault="00184EB1" w:rsidP="003B6B65">
      <w:pPr>
        <w:jc w:val="both"/>
      </w:pPr>
      <w:r>
        <w:t xml:space="preserve">Le modèle de Wang décrit une dynamique de décroissance exponentielle et une dynamique de croissance linéaire en fonction du temps. </w:t>
      </w:r>
    </w:p>
    <w:p w14:paraId="5C1AFE36" w14:textId="7AB37221" w:rsidR="00AC6F06" w:rsidRDefault="00AC6F06" w:rsidP="003B6B65">
      <w:pPr>
        <w:jc w:val="both"/>
      </w:pPr>
      <w:r>
        <w:t>Afin d’estimer g et d, il faut séparer la base de données en deux : une partie contenant le</w:t>
      </w:r>
      <w:r w:rsidR="00C32F35">
        <w:t>s observations ou SLD croit et une autre partie ou SLD décroit.</w:t>
      </w:r>
    </w:p>
    <w:p w14:paraId="33B54210" w14:textId="4890647C" w:rsidR="00184EB1" w:rsidRDefault="00AC6F06" w:rsidP="003B6B65">
      <w:pPr>
        <w:jc w:val="both"/>
      </w:pPr>
      <w:r>
        <w:lastRenderedPageBreak/>
        <w:t>Ainsi l</w:t>
      </w:r>
      <w:r w:rsidR="00184EB1">
        <w:t>’estimation</w:t>
      </w:r>
      <w:r w:rsidR="00161838">
        <w:t xml:space="preserve"> de </w:t>
      </w:r>
      <w:r w:rsidR="004934DF">
        <w:t>g</w:t>
      </w:r>
      <w:r w:rsidR="00161838">
        <w:t xml:space="preserve"> peut se réaliser en réalisant le modèle linéaire mixte suivant </w:t>
      </w:r>
      <w:r w:rsidR="00C32F35">
        <w:t xml:space="preserve">dans la base de données ou SLD est en croissance </w:t>
      </w:r>
      <w:r w:rsidR="00161838">
        <w:t>:</w:t>
      </w:r>
    </w:p>
    <w:p w14:paraId="71ADD1C3" w14:textId="71C42156" w:rsidR="00161838" w:rsidRPr="00184EB1" w:rsidRDefault="00161838" w:rsidP="00161838">
      <w:pPr>
        <w:jc w:val="center"/>
      </w:pPr>
      <m:oMathPara>
        <m:oMath>
          <m:r>
            <w:rPr>
              <w:rFonts w:ascii="Cambria Math" w:hAnsi="Cambria Math"/>
            </w:rPr>
            <m:t>SL</m:t>
          </m:r>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0i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1i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713D1E46" w14:textId="7D5B3FC4" w:rsidR="000725FF" w:rsidRDefault="00161838" w:rsidP="003B6B65">
      <w:pPr>
        <w:jc w:val="both"/>
        <w:rPr>
          <w:rFonts w:eastAsiaTheme="minorEastAsia"/>
        </w:rPr>
      </w:pPr>
      <w:r>
        <w:t xml:space="preserve">Où </w:t>
      </w:r>
      <m:oMath>
        <m:r>
          <w:rPr>
            <w:rFonts w:ascii="Cambria Math" w:hAnsi="Cambria Math"/>
          </w:rPr>
          <m:t>SL</m:t>
        </m:r>
        <m:sSub>
          <m:sSubPr>
            <m:ctrlPr>
              <w:rPr>
                <w:rFonts w:ascii="Cambria Math" w:hAnsi="Cambria Math"/>
                <w:i/>
              </w:rPr>
            </m:ctrlPr>
          </m:sSubPr>
          <m:e>
            <m:r>
              <w:rPr>
                <w:rFonts w:ascii="Cambria Math" w:hAnsi="Cambria Math"/>
              </w:rPr>
              <m:t>D</m:t>
            </m:r>
          </m:e>
          <m:sub>
            <m:r>
              <w:rPr>
                <w:rFonts w:ascii="Cambria Math" w:hAnsi="Cambria Math"/>
              </w:rPr>
              <m:t>ij</m:t>
            </m:r>
          </m:sub>
        </m:sSub>
      </m:oMath>
      <w:r>
        <w:rPr>
          <w:rFonts w:eastAsiaTheme="minorEastAsia"/>
        </w:rPr>
        <w:t xml:space="preserve"> est l’observation de SLD de l’individu i au temps j</w:t>
      </w:r>
      <w:r w:rsidR="00AC6F06">
        <w:rPr>
          <w:rFonts w:eastAsiaTheme="minorEastAsia"/>
        </w:rPr>
        <w:t xml:space="preserve">. </w:t>
      </w:r>
    </w:p>
    <w:p w14:paraId="30AA2DCD" w14:textId="5941F5BE" w:rsidR="00C32F35" w:rsidRDefault="004934DF" w:rsidP="003B6B65">
      <w:pPr>
        <w:jc w:val="both"/>
        <w:rPr>
          <w:rFonts w:eastAsiaTheme="minorEastAsia"/>
        </w:rPr>
      </w:pPr>
      <w:proofErr w:type="gramStart"/>
      <w:r>
        <w:rPr>
          <w:rFonts w:eastAsiaTheme="minorEastAsia"/>
        </w:rPr>
        <w:t>g</w:t>
      </w:r>
      <w:proofErr w:type="gramEnd"/>
      <w:r w:rsidR="00C32F35">
        <w:rPr>
          <w:rFonts w:eastAsiaTheme="minorEastAsia"/>
        </w:rPr>
        <w:t xml:space="preserve"> </w:t>
      </w:r>
      <w:r>
        <w:rPr>
          <w:rFonts w:eastAsiaTheme="minorEastAsia"/>
        </w:rPr>
        <w:t>correspond</w:t>
      </w:r>
      <w:r w:rsidR="00C32F35">
        <w:rPr>
          <w:rFonts w:eastAsiaTheme="minorEastAsia"/>
        </w:rPr>
        <w:t xml:space="preserve"> alors à l’estimation de </w:t>
      </w: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oMath>
      <w:r w:rsidR="00C32F35">
        <w:rPr>
          <w:rFonts w:eastAsiaTheme="minorEastAsia"/>
        </w:rPr>
        <w:t xml:space="preserve">. L’écart-type de g correspond à l’écart-type de </w:t>
      </w:r>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oMath>
      <w:r w:rsidR="00C32F35">
        <w:rPr>
          <w:rFonts w:eastAsiaTheme="minorEastAsia"/>
        </w:rPr>
        <w:t>.</w:t>
      </w:r>
    </w:p>
    <w:p w14:paraId="663E6AF7" w14:textId="4F25BEEB" w:rsidR="00C32F35" w:rsidRDefault="00C32F35" w:rsidP="007E26E9">
      <w:pPr>
        <w:rPr>
          <w:rFonts w:eastAsiaTheme="minorEastAsia"/>
        </w:rPr>
      </w:pPr>
      <w:r>
        <w:rPr>
          <w:rFonts w:eastAsiaTheme="minorEastAsia"/>
        </w:rPr>
        <w:t>Par conséquent :</w:t>
      </w:r>
    </w:p>
    <w:p w14:paraId="761A2B37" w14:textId="46C19785" w:rsidR="00C32F35" w:rsidRPr="004934DF" w:rsidRDefault="003B6B65" w:rsidP="00C32F35">
      <w:pPr>
        <w:jc w:val="center"/>
        <w:rPr>
          <w:rFonts w:eastAsiaTheme="minorEastAsia"/>
        </w:rPr>
      </w:pPr>
      <w:proofErr w:type="gramStart"/>
      <w:r>
        <w:rPr>
          <w:rFonts w:eastAsiaTheme="minorEastAsia"/>
        </w:rPr>
        <w:t>g</w:t>
      </w:r>
      <w:proofErr w:type="gramEnd"/>
      <w:r>
        <w:rPr>
          <w:rFonts w:eastAsiaTheme="minorEastAsia"/>
        </w:rPr>
        <w:t xml:space="preserve"> = 0.09</w:t>
      </w:r>
    </w:p>
    <w:p w14:paraId="219EC129" w14:textId="36176906" w:rsidR="004934DF" w:rsidRDefault="004934DF" w:rsidP="00C32F35">
      <w:pPr>
        <w:jc w:val="center"/>
        <w:rPr>
          <w:rFonts w:eastAsiaTheme="minorEastAsia"/>
        </w:rPr>
      </w:pPr>
      <w:proofErr w:type="spellStart"/>
      <w:proofErr w:type="gramStart"/>
      <w:r>
        <w:rPr>
          <w:rFonts w:eastAsiaTheme="minorEastAsia"/>
        </w:rPr>
        <w:t>g</w:t>
      </w:r>
      <w:proofErr w:type="gramEnd"/>
      <w:r>
        <w:rPr>
          <w:rFonts w:eastAsiaTheme="minorEastAsia"/>
        </w:rPr>
        <w:t>_sd</w:t>
      </w:r>
      <w:proofErr w:type="spellEnd"/>
      <w:r>
        <w:rPr>
          <w:rFonts w:eastAsiaTheme="minorEastAsia"/>
        </w:rPr>
        <w:t xml:space="preserve"> = 0.05</w:t>
      </w:r>
    </w:p>
    <w:p w14:paraId="02660E27" w14:textId="2F6FB316" w:rsidR="00AC6F06" w:rsidRDefault="004934DF" w:rsidP="003B6B65">
      <w:pPr>
        <w:jc w:val="both"/>
      </w:pPr>
      <w:r>
        <w:t xml:space="preserve">L’estimation de d se réalise grâce à la base de données dans laquelle </w:t>
      </w:r>
      <w:r w:rsidR="00883CB2">
        <w:t>SLD décroît.</w:t>
      </w:r>
      <w:r w:rsidR="003B6B65">
        <w:t xml:space="preserve"> On transforme la variable SLD en log afin de recouvrir le coefficient d. On ajuste le modèle linéaire mixte suivant :</w:t>
      </w:r>
    </w:p>
    <w:p w14:paraId="6B3614A1" w14:textId="77777777" w:rsidR="003B6B65" w:rsidRDefault="003B6B65" w:rsidP="007E26E9"/>
    <w:p w14:paraId="34ECAF5A" w14:textId="1AF5105B" w:rsidR="003B6B65" w:rsidRPr="00184EB1" w:rsidRDefault="003B6B65" w:rsidP="003B6B65">
      <w:pPr>
        <w:jc w:val="center"/>
      </w:pPr>
      <m:oMathPara>
        <m:oMath>
          <m:r>
            <m:rPr>
              <m:sty m:val="p"/>
            </m:rPr>
            <w:rPr>
              <w:rFonts w:ascii="Cambria Math" w:hAnsi="Cambria Math"/>
            </w:rPr>
            <m:t>log⁡</m:t>
          </m:r>
          <m:r>
            <w:rPr>
              <w:rFonts w:ascii="Cambria Math" w:hAnsi="Cambria Math"/>
            </w:rPr>
            <m:t>(</m:t>
          </m:r>
          <m:r>
            <w:rPr>
              <w:rFonts w:ascii="Cambria Math" w:hAnsi="Cambria Math"/>
            </w:rPr>
            <m:t>SL</m:t>
          </m:r>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0i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1i</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447E70AB" w14:textId="5F1EDF7A" w:rsidR="00883CB2" w:rsidRDefault="0001421A" w:rsidP="007E26E9">
      <w:pPr>
        <w:rPr>
          <w:rFonts w:eastAsiaTheme="minorEastAsia"/>
        </w:rPr>
      </w:pPr>
      <w:proofErr w:type="gramStart"/>
      <w:r>
        <w:t>d</w:t>
      </w:r>
      <w:proofErr w:type="gramEnd"/>
      <w:r>
        <w:t xml:space="preserve"> correspond à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eastAsiaTheme="minorEastAsia"/>
        </w:rPr>
        <w:t>|. L’écart-type de d est estimé de la même manière.</w:t>
      </w:r>
    </w:p>
    <w:p w14:paraId="3E703E69" w14:textId="510BC6E2" w:rsidR="0001421A" w:rsidRDefault="0001421A" w:rsidP="007E26E9">
      <w:pPr>
        <w:rPr>
          <w:rFonts w:eastAsiaTheme="minorEastAsia"/>
        </w:rPr>
      </w:pPr>
      <w:r>
        <w:rPr>
          <w:rFonts w:eastAsiaTheme="minorEastAsia"/>
        </w:rPr>
        <w:t>Par conséquent :</w:t>
      </w:r>
    </w:p>
    <w:p w14:paraId="4BD9B7C6" w14:textId="6EEA3F6F" w:rsidR="0001421A" w:rsidRDefault="0001421A" w:rsidP="0001421A">
      <w:pPr>
        <w:jc w:val="center"/>
        <w:rPr>
          <w:rFonts w:eastAsiaTheme="minorEastAsia"/>
        </w:rPr>
      </w:pPr>
      <w:proofErr w:type="gramStart"/>
      <w:r>
        <w:rPr>
          <w:rFonts w:eastAsiaTheme="minorEastAsia"/>
        </w:rPr>
        <w:t>d</w:t>
      </w:r>
      <w:proofErr w:type="gramEnd"/>
      <w:r>
        <w:rPr>
          <w:rFonts w:eastAsiaTheme="minorEastAsia"/>
        </w:rPr>
        <w:t>= 0.004</w:t>
      </w:r>
    </w:p>
    <w:p w14:paraId="2B907D5C" w14:textId="60933353" w:rsidR="0001421A" w:rsidRDefault="0001421A" w:rsidP="0001421A">
      <w:pPr>
        <w:jc w:val="center"/>
        <w:rPr>
          <w:rFonts w:eastAsiaTheme="minorEastAsia"/>
        </w:rPr>
      </w:pPr>
      <w:proofErr w:type="spellStart"/>
      <w:proofErr w:type="gramStart"/>
      <w:r>
        <w:rPr>
          <w:rFonts w:eastAsiaTheme="minorEastAsia"/>
        </w:rPr>
        <w:t>d</w:t>
      </w:r>
      <w:proofErr w:type="gramEnd"/>
      <w:r>
        <w:rPr>
          <w:rFonts w:eastAsiaTheme="minorEastAsia"/>
        </w:rPr>
        <w:t>_sd</w:t>
      </w:r>
      <w:proofErr w:type="spellEnd"/>
      <w:r>
        <w:rPr>
          <w:rFonts w:eastAsiaTheme="minorEastAsia"/>
        </w:rPr>
        <w:t xml:space="preserve"> = 0.0009</w:t>
      </w:r>
    </w:p>
    <w:p w14:paraId="5E0DB5E0" w14:textId="4F073548" w:rsidR="0001421A" w:rsidRDefault="0001421A" w:rsidP="0001421A">
      <w:pPr>
        <w:rPr>
          <w:rFonts w:eastAsiaTheme="minorEastAsia"/>
        </w:rPr>
      </w:pPr>
    </w:p>
    <w:p w14:paraId="6293DC01" w14:textId="082A6108" w:rsidR="0001421A" w:rsidRDefault="0001421A" w:rsidP="0001421A">
      <w:pPr>
        <w:pStyle w:val="Titre3"/>
      </w:pPr>
      <w:r>
        <w:rPr>
          <w:rFonts w:eastAsiaTheme="minorEastAsia"/>
        </w:rPr>
        <w:t>Modèle de Stein-</w:t>
      </w:r>
      <w:proofErr w:type="spellStart"/>
      <w:r>
        <w:rPr>
          <w:rFonts w:eastAsiaTheme="minorEastAsia"/>
        </w:rPr>
        <w:t>Fojo</w:t>
      </w:r>
      <w:proofErr w:type="spellEnd"/>
    </w:p>
    <w:p w14:paraId="297F5408" w14:textId="4FC9A6DA" w:rsidR="004A35D6" w:rsidRDefault="00371147" w:rsidP="004A35D6">
      <w:pPr>
        <w:jc w:val="both"/>
      </w:pPr>
      <w:proofErr w:type="gramStart"/>
      <w:r>
        <w:t>d</w:t>
      </w:r>
      <w:proofErr w:type="gramEnd"/>
      <w:r>
        <w:t xml:space="preserve"> et g sont estimé de manière similaire que dans le modèle de Wang à l’exception près que g est contenu dans une exponentielle et le modèle linéaire mixte est adapté en conséquence. De plus,</w:t>
      </w:r>
      <w:r w:rsidR="004A35D6">
        <w:t xml:space="preserve"> le -1 dans la formule ne va influer que sur le niveau initial de SLD, il n’a donc aucun impact sur l’estimation de g et d.</w:t>
      </w:r>
    </w:p>
    <w:p w14:paraId="46C11F42" w14:textId="02F0EC48" w:rsidR="004A35D6" w:rsidRDefault="004A35D6" w:rsidP="004A35D6">
      <w:pPr>
        <w:jc w:val="both"/>
      </w:pPr>
      <w:r>
        <w:t>Par conséquent, d aura la même estimation que celui dans le modèle de Wang. Pour g, il suffit d’appliquer le même modèle linéaire mixte que pour d mais en se plaçant sur la base de données ou SLD croît.</w:t>
      </w:r>
    </w:p>
    <w:p w14:paraId="6FA528EA" w14:textId="657AC6BF" w:rsidR="004A35D6" w:rsidRDefault="004A35D6" w:rsidP="004A35D6">
      <w:pPr>
        <w:jc w:val="both"/>
      </w:pPr>
      <w:r>
        <w:t>On a donc :</w:t>
      </w:r>
    </w:p>
    <w:p w14:paraId="5951C80A" w14:textId="2CBCAEA0" w:rsidR="004A35D6" w:rsidRDefault="004A35D6" w:rsidP="004A35D6">
      <w:pPr>
        <w:jc w:val="center"/>
      </w:pPr>
      <w:proofErr w:type="gramStart"/>
      <w:r>
        <w:t>g</w:t>
      </w:r>
      <w:proofErr w:type="gramEnd"/>
      <w:r>
        <w:t xml:space="preserve"> = 0.002</w:t>
      </w:r>
    </w:p>
    <w:p w14:paraId="4C1B5D1A" w14:textId="09134CD7" w:rsidR="004A35D6" w:rsidRDefault="004A35D6" w:rsidP="004A35D6">
      <w:pPr>
        <w:jc w:val="center"/>
      </w:pPr>
      <w:proofErr w:type="spellStart"/>
      <w:proofErr w:type="gramStart"/>
      <w:r>
        <w:t>g</w:t>
      </w:r>
      <w:proofErr w:type="gramEnd"/>
      <w:r>
        <w:t>_sd</w:t>
      </w:r>
      <w:proofErr w:type="spellEnd"/>
      <w:r>
        <w:t xml:space="preserve"> = 0.0006</w:t>
      </w:r>
    </w:p>
    <w:p w14:paraId="68585448" w14:textId="31740CCA" w:rsidR="004A35D6" w:rsidRDefault="004A35D6" w:rsidP="004A35D6">
      <w:pPr>
        <w:jc w:val="center"/>
      </w:pPr>
      <w:proofErr w:type="gramStart"/>
      <w:r>
        <w:t>et</w:t>
      </w:r>
      <w:proofErr w:type="gramEnd"/>
    </w:p>
    <w:p w14:paraId="3227801A" w14:textId="4797EDEF" w:rsidR="004A35D6" w:rsidRDefault="004A35D6" w:rsidP="004A35D6">
      <w:pPr>
        <w:jc w:val="center"/>
      </w:pPr>
      <w:proofErr w:type="gramStart"/>
      <w:r>
        <w:t>d</w:t>
      </w:r>
      <w:proofErr w:type="gramEnd"/>
      <w:r>
        <w:t xml:space="preserve"> = 0.004</w:t>
      </w:r>
    </w:p>
    <w:p w14:paraId="64496ADA" w14:textId="39E4CADA" w:rsidR="004A35D6" w:rsidRDefault="004A35D6" w:rsidP="004A35D6">
      <w:pPr>
        <w:jc w:val="center"/>
      </w:pPr>
      <w:proofErr w:type="spellStart"/>
      <w:proofErr w:type="gramStart"/>
      <w:r>
        <w:t>d</w:t>
      </w:r>
      <w:proofErr w:type="gramEnd"/>
      <w:r>
        <w:t>_sd</w:t>
      </w:r>
      <w:proofErr w:type="spellEnd"/>
      <w:r>
        <w:t xml:space="preserve"> = 0.0009</w:t>
      </w:r>
    </w:p>
    <w:p w14:paraId="5090D816" w14:textId="3FF4656E" w:rsidR="004A35D6" w:rsidRDefault="000F43F1" w:rsidP="000F43F1">
      <w:pPr>
        <w:pStyle w:val="Titre3"/>
      </w:pPr>
      <w:r>
        <w:t xml:space="preserve">Modèle de </w:t>
      </w:r>
      <w:proofErr w:type="spellStart"/>
      <w:r>
        <w:t>Chatterjee</w:t>
      </w:r>
      <w:proofErr w:type="spellEnd"/>
    </w:p>
    <w:p w14:paraId="10DA8E42" w14:textId="05F2ED38" w:rsidR="0001421A" w:rsidRDefault="000F43F1" w:rsidP="00706C27">
      <w:pPr>
        <w:jc w:val="both"/>
        <w:rPr>
          <w:rFonts w:eastAsiaTheme="minorEastAsia"/>
        </w:rPr>
      </w:pPr>
      <w:r>
        <w:t xml:space="preserve">Le modèle de </w:t>
      </w:r>
      <w:proofErr w:type="spellStart"/>
      <w:r>
        <w:t>Chatterjee</w:t>
      </w:r>
      <w:proofErr w:type="spellEnd"/>
      <w:r>
        <w:t xml:space="preserve"> fait intervenir un paramètre de convexité </w:t>
      </w:r>
      <m:oMath>
        <m:r>
          <w:rPr>
            <w:rFonts w:ascii="Cambria Math" w:hAnsi="Cambria Math"/>
          </w:rPr>
          <m:t>ϕ</m:t>
        </m:r>
      </m:oMath>
      <w:r>
        <w:t xml:space="preserve">. Celui-ci représente le poids de la décroissance par rapport à la croissance. Plus </w:t>
      </w:r>
      <m:oMath>
        <m:r>
          <w:rPr>
            <w:rFonts w:ascii="Cambria Math" w:hAnsi="Cambria Math"/>
          </w:rPr>
          <m:t>ϕ</m:t>
        </m:r>
      </m:oMath>
      <w:r>
        <w:rPr>
          <w:rFonts w:eastAsiaTheme="minorEastAsia"/>
        </w:rPr>
        <w:t xml:space="preserve"> est élevé et plus la décroissance est important</w:t>
      </w:r>
      <w:r w:rsidR="00565F33">
        <w:rPr>
          <w:rFonts w:eastAsiaTheme="minorEastAsia"/>
        </w:rPr>
        <w:t>e par rapport à la croissance.</w:t>
      </w:r>
      <w:r w:rsidR="00B5256C">
        <w:rPr>
          <w:rFonts w:eastAsiaTheme="minorEastAsia"/>
        </w:rPr>
        <w:t xml:space="preserve"> Afin de mesurer l’importance de la décroissance par rapport à la </w:t>
      </w:r>
      <w:r w:rsidR="00B5256C">
        <w:rPr>
          <w:rFonts w:eastAsiaTheme="minorEastAsia"/>
        </w:rPr>
        <w:lastRenderedPageBreak/>
        <w:t>croissance, nous avons mesuré les écart-type de SLD chez les différents sujets dans les bases de données de croissance puis de décroissance puis nous en avons fait la somme.</w:t>
      </w:r>
    </w:p>
    <w:p w14:paraId="5B6A1AD2" w14:textId="02B961C1" w:rsidR="00B5256C" w:rsidRDefault="00B5256C" w:rsidP="00706C27">
      <w:pPr>
        <w:jc w:val="both"/>
        <w:rPr>
          <w:rFonts w:eastAsiaTheme="minorEastAsia"/>
        </w:rPr>
      </w:pPr>
      <w:r>
        <w:rPr>
          <w:rFonts w:eastAsiaTheme="minorEastAsia"/>
        </w:rPr>
        <w:t>Dans la base de données de croissance la moyenne d’écart-type</w:t>
      </w:r>
      <w:r w:rsidR="00A00D10">
        <w:rPr>
          <w:rFonts w:eastAsiaTheme="minorEastAsia"/>
        </w:rPr>
        <w:t xml:space="preserve"> de SLD</w:t>
      </w:r>
      <w:r>
        <w:rPr>
          <w:rFonts w:eastAsiaTheme="minorEastAsia"/>
        </w:rPr>
        <w:t xml:space="preserve"> chez les patients est de 15 tandis que dans la base de données de décroissance, ce dernier est de 24. On peut estimer </w:t>
      </w:r>
      <m:oMath>
        <m:r>
          <w:rPr>
            <w:rFonts w:ascii="Cambria Math" w:eastAsiaTheme="minorEastAsia" w:hAnsi="Cambria Math"/>
          </w:rPr>
          <m:t>ϕ</m:t>
        </m:r>
      </m:oMath>
      <w:r>
        <w:rPr>
          <w:rFonts w:eastAsiaTheme="minorEastAsia"/>
        </w:rPr>
        <w:t xml:space="preserve"> comme suit :</w:t>
      </w:r>
    </w:p>
    <w:p w14:paraId="1E106544" w14:textId="0987D617" w:rsidR="00B5256C" w:rsidRPr="00F979B6" w:rsidRDefault="00B5256C" w:rsidP="00B5256C">
      <w:pPr>
        <w:jc w:val="center"/>
        <w:rPr>
          <w:rFonts w:eastAsiaTheme="minorEastAsia"/>
        </w:rPr>
      </w:pPr>
      <m:oMathPara>
        <m:oMath>
          <m:r>
            <w:rPr>
              <w:rFonts w:ascii="Cambria Math" w:hAnsi="Cambria Math"/>
            </w:rPr>
            <m:t>ϕ=</m:t>
          </m:r>
          <m:f>
            <m:fPr>
              <m:ctrlPr>
                <w:rPr>
                  <w:rFonts w:ascii="Cambria Math" w:hAnsi="Cambria Math"/>
                  <w:i/>
                </w:rPr>
              </m:ctrlPr>
            </m:fPr>
            <m:num>
              <m:r>
                <w:rPr>
                  <w:rFonts w:ascii="Cambria Math" w:hAnsi="Cambria Math"/>
                </w:rPr>
                <m:t>24</m:t>
              </m:r>
            </m:num>
            <m:den>
              <m:r>
                <w:rPr>
                  <w:rFonts w:ascii="Cambria Math" w:hAnsi="Cambria Math"/>
                </w:rPr>
                <m:t>24+15</m:t>
              </m:r>
            </m:den>
          </m:f>
        </m:oMath>
      </m:oMathPara>
    </w:p>
    <w:p w14:paraId="3B2CECC0" w14:textId="4F8186D1" w:rsidR="00F979B6" w:rsidRDefault="00F979B6" w:rsidP="00B5256C">
      <w:pPr>
        <w:jc w:val="center"/>
      </w:pPr>
      <m:oMathPara>
        <m:oMath>
          <m:r>
            <w:rPr>
              <w:rFonts w:ascii="Cambria Math" w:hAnsi="Cambria Math"/>
            </w:rPr>
            <m:t>ϕ=0.62</m:t>
          </m:r>
        </m:oMath>
      </m:oMathPara>
    </w:p>
    <w:p w14:paraId="555D6A9D" w14:textId="21CB3CA8" w:rsidR="0001421A" w:rsidRDefault="00F979B6" w:rsidP="00706C27">
      <w:pPr>
        <w:jc w:val="both"/>
      </w:pPr>
      <w:r>
        <w:t>Les estimations de d et g sont réalisées de la même manière que pour le modèle de Stein-</w:t>
      </w:r>
      <w:proofErr w:type="spellStart"/>
      <w:r>
        <w:t>Fojo</w:t>
      </w:r>
      <w:proofErr w:type="spellEnd"/>
      <w:r w:rsidR="00A00D10">
        <w:t xml:space="preserve"> puisqu’il représente les mêmes tendances de décroissance et de croissance.</w:t>
      </w:r>
    </w:p>
    <w:p w14:paraId="0854EFBB" w14:textId="37988409" w:rsidR="005C662F" w:rsidRDefault="005C662F">
      <w:r>
        <w:t xml:space="preserve">On a donc : </w:t>
      </w:r>
    </w:p>
    <w:p w14:paraId="2EC7E703" w14:textId="77777777" w:rsidR="005C662F" w:rsidRDefault="005C662F" w:rsidP="005C662F">
      <w:pPr>
        <w:jc w:val="center"/>
      </w:pPr>
      <w:proofErr w:type="gramStart"/>
      <w:r>
        <w:t>g</w:t>
      </w:r>
      <w:proofErr w:type="gramEnd"/>
      <w:r>
        <w:t xml:space="preserve"> = 0.002</w:t>
      </w:r>
    </w:p>
    <w:p w14:paraId="45F61E14" w14:textId="77777777" w:rsidR="005C662F" w:rsidRDefault="005C662F" w:rsidP="005C662F">
      <w:pPr>
        <w:jc w:val="center"/>
      </w:pPr>
      <w:proofErr w:type="spellStart"/>
      <w:proofErr w:type="gramStart"/>
      <w:r>
        <w:t>g</w:t>
      </w:r>
      <w:proofErr w:type="gramEnd"/>
      <w:r>
        <w:t>_sd</w:t>
      </w:r>
      <w:proofErr w:type="spellEnd"/>
      <w:r>
        <w:t xml:space="preserve"> = 0.0006</w:t>
      </w:r>
    </w:p>
    <w:p w14:paraId="0DECC3C1" w14:textId="77777777" w:rsidR="005C662F" w:rsidRDefault="005C662F" w:rsidP="005C662F">
      <w:pPr>
        <w:jc w:val="center"/>
      </w:pPr>
      <w:proofErr w:type="gramStart"/>
      <w:r>
        <w:t>et</w:t>
      </w:r>
      <w:proofErr w:type="gramEnd"/>
    </w:p>
    <w:p w14:paraId="4F1E7876" w14:textId="77777777" w:rsidR="005C662F" w:rsidRDefault="005C662F" w:rsidP="005C662F">
      <w:pPr>
        <w:jc w:val="center"/>
      </w:pPr>
      <w:proofErr w:type="gramStart"/>
      <w:r>
        <w:t>d</w:t>
      </w:r>
      <w:proofErr w:type="gramEnd"/>
      <w:r>
        <w:t xml:space="preserve"> = 0.004</w:t>
      </w:r>
    </w:p>
    <w:p w14:paraId="5F002D4B" w14:textId="437DE6DC" w:rsidR="005C662F" w:rsidRDefault="005C662F" w:rsidP="005C662F">
      <w:pPr>
        <w:jc w:val="center"/>
      </w:pPr>
      <w:proofErr w:type="spellStart"/>
      <w:proofErr w:type="gramStart"/>
      <w:r>
        <w:t>d</w:t>
      </w:r>
      <w:proofErr w:type="gramEnd"/>
      <w:r>
        <w:t>_sd</w:t>
      </w:r>
      <w:proofErr w:type="spellEnd"/>
      <w:r>
        <w:t xml:space="preserve"> = 0.0009</w:t>
      </w:r>
    </w:p>
    <w:p w14:paraId="51754272" w14:textId="53A92D10" w:rsidR="001426A1" w:rsidRDefault="001426A1" w:rsidP="001426A1">
      <w:pPr>
        <w:pStyle w:val="Titre3"/>
      </w:pPr>
      <w:r>
        <w:t>Remarque</w:t>
      </w:r>
    </w:p>
    <w:p w14:paraId="1C32AFA8" w14:textId="450A8BEA" w:rsidR="001426A1" w:rsidRPr="001426A1" w:rsidRDefault="001426A1" w:rsidP="001426A1">
      <w:r>
        <w:t>Pour chacun des modèles, les estimations des paramètres sont assez proches des valeurs initiales fournies dans l’algorithme.</w:t>
      </w:r>
    </w:p>
    <w:p w14:paraId="16EDD979" w14:textId="77777777" w:rsidR="001426A1" w:rsidRDefault="001426A1" w:rsidP="001426A1"/>
    <w:p w14:paraId="710E0E61" w14:textId="77777777" w:rsidR="005C662F" w:rsidRDefault="005C662F" w:rsidP="000A4715">
      <w:pPr>
        <w:pStyle w:val="Titre3"/>
        <w:numPr>
          <w:ilvl w:val="0"/>
          <w:numId w:val="10"/>
        </w:numPr>
      </w:pPr>
    </w:p>
    <w:p w14:paraId="0F657B7A" w14:textId="04BFDE29" w:rsidR="005C662F" w:rsidRDefault="005C662F"/>
    <w:p w14:paraId="4FBA8CC2" w14:textId="277D326A" w:rsidR="000A4715" w:rsidRDefault="00F33784">
      <w:r>
        <w:t>La croissance tumorale chez les patients étant à tendance non-linéaire le modèle de Wang ne semble pas bien ajuster les données.</w:t>
      </w:r>
    </w:p>
    <w:p w14:paraId="0903DB43" w14:textId="73FF4924" w:rsidR="003937C4" w:rsidRDefault="003937C4"/>
    <w:p w14:paraId="23A5E5F0" w14:textId="77777777" w:rsidR="003937C4" w:rsidRDefault="003937C4"/>
    <w:p w14:paraId="633A8F21" w14:textId="77777777" w:rsidR="00F33784" w:rsidRDefault="00F33784" w:rsidP="003937C4">
      <w:pPr>
        <w:pStyle w:val="Titre3"/>
        <w:numPr>
          <w:ilvl w:val="0"/>
          <w:numId w:val="10"/>
        </w:numPr>
      </w:pPr>
    </w:p>
    <w:p w14:paraId="722E124F" w14:textId="777F4030" w:rsidR="0001421A" w:rsidRDefault="0001421A"/>
    <w:p w14:paraId="67CE7921" w14:textId="7709E564" w:rsidR="003937C4" w:rsidRDefault="003937C4"/>
    <w:p w14:paraId="51B21793" w14:textId="77777777" w:rsidR="003937C4" w:rsidRDefault="003937C4" w:rsidP="003937C4">
      <w:pPr>
        <w:pStyle w:val="Titre3"/>
        <w:numPr>
          <w:ilvl w:val="0"/>
          <w:numId w:val="10"/>
        </w:numPr>
      </w:pPr>
    </w:p>
    <w:p w14:paraId="08D7899F" w14:textId="4FC74D23" w:rsidR="003937C4" w:rsidRDefault="003937C4"/>
    <w:p w14:paraId="2BE71048" w14:textId="4679ED67" w:rsidR="003937C4" w:rsidRDefault="003937C4" w:rsidP="003937C4">
      <w:pPr>
        <w:jc w:val="both"/>
      </w:pPr>
      <w:r>
        <w:t xml:space="preserve">Le temps à laquelle la valeur de SLD est minimale dans le meilleur modèle est obtenu en annulant le gradient du modèle. Le modèle atteint bien un unique minimum puisque strictement convexe (somme de fonctions strictement convexes). </w:t>
      </w:r>
    </w:p>
    <w:p w14:paraId="266AC995" w14:textId="00EFD78F" w:rsidR="0001421A" w:rsidRDefault="0001421A"/>
    <w:p w14:paraId="0C2D49EA" w14:textId="40795BFE" w:rsidR="003937C4" w:rsidRDefault="003937C4"/>
    <w:p w14:paraId="0ACAF748" w14:textId="77777777" w:rsidR="003937C4" w:rsidRDefault="003937C4"/>
    <w:p w14:paraId="73F2CAD2" w14:textId="33A97770" w:rsidR="000725FF" w:rsidRPr="000725FF" w:rsidRDefault="000725FF" w:rsidP="001426A1"/>
    <w:sectPr w:rsidR="000725FF" w:rsidRPr="000725F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459E23" w14:textId="77777777" w:rsidR="00163AC8" w:rsidRDefault="00163AC8" w:rsidP="001426A1">
      <w:pPr>
        <w:spacing w:after="0" w:line="240" w:lineRule="auto"/>
      </w:pPr>
      <w:r>
        <w:separator/>
      </w:r>
    </w:p>
  </w:endnote>
  <w:endnote w:type="continuationSeparator" w:id="0">
    <w:p w14:paraId="3A2EC141" w14:textId="77777777" w:rsidR="00163AC8" w:rsidRDefault="00163AC8" w:rsidP="0014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F5D810" w14:textId="77777777" w:rsidR="00163AC8" w:rsidRDefault="00163AC8" w:rsidP="001426A1">
      <w:pPr>
        <w:spacing w:after="0" w:line="240" w:lineRule="auto"/>
      </w:pPr>
      <w:r>
        <w:separator/>
      </w:r>
    </w:p>
  </w:footnote>
  <w:footnote w:type="continuationSeparator" w:id="0">
    <w:p w14:paraId="48A7C668" w14:textId="77777777" w:rsidR="00163AC8" w:rsidRDefault="00163AC8" w:rsidP="001426A1">
      <w:pPr>
        <w:spacing w:after="0" w:line="240" w:lineRule="auto"/>
      </w:pPr>
      <w:r>
        <w:continuationSeparator/>
      </w:r>
    </w:p>
  </w:footnote>
  <w:footnote w:id="1">
    <w:p w14:paraId="641C3EAA" w14:textId="4DF7BA0E" w:rsidR="001426A1" w:rsidRPr="000725FF" w:rsidRDefault="001426A1" w:rsidP="001426A1">
      <w:r>
        <w:rPr>
          <w:rStyle w:val="Appelnotedebasdep"/>
        </w:rPr>
        <w:footnoteRef/>
      </w:r>
      <w:r>
        <w:t xml:space="preserve"> </w:t>
      </w:r>
      <w:r>
        <w:t>Recommandations niveau d’hémoglobine OMS</w:t>
      </w:r>
      <w:r>
        <w:t xml:space="preserve"> : </w:t>
      </w:r>
      <w:hyperlink r:id="rId1" w:history="1">
        <w:r w:rsidRPr="004958BB">
          <w:rPr>
            <w:rStyle w:val="Lienhypertexte"/>
          </w:rPr>
          <w:t>https://www.who.int/vmnis/indicators/haemoglobin_fr.pdf</w:t>
        </w:r>
      </w:hyperlink>
    </w:p>
    <w:p w14:paraId="50F63A2B" w14:textId="2A9CE058" w:rsidR="001426A1" w:rsidRDefault="001426A1">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B261D"/>
    <w:multiLevelType w:val="hybridMultilevel"/>
    <w:tmpl w:val="A21A6268"/>
    <w:lvl w:ilvl="0" w:tplc="E5D4A9C8">
      <w:start w:val="1"/>
      <w:numFmt w:val="decimal"/>
      <w:lvlText w:val="Question %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E634DD7"/>
    <w:multiLevelType w:val="hybridMultilevel"/>
    <w:tmpl w:val="CE4E37A0"/>
    <w:lvl w:ilvl="0" w:tplc="E5D4A9C8">
      <w:start w:val="1"/>
      <w:numFmt w:val="decimal"/>
      <w:lvlText w:val="Question %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334073F"/>
    <w:multiLevelType w:val="hybridMultilevel"/>
    <w:tmpl w:val="CF88217C"/>
    <w:lvl w:ilvl="0" w:tplc="E5D4A9C8">
      <w:start w:val="1"/>
      <w:numFmt w:val="decimal"/>
      <w:lvlText w:val="Question %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 w15:restartNumberingAfterBreak="0">
    <w:nsid w:val="3F6C5E06"/>
    <w:multiLevelType w:val="hybridMultilevel"/>
    <w:tmpl w:val="934E9B9A"/>
    <w:lvl w:ilvl="0" w:tplc="4C782EB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5D3659C"/>
    <w:multiLevelType w:val="hybridMultilevel"/>
    <w:tmpl w:val="B9A6CB5C"/>
    <w:lvl w:ilvl="0" w:tplc="E5D4A9C8">
      <w:start w:val="1"/>
      <w:numFmt w:val="decimal"/>
      <w:lvlText w:val="Question %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50132014"/>
    <w:multiLevelType w:val="hybridMultilevel"/>
    <w:tmpl w:val="93EADD80"/>
    <w:lvl w:ilvl="0" w:tplc="D87CC26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5C19782A"/>
    <w:multiLevelType w:val="hybridMultilevel"/>
    <w:tmpl w:val="BD90BAFE"/>
    <w:lvl w:ilvl="0" w:tplc="D87CC26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02F26BF"/>
    <w:multiLevelType w:val="hybridMultilevel"/>
    <w:tmpl w:val="49E2B486"/>
    <w:lvl w:ilvl="0" w:tplc="E5D4A9C8">
      <w:start w:val="1"/>
      <w:numFmt w:val="decimal"/>
      <w:lvlText w:val="Question %1"/>
      <w:lvlJc w:val="center"/>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7B14F1E"/>
    <w:multiLevelType w:val="hybridMultilevel"/>
    <w:tmpl w:val="9AAC563A"/>
    <w:lvl w:ilvl="0" w:tplc="071E871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14A636D"/>
    <w:multiLevelType w:val="hybridMultilevel"/>
    <w:tmpl w:val="2D9885C0"/>
    <w:lvl w:ilvl="0" w:tplc="BFEC4072">
      <w:start w:val="1"/>
      <w:numFmt w:val="decimal"/>
      <w:lvlText w:val="Question %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8"/>
  </w:num>
  <w:num w:numId="2">
    <w:abstractNumId w:val="3"/>
  </w:num>
  <w:num w:numId="3">
    <w:abstractNumId w:val="6"/>
  </w:num>
  <w:num w:numId="4">
    <w:abstractNumId w:val="5"/>
  </w:num>
  <w:num w:numId="5">
    <w:abstractNumId w:val="9"/>
  </w:num>
  <w:num w:numId="6">
    <w:abstractNumId w:val="2"/>
  </w:num>
  <w:num w:numId="7">
    <w:abstractNumId w:val="7"/>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D3228"/>
    <w:rsid w:val="0001421A"/>
    <w:rsid w:val="000725FF"/>
    <w:rsid w:val="000A4715"/>
    <w:rsid w:val="000E7A48"/>
    <w:rsid w:val="000F43F1"/>
    <w:rsid w:val="00113E79"/>
    <w:rsid w:val="001174E7"/>
    <w:rsid w:val="001426A1"/>
    <w:rsid w:val="00161838"/>
    <w:rsid w:val="00163AC8"/>
    <w:rsid w:val="00184EB1"/>
    <w:rsid w:val="001D4547"/>
    <w:rsid w:val="002D3228"/>
    <w:rsid w:val="00307C0B"/>
    <w:rsid w:val="00361148"/>
    <w:rsid w:val="00365217"/>
    <w:rsid w:val="00371147"/>
    <w:rsid w:val="003937C4"/>
    <w:rsid w:val="003B6B65"/>
    <w:rsid w:val="003F1D60"/>
    <w:rsid w:val="004271FC"/>
    <w:rsid w:val="004934DF"/>
    <w:rsid w:val="004A35D6"/>
    <w:rsid w:val="004B6F0D"/>
    <w:rsid w:val="004F650B"/>
    <w:rsid w:val="00565F33"/>
    <w:rsid w:val="0058020D"/>
    <w:rsid w:val="005C662F"/>
    <w:rsid w:val="006807A2"/>
    <w:rsid w:val="0068770C"/>
    <w:rsid w:val="00695508"/>
    <w:rsid w:val="006E7235"/>
    <w:rsid w:val="007012D1"/>
    <w:rsid w:val="00706C27"/>
    <w:rsid w:val="007848B6"/>
    <w:rsid w:val="007D05B0"/>
    <w:rsid w:val="007D46CB"/>
    <w:rsid w:val="007E26E9"/>
    <w:rsid w:val="00883CB2"/>
    <w:rsid w:val="009D0EAB"/>
    <w:rsid w:val="009F60F8"/>
    <w:rsid w:val="00A00D10"/>
    <w:rsid w:val="00A16738"/>
    <w:rsid w:val="00A54C3E"/>
    <w:rsid w:val="00AC6F06"/>
    <w:rsid w:val="00B5256C"/>
    <w:rsid w:val="00B77EF7"/>
    <w:rsid w:val="00C32F35"/>
    <w:rsid w:val="00C56CAE"/>
    <w:rsid w:val="00C74B36"/>
    <w:rsid w:val="00D2775A"/>
    <w:rsid w:val="00D9331C"/>
    <w:rsid w:val="00DF7885"/>
    <w:rsid w:val="00F200B5"/>
    <w:rsid w:val="00F33784"/>
    <w:rsid w:val="00F33C10"/>
    <w:rsid w:val="00F3443B"/>
    <w:rsid w:val="00F8791D"/>
    <w:rsid w:val="00F979B6"/>
    <w:rsid w:val="00FC3C7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754AA"/>
  <w15:docId w15:val="{39B55D7E-C85B-43BB-BE76-2E1C4435C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F650B"/>
    <w:pPr>
      <w:keepNext/>
      <w:keepLines/>
      <w:spacing w:before="240" w:after="0"/>
      <w:outlineLvl w:val="0"/>
    </w:pPr>
    <w:rPr>
      <w:rFonts w:asciiTheme="majorHAnsi" w:eastAsiaTheme="majorEastAsia" w:hAnsiTheme="majorHAnsi" w:cstheme="majorBidi"/>
      <w:color w:val="2F5496" w:themeColor="accent1" w:themeShade="BF"/>
      <w:sz w:val="32"/>
      <w:szCs w:val="32"/>
      <w:u w:val="single"/>
    </w:rPr>
  </w:style>
  <w:style w:type="paragraph" w:styleId="Titre2">
    <w:name w:val="heading 2"/>
    <w:basedOn w:val="Normal"/>
    <w:next w:val="Normal"/>
    <w:link w:val="Titre2Car"/>
    <w:uiPriority w:val="9"/>
    <w:unhideWhenUsed/>
    <w:qFormat/>
    <w:rsid w:val="004F650B"/>
    <w:pPr>
      <w:keepNext/>
      <w:keepLines/>
      <w:spacing w:before="40" w:after="0"/>
      <w:outlineLvl w:val="1"/>
    </w:pPr>
    <w:rPr>
      <w:rFonts w:asciiTheme="majorHAnsi" w:eastAsiaTheme="majorEastAsia" w:hAnsiTheme="majorHAnsi" w:cstheme="majorBidi"/>
      <w:color w:val="2F5496" w:themeColor="accent1" w:themeShade="BF"/>
      <w:sz w:val="26"/>
      <w:szCs w:val="26"/>
      <w:u w:val="single"/>
    </w:rPr>
  </w:style>
  <w:style w:type="paragraph" w:styleId="Titre3">
    <w:name w:val="heading 3"/>
    <w:basedOn w:val="Normal"/>
    <w:next w:val="Normal"/>
    <w:link w:val="Titre3Car"/>
    <w:uiPriority w:val="9"/>
    <w:unhideWhenUsed/>
    <w:qFormat/>
    <w:rsid w:val="00C74B3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2D322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D322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D3228"/>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2D3228"/>
    <w:rPr>
      <w:rFonts w:eastAsiaTheme="minorEastAsia"/>
      <w:color w:val="5A5A5A" w:themeColor="text1" w:themeTint="A5"/>
      <w:spacing w:val="15"/>
    </w:rPr>
  </w:style>
  <w:style w:type="character" w:customStyle="1" w:styleId="Titre1Car">
    <w:name w:val="Titre 1 Car"/>
    <w:basedOn w:val="Policepardfaut"/>
    <w:link w:val="Titre1"/>
    <w:uiPriority w:val="9"/>
    <w:rsid w:val="004F650B"/>
    <w:rPr>
      <w:rFonts w:asciiTheme="majorHAnsi" w:eastAsiaTheme="majorEastAsia" w:hAnsiTheme="majorHAnsi" w:cstheme="majorBidi"/>
      <w:color w:val="2F5496" w:themeColor="accent1" w:themeShade="BF"/>
      <w:sz w:val="32"/>
      <w:szCs w:val="32"/>
      <w:u w:val="single"/>
    </w:rPr>
  </w:style>
  <w:style w:type="character" w:customStyle="1" w:styleId="Titre2Car">
    <w:name w:val="Titre 2 Car"/>
    <w:basedOn w:val="Policepardfaut"/>
    <w:link w:val="Titre2"/>
    <w:uiPriority w:val="9"/>
    <w:rsid w:val="004F650B"/>
    <w:rPr>
      <w:rFonts w:asciiTheme="majorHAnsi" w:eastAsiaTheme="majorEastAsia" w:hAnsiTheme="majorHAnsi" w:cstheme="majorBidi"/>
      <w:color w:val="2F5496" w:themeColor="accent1" w:themeShade="BF"/>
      <w:sz w:val="26"/>
      <w:szCs w:val="26"/>
      <w:u w:val="single"/>
    </w:rPr>
  </w:style>
  <w:style w:type="character" w:customStyle="1" w:styleId="Titre3Car">
    <w:name w:val="Titre 3 Car"/>
    <w:basedOn w:val="Policepardfaut"/>
    <w:link w:val="Titre3"/>
    <w:uiPriority w:val="9"/>
    <w:rsid w:val="00C74B36"/>
    <w:rPr>
      <w:rFonts w:asciiTheme="majorHAnsi" w:eastAsiaTheme="majorEastAsia" w:hAnsiTheme="majorHAnsi" w:cstheme="majorBidi"/>
      <w:color w:val="1F3763" w:themeColor="accent1" w:themeShade="7F"/>
      <w:sz w:val="24"/>
      <w:szCs w:val="24"/>
    </w:rPr>
  </w:style>
  <w:style w:type="paragraph" w:styleId="Paragraphedeliste">
    <w:name w:val="List Paragraph"/>
    <w:basedOn w:val="Normal"/>
    <w:uiPriority w:val="34"/>
    <w:qFormat/>
    <w:rsid w:val="000725FF"/>
    <w:pPr>
      <w:ind w:left="720"/>
      <w:contextualSpacing/>
    </w:pPr>
  </w:style>
  <w:style w:type="character" w:styleId="Lienhypertexte">
    <w:name w:val="Hyperlink"/>
    <w:basedOn w:val="Policepardfaut"/>
    <w:uiPriority w:val="99"/>
    <w:unhideWhenUsed/>
    <w:rsid w:val="000725FF"/>
    <w:rPr>
      <w:color w:val="0563C1" w:themeColor="hyperlink"/>
      <w:u w:val="single"/>
    </w:rPr>
  </w:style>
  <w:style w:type="character" w:styleId="Lienhypertextesuivivisit">
    <w:name w:val="FollowedHyperlink"/>
    <w:basedOn w:val="Policepardfaut"/>
    <w:uiPriority w:val="99"/>
    <w:semiHidden/>
    <w:unhideWhenUsed/>
    <w:rsid w:val="000725FF"/>
    <w:rPr>
      <w:color w:val="954F72" w:themeColor="followedHyperlink"/>
      <w:u w:val="single"/>
    </w:rPr>
  </w:style>
  <w:style w:type="character" w:styleId="Textedelespacerserv">
    <w:name w:val="Placeholder Text"/>
    <w:basedOn w:val="Policepardfaut"/>
    <w:uiPriority w:val="99"/>
    <w:semiHidden/>
    <w:rsid w:val="00161838"/>
    <w:rPr>
      <w:color w:val="808080"/>
    </w:rPr>
  </w:style>
  <w:style w:type="paragraph" w:styleId="Notedebasdepage">
    <w:name w:val="footnote text"/>
    <w:basedOn w:val="Normal"/>
    <w:link w:val="NotedebasdepageCar"/>
    <w:uiPriority w:val="99"/>
    <w:semiHidden/>
    <w:unhideWhenUsed/>
    <w:rsid w:val="001426A1"/>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1426A1"/>
    <w:rPr>
      <w:sz w:val="20"/>
      <w:szCs w:val="20"/>
    </w:rPr>
  </w:style>
  <w:style w:type="character" w:styleId="Appelnotedebasdep">
    <w:name w:val="footnote reference"/>
    <w:basedOn w:val="Policepardfaut"/>
    <w:uiPriority w:val="99"/>
    <w:semiHidden/>
    <w:unhideWhenUsed/>
    <w:rsid w:val="001426A1"/>
    <w:rPr>
      <w:vertAlign w:val="superscript"/>
    </w:rPr>
  </w:style>
  <w:style w:type="character" w:styleId="Mentionnonrsolue">
    <w:name w:val="Unresolved Mention"/>
    <w:basedOn w:val="Policepardfaut"/>
    <w:uiPriority w:val="99"/>
    <w:semiHidden/>
    <w:unhideWhenUsed/>
    <w:rsid w:val="001426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who.int/vmnis/indicators/haemoglobin_fr.pdf"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46761E-AB73-4610-987B-6848A1A195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5</Pages>
  <Words>762</Words>
  <Characters>4194</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Dupont Vivien</dc:creator>
  <cp:lastModifiedBy>Dupont Vivien</cp:lastModifiedBy>
  <cp:revision>27</cp:revision>
  <dcterms:created xsi:type="dcterms:W3CDTF">2021-12-06T17:15:00Z</dcterms:created>
  <dcterms:modified xsi:type="dcterms:W3CDTF">2021-12-21T18:24:00Z</dcterms:modified>
</cp:coreProperties>
</file>