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4C9E" w14:textId="34E5E195" w:rsidR="002D3228" w:rsidRDefault="002D3228" w:rsidP="002D3228">
      <w:pPr>
        <w:pStyle w:val="Titre"/>
      </w:pPr>
      <w:r>
        <w:t>Projet Pharmacométrie</w:t>
      </w:r>
    </w:p>
    <w:p w14:paraId="6B726CA5" w14:textId="13A9F8F7" w:rsidR="002D3228" w:rsidRDefault="002D3228" w:rsidP="006E7235">
      <w:pPr>
        <w:pStyle w:val="Sous-titre"/>
      </w:pPr>
      <w:r>
        <w:t>Vivien DUPONT – Maxime BEAULIEU</w:t>
      </w:r>
    </w:p>
    <w:p w14:paraId="7AC0CD7B" w14:textId="5197D8E6" w:rsidR="00F319EE" w:rsidRDefault="00F319EE" w:rsidP="00F319EE"/>
    <w:p w14:paraId="4968DB14" w14:textId="3006964E" w:rsidR="00F319EE" w:rsidRPr="00F319EE" w:rsidRDefault="00F319EE" w:rsidP="00F319EE">
      <w:r>
        <w:t xml:space="preserve">L’ensemble des analyses et de la programmation est disponible au lien suivant : </w:t>
      </w:r>
      <w:hyperlink r:id="rId8" w:history="1">
        <w:r w:rsidRPr="00F319EE">
          <w:rPr>
            <w:rStyle w:val="Lienhypertexte"/>
          </w:rPr>
          <w:t>Mait</w:t>
        </w:r>
        <w:r w:rsidRPr="00F319EE">
          <w:rPr>
            <w:rStyle w:val="Lienhypertexte"/>
          </w:rPr>
          <w:t>r</w:t>
        </w:r>
        <w:r w:rsidRPr="00F319EE">
          <w:rPr>
            <w:rStyle w:val="Lienhypertexte"/>
          </w:rPr>
          <w:t>e-Vivi1/Pharmaco (github.com)</w:t>
        </w:r>
      </w:hyperlink>
    </w:p>
    <w:p w14:paraId="60B0C93B" w14:textId="47338637" w:rsidR="004F650B" w:rsidRDefault="004F650B" w:rsidP="004F650B">
      <w:pPr>
        <w:pStyle w:val="Titre1"/>
        <w:numPr>
          <w:ilvl w:val="0"/>
          <w:numId w:val="4"/>
        </w:numPr>
      </w:pPr>
      <w:r>
        <w:t>Modélisation de la dynamique tumorale</w:t>
      </w:r>
    </w:p>
    <w:p w14:paraId="1EB0CF90" w14:textId="77777777" w:rsidR="003F1D60" w:rsidRPr="003F1D60" w:rsidRDefault="003F1D60" w:rsidP="003F1D60"/>
    <w:p w14:paraId="7A2BB698" w14:textId="77777777" w:rsidR="00C56CAE" w:rsidRDefault="00C56CAE" w:rsidP="00C56CAE">
      <w:pPr>
        <w:pStyle w:val="Titre2"/>
        <w:numPr>
          <w:ilvl w:val="0"/>
          <w:numId w:val="10"/>
        </w:numPr>
      </w:pPr>
    </w:p>
    <w:p w14:paraId="1859C6FD" w14:textId="77777777" w:rsidR="003F1D60" w:rsidRDefault="003F1D60" w:rsidP="00C56CAE">
      <w:pPr>
        <w:pStyle w:val="Titre3"/>
      </w:pPr>
    </w:p>
    <w:p w14:paraId="221BAE8C" w14:textId="30A43ABF" w:rsidR="003F1D60" w:rsidRPr="003F1D60" w:rsidRDefault="00C56CAE" w:rsidP="00184EB1">
      <w:pPr>
        <w:pStyle w:val="Titre3"/>
      </w:pPr>
      <w:r>
        <w:t>Mesures</w:t>
      </w:r>
    </w:p>
    <w:p w14:paraId="3AE86E00" w14:textId="58DF54A7" w:rsidR="004F650B" w:rsidRDefault="00F200B5" w:rsidP="00113E79">
      <w:pPr>
        <w:jc w:val="both"/>
      </w:pPr>
      <w:r>
        <w:t xml:space="preserve">49 patients ont participé à l’étude. Les patients ont en moyenne effectué 2.7 scanners. Le temps </w:t>
      </w:r>
      <w:r w:rsidR="007848B6">
        <w:t xml:space="preserve">médian de suivi est de 67 jours. </w:t>
      </w:r>
      <w:r w:rsidR="00C56CAE">
        <w:t>15 patients n’ont effectué qu’un seul scanner</w:t>
      </w:r>
      <w:r w:rsidR="007848B6">
        <w:t xml:space="preserve">. </w:t>
      </w:r>
      <w:r w:rsidR="00113E79">
        <w:t>Deux patients n’ont pas effectué un scanner initial</w:t>
      </w:r>
      <w:r w:rsidR="007848B6">
        <w:t xml:space="preserve"> </w:t>
      </w:r>
      <w:r w:rsidR="00113E79">
        <w:t>(en t=0).</w:t>
      </w:r>
      <w:r w:rsidR="004B6F0D">
        <w:t xml:space="preserve"> Les patients ont en moyenne reçu 6 doses de </w:t>
      </w:r>
      <w:r w:rsidR="007D46CB">
        <w:t>médicament</w:t>
      </w:r>
      <w:r w:rsidR="004B6F0D">
        <w:t xml:space="preserve"> entre le premier scanner et le dernier.</w:t>
      </w:r>
    </w:p>
    <w:p w14:paraId="51976A74" w14:textId="1B03E311" w:rsidR="00C74B36" w:rsidRDefault="00C74B36" w:rsidP="00C74B36">
      <w:pPr>
        <w:pStyle w:val="Titre3"/>
      </w:pPr>
      <w:r>
        <w:t>Âge</w:t>
      </w:r>
    </w:p>
    <w:p w14:paraId="3E37BC33" w14:textId="6E963C6F" w:rsidR="007E26E9" w:rsidRDefault="004B6F0D" w:rsidP="001D4547">
      <w:pPr>
        <w:jc w:val="both"/>
      </w:pPr>
      <w:r>
        <w:t>En moyenne, les patients ont entre 45 et 83 ans (66 ans en moyenne</w:t>
      </w:r>
      <w:r w:rsidR="007D46CB">
        <w:t xml:space="preserve"> et 9.5 ans d’écart-type</w:t>
      </w:r>
      <w:r>
        <w:t>)</w:t>
      </w:r>
      <w:r w:rsidR="007D46CB">
        <w:t xml:space="preserve">. </w:t>
      </w:r>
    </w:p>
    <w:p w14:paraId="5083D615" w14:textId="29DB5A7D" w:rsidR="003F1D60" w:rsidRPr="003F1D60" w:rsidRDefault="009D0EAB" w:rsidP="00184EB1">
      <w:pPr>
        <w:pStyle w:val="Titre3"/>
      </w:pPr>
      <w:r>
        <w:t>Hémoglobine</w:t>
      </w:r>
    </w:p>
    <w:p w14:paraId="407BD285" w14:textId="300083AF" w:rsidR="007D05B0" w:rsidRDefault="007D46CB" w:rsidP="001D4547">
      <w:pPr>
        <w:jc w:val="both"/>
      </w:pPr>
      <w:r>
        <w:t>En moyenne, les patients ont une hémoglobine de 121 g/l (de 88 au minimum jusque 156 et 17.8 en écart-type).</w:t>
      </w:r>
    </w:p>
    <w:p w14:paraId="13E83750" w14:textId="4C075936" w:rsidR="000725FF" w:rsidRDefault="00A16738" w:rsidP="001D4547">
      <w:pPr>
        <w:jc w:val="both"/>
      </w:pPr>
      <w:r>
        <w:t>Les</w:t>
      </w:r>
      <w:r w:rsidR="000725FF">
        <w:t xml:space="preserve"> valeurs d’hémoglobines </w:t>
      </w:r>
      <w:r w:rsidR="00307C0B">
        <w:t xml:space="preserve">sont </w:t>
      </w:r>
      <w:r w:rsidR="000725FF">
        <w:t>plutôt faibles car si l’on regarde les recommandations de l’OMS</w:t>
      </w:r>
      <w:r w:rsidR="001426A1">
        <w:rPr>
          <w:rStyle w:val="Appelnotedebasdep"/>
        </w:rPr>
        <w:footnoteReference w:id="1"/>
      </w:r>
      <w:r w:rsidR="000725FF">
        <w:t xml:space="preserve"> nous avons : </w:t>
      </w:r>
    </w:p>
    <w:p w14:paraId="64325594" w14:textId="2789E4BD" w:rsidR="000725FF" w:rsidRDefault="000725FF" w:rsidP="001D4547">
      <w:pPr>
        <w:pStyle w:val="Paragraphedeliste"/>
        <w:numPr>
          <w:ilvl w:val="0"/>
          <w:numId w:val="1"/>
        </w:numPr>
        <w:jc w:val="both"/>
      </w:pPr>
      <w:r>
        <w:t>Femmes qui ne sont pas enceintes (à partir de 15 ans) : 120 g/l ou plus</w:t>
      </w:r>
    </w:p>
    <w:p w14:paraId="2B572028" w14:textId="4346C5E4" w:rsidR="00365217" w:rsidRDefault="000725FF" w:rsidP="001D4547">
      <w:pPr>
        <w:pStyle w:val="Paragraphedeliste"/>
        <w:numPr>
          <w:ilvl w:val="0"/>
          <w:numId w:val="1"/>
        </w:numPr>
        <w:jc w:val="both"/>
      </w:pPr>
      <w:r>
        <w:t>Hommes (à partir de 15 ans) : 130 g/l ou plus</w:t>
      </w:r>
    </w:p>
    <w:p w14:paraId="7D0C3998" w14:textId="72FB7EC4" w:rsidR="007D05B0" w:rsidRDefault="007D05B0" w:rsidP="007D05B0">
      <w:pPr>
        <w:pStyle w:val="Titre3"/>
      </w:pPr>
      <w:r>
        <w:t>Métastases</w:t>
      </w:r>
    </w:p>
    <w:p w14:paraId="48795C32" w14:textId="140C6F03" w:rsidR="00365217" w:rsidRDefault="00365217" w:rsidP="001D4547">
      <w:pPr>
        <w:jc w:val="both"/>
      </w:pPr>
      <w:r>
        <w:t>11 patients</w:t>
      </w:r>
      <w:r w:rsidR="00B77EF7">
        <w:t xml:space="preserve"> sur 49 souffrent de</w:t>
      </w:r>
      <w:r>
        <w:t xml:space="preserve"> métastases au foie</w:t>
      </w:r>
      <w:r w:rsidR="004271FC">
        <w:t>.</w:t>
      </w:r>
    </w:p>
    <w:p w14:paraId="3C0B82DB" w14:textId="5D58D36D" w:rsidR="003F1D60" w:rsidRDefault="003F1D60" w:rsidP="003F1D60">
      <w:pPr>
        <w:pStyle w:val="Titre3"/>
      </w:pPr>
      <w:r>
        <w:t>Sexe</w:t>
      </w:r>
    </w:p>
    <w:p w14:paraId="33B3E739" w14:textId="4E0B7744" w:rsidR="003F1D60" w:rsidRDefault="003F1D60" w:rsidP="003F1D60">
      <w:r>
        <w:t>Le sexe des patients est absent de la base de données. Ce choix est dommageable pour la qualité de la modélisation.</w:t>
      </w:r>
    </w:p>
    <w:p w14:paraId="28EB4193" w14:textId="77777777" w:rsidR="003F1D60" w:rsidRDefault="003F1D60" w:rsidP="003F1D60"/>
    <w:p w14:paraId="3E9972D9" w14:textId="77777777" w:rsidR="003F1D60" w:rsidRDefault="003F1D60">
      <w:r>
        <w:br w:type="page"/>
      </w:r>
    </w:p>
    <w:p w14:paraId="26C179EC" w14:textId="329A733F" w:rsidR="007E26E9" w:rsidRDefault="006E7235" w:rsidP="007E26E9">
      <w:pPr>
        <w:pStyle w:val="Titre3"/>
      </w:pPr>
      <w:r>
        <w:lastRenderedPageBreak/>
        <w:t>Représentation graphique</w:t>
      </w:r>
    </w:p>
    <w:p w14:paraId="6A441625" w14:textId="51C31EAC" w:rsidR="006E7235" w:rsidRPr="006E7235" w:rsidRDefault="006E7235" w:rsidP="006E7235"/>
    <w:p w14:paraId="2D93E412" w14:textId="01009958" w:rsidR="00F33C10" w:rsidRDefault="006E7235" w:rsidP="006E7235">
      <w:pPr>
        <w:jc w:val="center"/>
      </w:pPr>
      <w:r>
        <w:rPr>
          <w:noProof/>
        </w:rPr>
        <w:drawing>
          <wp:inline distT="0" distB="0" distL="0" distR="0" wp14:anchorId="0F0786D6" wp14:editId="2ECC6642">
            <wp:extent cx="5124450" cy="3366592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82" cy="33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4541" w14:textId="56F65ADF" w:rsidR="00F33C10" w:rsidRDefault="006E7235" w:rsidP="003F1D60">
      <w:pPr>
        <w:jc w:val="both"/>
      </w:pPr>
      <w:r>
        <w:t xml:space="preserve">La somme des diamètres des tumeurs semble dans un premier temps décroître chez beaucoup </w:t>
      </w:r>
      <w:r w:rsidR="003F1D60">
        <w:t>de patients</w:t>
      </w:r>
      <w:r>
        <w:t xml:space="preserve"> puis recroît pass</w:t>
      </w:r>
      <w:r w:rsidR="003F1D60">
        <w:t>é</w:t>
      </w:r>
      <w:r>
        <w:t xml:space="preserve"> un certain seuil. Les dynamiques de croissance et de décroissance ne semblent pas linéaires.</w:t>
      </w:r>
      <w:r w:rsidR="003F1D60">
        <w:t xml:space="preserve"> Un minimum de SLD est atteint entre 50 et 200 jours chez la plupart des patients.</w:t>
      </w:r>
    </w:p>
    <w:p w14:paraId="0A4D6869" w14:textId="56AB44CE" w:rsidR="003F1D60" w:rsidRDefault="003F1D60" w:rsidP="003F1D60">
      <w:pPr>
        <w:jc w:val="both"/>
      </w:pPr>
    </w:p>
    <w:p w14:paraId="037B89AD" w14:textId="77777777" w:rsidR="003F1D60" w:rsidRDefault="003F1D60" w:rsidP="003F1D60">
      <w:pPr>
        <w:pStyle w:val="Titre2"/>
        <w:numPr>
          <w:ilvl w:val="0"/>
          <w:numId w:val="10"/>
        </w:numPr>
      </w:pPr>
    </w:p>
    <w:p w14:paraId="4A6F4C69" w14:textId="40A67097" w:rsidR="00184EB1" w:rsidRDefault="00184EB1" w:rsidP="00184EB1">
      <w:pPr>
        <w:pStyle w:val="Titre3"/>
      </w:pPr>
    </w:p>
    <w:p w14:paraId="4C3A2FDD" w14:textId="449D3354" w:rsidR="001426A1" w:rsidRDefault="001426A1" w:rsidP="001426A1">
      <w:pPr>
        <w:jc w:val="both"/>
      </w:pPr>
      <w:r>
        <w:t>Aucunes données dans la littérature -- à notre connaissance -- ne permettent d’estimer un des paramètres du modèle. Dans le cas contraire, on aurait pu se servir de ces valeurs.</w:t>
      </w:r>
    </w:p>
    <w:p w14:paraId="2ECE0717" w14:textId="77777777" w:rsidR="001426A1" w:rsidRPr="001426A1" w:rsidRDefault="001426A1" w:rsidP="001426A1"/>
    <w:p w14:paraId="4D5C2874" w14:textId="12AAD95C" w:rsidR="00184EB1" w:rsidRDefault="00184EB1" w:rsidP="00184EB1">
      <w:pPr>
        <w:pStyle w:val="Titre3"/>
      </w:pPr>
      <w:r>
        <w:t>Estimation de BSLD</w:t>
      </w:r>
    </w:p>
    <w:p w14:paraId="11A717EB" w14:textId="77777777" w:rsidR="00184EB1" w:rsidRDefault="00184EB1" w:rsidP="007012D1">
      <w:pPr>
        <w:jc w:val="both"/>
      </w:pPr>
      <w:r>
        <w:t>BSLD est le niveau de SLD au premier jour d’inclusion. BSLD peut alors être estimé comme la moyenne de SLD au temps 0. L’écart-type de BSLD peut également être estimé de cette manière.</w:t>
      </w:r>
    </w:p>
    <w:p w14:paraId="6C4CCD6E" w14:textId="77777777" w:rsidR="00184EB1" w:rsidRDefault="00184EB1" w:rsidP="007012D1">
      <w:pPr>
        <w:jc w:val="both"/>
      </w:pPr>
      <w:r>
        <w:t>Ainsi :</w:t>
      </w:r>
    </w:p>
    <w:p w14:paraId="11999CEF" w14:textId="5B1503FC" w:rsidR="00184EB1" w:rsidRDefault="00184EB1" w:rsidP="00184EB1">
      <w:pPr>
        <w:jc w:val="center"/>
      </w:pPr>
      <w:r>
        <w:t>BSLD = 74</w:t>
      </w:r>
    </w:p>
    <w:p w14:paraId="3C87C836" w14:textId="541D0DDB" w:rsidR="00161838" w:rsidRPr="00184EB1" w:rsidRDefault="00184EB1" w:rsidP="00161838">
      <w:pPr>
        <w:jc w:val="center"/>
      </w:pPr>
      <w:proofErr w:type="spellStart"/>
      <w:r>
        <w:t>BSLD_sd</w:t>
      </w:r>
      <w:proofErr w:type="spellEnd"/>
      <w:r>
        <w:t xml:space="preserve"> = 50</w:t>
      </w:r>
    </w:p>
    <w:p w14:paraId="1242BE7C" w14:textId="6C747311" w:rsidR="003F1D60" w:rsidRDefault="00184EB1" w:rsidP="00184EB1">
      <w:pPr>
        <w:pStyle w:val="Titre3"/>
      </w:pPr>
      <w:r>
        <w:t>Modèle de Wang</w:t>
      </w:r>
    </w:p>
    <w:p w14:paraId="57E7A366" w14:textId="20399522" w:rsidR="00184EB1" w:rsidRDefault="00184EB1" w:rsidP="003B6B65">
      <w:pPr>
        <w:jc w:val="both"/>
      </w:pPr>
      <w:r>
        <w:t xml:space="preserve">Le modèle de Wang décrit une dynamique de décroissance exponentielle et une dynamique de croissance linéaire en fonction du temps. </w:t>
      </w:r>
    </w:p>
    <w:p w14:paraId="5C1AFE36" w14:textId="7AB37221" w:rsidR="00AC6F06" w:rsidRDefault="00AC6F06" w:rsidP="003B6B65">
      <w:pPr>
        <w:jc w:val="both"/>
      </w:pPr>
      <w:r>
        <w:t>Afin d’estimer g et d, il faut séparer la base de données en deux : une partie contenant le</w:t>
      </w:r>
      <w:r w:rsidR="00C32F35">
        <w:t>s observations ou SLD croit et une autre partie ou SLD décroit.</w:t>
      </w:r>
    </w:p>
    <w:p w14:paraId="33B54210" w14:textId="4890647C" w:rsidR="00184EB1" w:rsidRDefault="00AC6F06" w:rsidP="003B6B65">
      <w:pPr>
        <w:jc w:val="both"/>
      </w:pPr>
      <w:r>
        <w:lastRenderedPageBreak/>
        <w:t>Ainsi l</w:t>
      </w:r>
      <w:r w:rsidR="00184EB1">
        <w:t>’estimation</w:t>
      </w:r>
      <w:r w:rsidR="00161838">
        <w:t xml:space="preserve"> de </w:t>
      </w:r>
      <w:r w:rsidR="004934DF">
        <w:t>g</w:t>
      </w:r>
      <w:r w:rsidR="00161838">
        <w:t xml:space="preserve"> peut se réaliser en réalisant le modèle linéaire mixte suivant </w:t>
      </w:r>
      <w:r w:rsidR="00C32F35">
        <w:t xml:space="preserve">dans la base de données ou SLD est en croissance </w:t>
      </w:r>
      <w:r w:rsidR="00161838">
        <w:t>:</w:t>
      </w:r>
    </w:p>
    <w:p w14:paraId="71ADD1C3" w14:textId="71C42156" w:rsidR="00161838" w:rsidRPr="00184EB1" w:rsidRDefault="00161838" w:rsidP="00161838">
      <w:pPr>
        <w:jc w:val="center"/>
      </w:pPr>
      <m:oMathPara>
        <m:oMath>
          <m:r>
            <w:rPr>
              <w:rFonts w:ascii="Cambria Math" w:hAnsi="Cambria Math"/>
            </w:rPr>
            <m:t>SL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13D1E46" w14:textId="7D5B3FC4" w:rsidR="000725FF" w:rsidRDefault="00161838" w:rsidP="003B6B65">
      <w:pPr>
        <w:jc w:val="both"/>
        <w:rPr>
          <w:rFonts w:eastAsiaTheme="minorEastAsia"/>
        </w:rPr>
      </w:pPr>
      <w:r>
        <w:t xml:space="preserve">Où </w:t>
      </w:r>
      <m:oMath>
        <m:r>
          <w:rPr>
            <w:rFonts w:ascii="Cambria Math" w:hAnsi="Cambria Math"/>
          </w:rPr>
          <m:t>SL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est l’observation de SLD de l’individu i au temps j</w:t>
      </w:r>
      <w:r w:rsidR="00AC6F06">
        <w:rPr>
          <w:rFonts w:eastAsiaTheme="minorEastAsia"/>
        </w:rPr>
        <w:t xml:space="preserve">. </w:t>
      </w:r>
    </w:p>
    <w:p w14:paraId="30AA2DCD" w14:textId="5941F5BE" w:rsidR="00C32F35" w:rsidRDefault="004934DF" w:rsidP="003B6B65">
      <w:pPr>
        <w:jc w:val="both"/>
        <w:rPr>
          <w:rFonts w:eastAsiaTheme="minorEastAsia"/>
        </w:rPr>
      </w:pPr>
      <w:r>
        <w:rPr>
          <w:rFonts w:eastAsiaTheme="minorEastAsia"/>
        </w:rPr>
        <w:t>g</w:t>
      </w:r>
      <w:r w:rsidR="00C32F35">
        <w:rPr>
          <w:rFonts w:eastAsiaTheme="minorEastAsia"/>
        </w:rPr>
        <w:t xml:space="preserve"> </w:t>
      </w:r>
      <w:r>
        <w:rPr>
          <w:rFonts w:eastAsiaTheme="minorEastAsia"/>
        </w:rPr>
        <w:t>correspond</w:t>
      </w:r>
      <w:r w:rsidR="00C32F35">
        <w:rPr>
          <w:rFonts w:eastAsiaTheme="minorEastAsia"/>
        </w:rPr>
        <w:t xml:space="preserve"> alors à l’estimation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32F35">
        <w:rPr>
          <w:rFonts w:eastAsiaTheme="minorEastAsia"/>
        </w:rPr>
        <w:t xml:space="preserve">. L’écart-type de g correspond à l’écart-type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32F35">
        <w:rPr>
          <w:rFonts w:eastAsiaTheme="minorEastAsia"/>
        </w:rPr>
        <w:t>.</w:t>
      </w:r>
    </w:p>
    <w:p w14:paraId="663E6AF7" w14:textId="4F25BEEB" w:rsidR="00C32F35" w:rsidRDefault="00C32F35" w:rsidP="007E26E9">
      <w:pPr>
        <w:rPr>
          <w:rFonts w:eastAsiaTheme="minorEastAsia"/>
        </w:rPr>
      </w:pPr>
      <w:r>
        <w:rPr>
          <w:rFonts w:eastAsiaTheme="minorEastAsia"/>
        </w:rPr>
        <w:t>Par conséquent :</w:t>
      </w:r>
    </w:p>
    <w:p w14:paraId="761A2B37" w14:textId="7A398EE3" w:rsidR="00C32F35" w:rsidRPr="004934DF" w:rsidRDefault="00287757" w:rsidP="00C32F35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g_Wang</w:t>
      </w:r>
      <w:proofErr w:type="spellEnd"/>
      <w:r w:rsidR="003B6B65">
        <w:rPr>
          <w:rFonts w:eastAsiaTheme="minorEastAsia"/>
        </w:rPr>
        <w:t xml:space="preserve"> = 0.09</w:t>
      </w:r>
    </w:p>
    <w:p w14:paraId="219EC129" w14:textId="52CA9927" w:rsidR="004934DF" w:rsidRDefault="004934DF" w:rsidP="00C32F35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g_sd</w:t>
      </w:r>
      <w:r w:rsidR="00287757">
        <w:rPr>
          <w:rFonts w:eastAsiaTheme="minorEastAsia"/>
        </w:rPr>
        <w:t>_Wang</w:t>
      </w:r>
      <w:proofErr w:type="spellEnd"/>
      <w:r>
        <w:rPr>
          <w:rFonts w:eastAsiaTheme="minorEastAsia"/>
        </w:rPr>
        <w:t xml:space="preserve"> = 0.05</w:t>
      </w:r>
    </w:p>
    <w:p w14:paraId="02660E27" w14:textId="2F6FB316" w:rsidR="00AC6F06" w:rsidRDefault="004934DF" w:rsidP="003B6B65">
      <w:pPr>
        <w:jc w:val="both"/>
      </w:pPr>
      <w:r>
        <w:t xml:space="preserve">L’estimation de d se réalise grâce à la base de données dans laquelle </w:t>
      </w:r>
      <w:r w:rsidR="00883CB2">
        <w:t>SLD décroît.</w:t>
      </w:r>
      <w:r w:rsidR="003B6B65">
        <w:t xml:space="preserve"> On transforme la variable SLD en log afin de recouvrir le coefficient d. On ajuste le modèle linéaire mixte suivant :</w:t>
      </w:r>
    </w:p>
    <w:p w14:paraId="6B3614A1" w14:textId="77777777" w:rsidR="003B6B65" w:rsidRDefault="003B6B65" w:rsidP="007E26E9"/>
    <w:p w14:paraId="34ECAF5A" w14:textId="1AF5105B" w:rsidR="003B6B65" w:rsidRPr="00184EB1" w:rsidRDefault="003B6B65" w:rsidP="003B6B6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(SL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47E70AB" w14:textId="5F1EDF7A" w:rsidR="00883CB2" w:rsidRDefault="0001421A" w:rsidP="007E26E9">
      <w:pPr>
        <w:rPr>
          <w:rFonts w:eastAsiaTheme="minorEastAsia"/>
        </w:rPr>
      </w:pPr>
      <w:r>
        <w:t>d correspond à 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|. L’écart-type de d est estimé de la même manière.</w:t>
      </w:r>
    </w:p>
    <w:p w14:paraId="3E703E69" w14:textId="510BC6E2" w:rsidR="0001421A" w:rsidRDefault="0001421A" w:rsidP="007E26E9">
      <w:pPr>
        <w:rPr>
          <w:rFonts w:eastAsiaTheme="minorEastAsia"/>
        </w:rPr>
      </w:pPr>
      <w:r>
        <w:rPr>
          <w:rFonts w:eastAsiaTheme="minorEastAsia"/>
        </w:rPr>
        <w:t>Par conséquent :</w:t>
      </w:r>
    </w:p>
    <w:p w14:paraId="4BD9B7C6" w14:textId="56B17E03" w:rsidR="0001421A" w:rsidRDefault="00287757" w:rsidP="0001421A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d_Wang</w:t>
      </w:r>
      <w:proofErr w:type="spellEnd"/>
      <w:r w:rsidR="0001421A">
        <w:rPr>
          <w:rFonts w:eastAsiaTheme="minorEastAsia"/>
        </w:rPr>
        <w:t>= 0.004</w:t>
      </w:r>
    </w:p>
    <w:p w14:paraId="2B907D5C" w14:textId="4D715905" w:rsidR="0001421A" w:rsidRDefault="0001421A" w:rsidP="0001421A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d_sd</w:t>
      </w:r>
      <w:r w:rsidR="00287757">
        <w:rPr>
          <w:rFonts w:eastAsiaTheme="minorEastAsia"/>
        </w:rPr>
        <w:t>_Wang</w:t>
      </w:r>
      <w:proofErr w:type="spellEnd"/>
      <w:r>
        <w:rPr>
          <w:rFonts w:eastAsiaTheme="minorEastAsia"/>
        </w:rPr>
        <w:t xml:space="preserve"> = 0.0009</w:t>
      </w:r>
    </w:p>
    <w:p w14:paraId="5E0DB5E0" w14:textId="4F073548" w:rsidR="0001421A" w:rsidRDefault="0001421A" w:rsidP="0001421A">
      <w:pPr>
        <w:rPr>
          <w:rFonts w:eastAsiaTheme="minorEastAsia"/>
        </w:rPr>
      </w:pPr>
    </w:p>
    <w:p w14:paraId="6293DC01" w14:textId="082A6108" w:rsidR="0001421A" w:rsidRDefault="0001421A" w:rsidP="0001421A">
      <w:pPr>
        <w:pStyle w:val="Titre3"/>
      </w:pPr>
      <w:r>
        <w:rPr>
          <w:rFonts w:eastAsiaTheme="minorEastAsia"/>
        </w:rPr>
        <w:t>Modèle de Stein-</w:t>
      </w:r>
      <w:proofErr w:type="spellStart"/>
      <w:r>
        <w:rPr>
          <w:rFonts w:eastAsiaTheme="minorEastAsia"/>
        </w:rPr>
        <w:t>Fojo</w:t>
      </w:r>
      <w:proofErr w:type="spellEnd"/>
    </w:p>
    <w:p w14:paraId="297F5408" w14:textId="4FC9A6DA" w:rsidR="004A35D6" w:rsidRDefault="00371147" w:rsidP="004A35D6">
      <w:pPr>
        <w:jc w:val="both"/>
      </w:pPr>
      <w:r>
        <w:t>d et g sont estimé de manière similaire que dans le modèle de Wang à l’exception près que g est contenu dans une exponentielle et le modèle linéaire mixte est adapté en conséquence. De plus,</w:t>
      </w:r>
      <w:r w:rsidR="004A35D6">
        <w:t xml:space="preserve"> le -1 dans la formule ne va influer que sur le niveau initial de SLD, il n’a donc aucun impact sur l’estimation de g et d.</w:t>
      </w:r>
    </w:p>
    <w:p w14:paraId="46C11F42" w14:textId="02F0EC48" w:rsidR="004A35D6" w:rsidRDefault="004A35D6" w:rsidP="004A35D6">
      <w:pPr>
        <w:jc w:val="both"/>
      </w:pPr>
      <w:r>
        <w:t>Par conséquent, d aura la même estimation que celui dans le modèle de Wang. Pour g, il suffit d’appliquer le même modèle linéaire mixte que pour d mais en se plaçant sur la base de données ou SLD croît.</w:t>
      </w:r>
    </w:p>
    <w:p w14:paraId="6FA528EA" w14:textId="657AC6BF" w:rsidR="004A35D6" w:rsidRDefault="004A35D6" w:rsidP="004A35D6">
      <w:pPr>
        <w:jc w:val="both"/>
      </w:pPr>
      <w:r>
        <w:t>On a donc :</w:t>
      </w:r>
    </w:p>
    <w:p w14:paraId="5951C80A" w14:textId="614E8AE6" w:rsidR="004A35D6" w:rsidRDefault="00287757" w:rsidP="004A35D6">
      <w:pPr>
        <w:jc w:val="center"/>
      </w:pPr>
      <w:proofErr w:type="spellStart"/>
      <w:r>
        <w:t>g_SteinFojo</w:t>
      </w:r>
      <w:proofErr w:type="spellEnd"/>
      <w:r w:rsidR="004A35D6">
        <w:t xml:space="preserve"> = 0.002</w:t>
      </w:r>
    </w:p>
    <w:p w14:paraId="4C1B5D1A" w14:textId="0C92E415" w:rsidR="004A35D6" w:rsidRDefault="004A35D6" w:rsidP="004A35D6">
      <w:pPr>
        <w:jc w:val="center"/>
      </w:pPr>
      <w:proofErr w:type="spellStart"/>
      <w:r>
        <w:t>g_sd</w:t>
      </w:r>
      <w:r w:rsidR="00287757">
        <w:t>_SteinFojo</w:t>
      </w:r>
      <w:proofErr w:type="spellEnd"/>
      <w:r>
        <w:t xml:space="preserve"> = 0.0006</w:t>
      </w:r>
    </w:p>
    <w:p w14:paraId="68585448" w14:textId="31740CCA" w:rsidR="004A35D6" w:rsidRDefault="004A35D6" w:rsidP="004A35D6">
      <w:pPr>
        <w:jc w:val="center"/>
      </w:pPr>
      <w:r>
        <w:t>et</w:t>
      </w:r>
    </w:p>
    <w:p w14:paraId="3227801A" w14:textId="0B66BE02" w:rsidR="004A35D6" w:rsidRDefault="004A35D6" w:rsidP="004A35D6">
      <w:pPr>
        <w:jc w:val="center"/>
      </w:pPr>
      <w:proofErr w:type="spellStart"/>
      <w:r>
        <w:t>d</w:t>
      </w:r>
      <w:r w:rsidR="00287757">
        <w:t>_SteinFojo</w:t>
      </w:r>
      <w:proofErr w:type="spellEnd"/>
      <w:r>
        <w:t xml:space="preserve"> = 0.004</w:t>
      </w:r>
    </w:p>
    <w:p w14:paraId="64496ADA" w14:textId="3C55A447" w:rsidR="004A35D6" w:rsidRDefault="004A35D6" w:rsidP="004A35D6">
      <w:pPr>
        <w:jc w:val="center"/>
      </w:pPr>
      <w:proofErr w:type="spellStart"/>
      <w:r>
        <w:t>d_sd</w:t>
      </w:r>
      <w:r w:rsidR="00287757">
        <w:t>_SteinFojo</w:t>
      </w:r>
      <w:proofErr w:type="spellEnd"/>
      <w:r>
        <w:t xml:space="preserve"> = 0.0009</w:t>
      </w:r>
    </w:p>
    <w:p w14:paraId="5090D816" w14:textId="3FF4656E" w:rsidR="004A35D6" w:rsidRDefault="000F43F1" w:rsidP="000F43F1">
      <w:pPr>
        <w:pStyle w:val="Titre3"/>
      </w:pPr>
      <w:r>
        <w:t xml:space="preserve">Modèle de </w:t>
      </w:r>
      <w:proofErr w:type="spellStart"/>
      <w:r>
        <w:t>Chatterjee</w:t>
      </w:r>
      <w:proofErr w:type="spellEnd"/>
    </w:p>
    <w:p w14:paraId="10DA8E42" w14:textId="05F2ED38" w:rsidR="0001421A" w:rsidRDefault="000F43F1" w:rsidP="00706C27">
      <w:pPr>
        <w:jc w:val="both"/>
        <w:rPr>
          <w:rFonts w:eastAsiaTheme="minorEastAsia"/>
        </w:rPr>
      </w:pPr>
      <w:r>
        <w:t xml:space="preserve">Le modèle de </w:t>
      </w:r>
      <w:proofErr w:type="spellStart"/>
      <w:r>
        <w:t>Chatterjee</w:t>
      </w:r>
      <w:proofErr w:type="spellEnd"/>
      <w:r>
        <w:t xml:space="preserve"> fait intervenir un paramètre de convexité </w:t>
      </w:r>
      <m:oMath>
        <m:r>
          <w:rPr>
            <w:rFonts w:ascii="Cambria Math" w:hAnsi="Cambria Math"/>
          </w:rPr>
          <m:t>ϕ</m:t>
        </m:r>
      </m:oMath>
      <w:r>
        <w:t xml:space="preserve">. Celui-ci représente le poids de la décroissance par rapport à la croissance. Plus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est élevé et plus la décroissance est important</w:t>
      </w:r>
      <w:r w:rsidR="00565F33">
        <w:rPr>
          <w:rFonts w:eastAsiaTheme="minorEastAsia"/>
        </w:rPr>
        <w:t>e par rapport à la croissance.</w:t>
      </w:r>
      <w:r w:rsidR="00B5256C">
        <w:rPr>
          <w:rFonts w:eastAsiaTheme="minorEastAsia"/>
        </w:rPr>
        <w:t xml:space="preserve"> Afin de mesurer l’importance de la décroissance par rapport à la </w:t>
      </w:r>
      <w:r w:rsidR="00B5256C">
        <w:rPr>
          <w:rFonts w:eastAsiaTheme="minorEastAsia"/>
        </w:rPr>
        <w:lastRenderedPageBreak/>
        <w:t>croissance, nous avons mesuré les écart-type de SLD chez les différents sujets dans les bases de données de croissance puis de décroissance puis nous en avons fait la somme.</w:t>
      </w:r>
    </w:p>
    <w:p w14:paraId="5B6A1AD2" w14:textId="02B961C1" w:rsidR="00B5256C" w:rsidRDefault="00B5256C" w:rsidP="00706C27">
      <w:pPr>
        <w:jc w:val="both"/>
        <w:rPr>
          <w:rFonts w:eastAsiaTheme="minorEastAsia"/>
        </w:rPr>
      </w:pPr>
      <w:r>
        <w:rPr>
          <w:rFonts w:eastAsiaTheme="minorEastAsia"/>
        </w:rPr>
        <w:t>Dans la base de données de croissance la moyenne d’écart-type</w:t>
      </w:r>
      <w:r w:rsidR="00A00D10">
        <w:rPr>
          <w:rFonts w:eastAsiaTheme="minorEastAsia"/>
        </w:rPr>
        <w:t xml:space="preserve"> de SLD</w:t>
      </w:r>
      <w:r>
        <w:rPr>
          <w:rFonts w:eastAsiaTheme="minorEastAsia"/>
        </w:rPr>
        <w:t xml:space="preserve"> chez les patients est de 15 tandis que dans la base de données de décroissance, ce dernier est de 24. On peut estimer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comme suit :</w:t>
      </w:r>
    </w:p>
    <w:p w14:paraId="1E106544" w14:textId="0987D617" w:rsidR="00B5256C" w:rsidRPr="00F979B6" w:rsidRDefault="00B5256C" w:rsidP="00B5256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24+15</m:t>
              </m:r>
            </m:den>
          </m:f>
        </m:oMath>
      </m:oMathPara>
    </w:p>
    <w:p w14:paraId="3B2CECC0" w14:textId="4F8186D1" w:rsidR="00F979B6" w:rsidRDefault="00F979B6" w:rsidP="00B5256C">
      <w:pPr>
        <w:jc w:val="center"/>
      </w:pPr>
      <m:oMathPara>
        <m:oMath>
          <m:r>
            <w:rPr>
              <w:rFonts w:ascii="Cambria Math" w:hAnsi="Cambria Math"/>
            </w:rPr>
            <m:t>ϕ=0.62</m:t>
          </m:r>
        </m:oMath>
      </m:oMathPara>
    </w:p>
    <w:p w14:paraId="555D6A9D" w14:textId="21CB3CA8" w:rsidR="0001421A" w:rsidRDefault="00F979B6" w:rsidP="00706C27">
      <w:pPr>
        <w:jc w:val="both"/>
      </w:pPr>
      <w:r>
        <w:t>Les estimations de d et g sont réalisées de la même manière que pour le modèle de Stein-</w:t>
      </w:r>
      <w:proofErr w:type="spellStart"/>
      <w:r>
        <w:t>Fojo</w:t>
      </w:r>
      <w:proofErr w:type="spellEnd"/>
      <w:r w:rsidR="00A00D10">
        <w:t xml:space="preserve"> puisqu’il représente les mêmes tendances de décroissance et de croissance.</w:t>
      </w:r>
    </w:p>
    <w:p w14:paraId="0854EFBB" w14:textId="37988409" w:rsidR="005C662F" w:rsidRDefault="005C662F">
      <w:r>
        <w:t xml:space="preserve">On a donc : </w:t>
      </w:r>
    </w:p>
    <w:p w14:paraId="2EC7E703" w14:textId="191AAAED" w:rsidR="005C662F" w:rsidRDefault="00287757" w:rsidP="005C662F">
      <w:pPr>
        <w:jc w:val="center"/>
      </w:pPr>
      <w:proofErr w:type="spellStart"/>
      <w:r>
        <w:t>g_Chatterjee</w:t>
      </w:r>
      <w:proofErr w:type="spellEnd"/>
      <w:r w:rsidR="005C662F">
        <w:t xml:space="preserve"> = 0.002</w:t>
      </w:r>
    </w:p>
    <w:p w14:paraId="45F61E14" w14:textId="046DC45A" w:rsidR="005C662F" w:rsidRDefault="005C662F" w:rsidP="005C662F">
      <w:pPr>
        <w:jc w:val="center"/>
      </w:pPr>
      <w:proofErr w:type="spellStart"/>
      <w:r>
        <w:t>g_sd</w:t>
      </w:r>
      <w:r w:rsidR="00287757">
        <w:t>_Chatterjee</w:t>
      </w:r>
      <w:proofErr w:type="spellEnd"/>
      <w:r>
        <w:t xml:space="preserve"> = 0.0006</w:t>
      </w:r>
    </w:p>
    <w:p w14:paraId="0DECC3C1" w14:textId="77777777" w:rsidR="005C662F" w:rsidRDefault="005C662F" w:rsidP="005C662F">
      <w:pPr>
        <w:jc w:val="center"/>
      </w:pPr>
      <w:r>
        <w:t>et</w:t>
      </w:r>
    </w:p>
    <w:p w14:paraId="4F1E7876" w14:textId="5D3C54C4" w:rsidR="005C662F" w:rsidRDefault="005C662F" w:rsidP="005C662F">
      <w:pPr>
        <w:jc w:val="center"/>
      </w:pPr>
      <w:proofErr w:type="spellStart"/>
      <w:r>
        <w:t>d</w:t>
      </w:r>
      <w:r w:rsidR="00287757">
        <w:t>_Chatterjee</w:t>
      </w:r>
      <w:proofErr w:type="spellEnd"/>
      <w:r>
        <w:t xml:space="preserve"> = 0.004</w:t>
      </w:r>
    </w:p>
    <w:p w14:paraId="5F002D4B" w14:textId="308A2955" w:rsidR="005C662F" w:rsidRDefault="005C662F" w:rsidP="005C662F">
      <w:pPr>
        <w:jc w:val="center"/>
      </w:pPr>
      <w:proofErr w:type="spellStart"/>
      <w:r>
        <w:t>d_sd</w:t>
      </w:r>
      <w:r w:rsidR="00287757">
        <w:t>_Chatterjee</w:t>
      </w:r>
      <w:proofErr w:type="spellEnd"/>
      <w:r>
        <w:t xml:space="preserve"> = 0.0009</w:t>
      </w:r>
    </w:p>
    <w:p w14:paraId="51754272" w14:textId="53A92D10" w:rsidR="001426A1" w:rsidRDefault="001426A1" w:rsidP="001426A1">
      <w:pPr>
        <w:pStyle w:val="Titre3"/>
      </w:pPr>
      <w:r>
        <w:t>Remarque</w:t>
      </w:r>
    </w:p>
    <w:p w14:paraId="1C32AFA8" w14:textId="450A8BEA" w:rsidR="001426A1" w:rsidRPr="001426A1" w:rsidRDefault="001426A1" w:rsidP="001C0BA5">
      <w:pPr>
        <w:jc w:val="both"/>
      </w:pPr>
      <w:r>
        <w:t>Pour chacun des modèles, les estimations des paramètres sont assez proches des valeurs initiales fournies dans l’algorithme.</w:t>
      </w:r>
    </w:p>
    <w:p w14:paraId="16EDD979" w14:textId="77777777" w:rsidR="001426A1" w:rsidRDefault="001426A1" w:rsidP="001426A1"/>
    <w:p w14:paraId="3CB8E52E" w14:textId="25F03060" w:rsidR="003A47B6" w:rsidRDefault="003A47B6" w:rsidP="003A47B6">
      <w:pPr>
        <w:pStyle w:val="Titre3"/>
        <w:numPr>
          <w:ilvl w:val="0"/>
          <w:numId w:val="10"/>
        </w:numPr>
      </w:pPr>
    </w:p>
    <w:p w14:paraId="5DA89AB1" w14:textId="77777777" w:rsidR="003A47B6" w:rsidRDefault="003A47B6"/>
    <w:p w14:paraId="4FBA8CC2" w14:textId="5FE32796" w:rsidR="000A4715" w:rsidRDefault="00F33784" w:rsidP="001C0BA5">
      <w:pPr>
        <w:jc w:val="both"/>
      </w:pPr>
      <w:r>
        <w:t>La croissance tumorale chez les patients étant à tendance non-linéaire le modèle de Wang ne semble pas bien ajuster les données</w:t>
      </w:r>
      <w:r w:rsidR="003A47B6">
        <w:t xml:space="preserve"> au vu du graphique de la question 1</w:t>
      </w:r>
      <w:r>
        <w:t>.</w:t>
      </w:r>
      <w:r w:rsidR="002C373A">
        <w:t xml:space="preserve"> Le modèle structural de Wang semble alors le moins pertinent.</w:t>
      </w:r>
      <w:r w:rsidR="00A141B6">
        <w:t xml:space="preserve"> Le modèle de </w:t>
      </w:r>
      <w:proofErr w:type="spellStart"/>
      <w:r w:rsidR="00A141B6">
        <w:t>Chatterjee</w:t>
      </w:r>
      <w:proofErr w:type="spellEnd"/>
      <w:r w:rsidR="00A141B6">
        <w:t xml:space="preserve"> permet de prendre en compte une importance différente de la croissance de la tumeur par rapport à sa décroissance</w:t>
      </w:r>
      <w:r w:rsidR="00852BAF">
        <w:t xml:space="preserve"> au niveau populationnel et individuel</w:t>
      </w:r>
      <w:r w:rsidR="00A141B6">
        <w:t xml:space="preserve">. Sans lancer les modèles, le modèle structural le plus pertinent est celui de </w:t>
      </w:r>
      <w:proofErr w:type="spellStart"/>
      <w:r w:rsidR="00A141B6">
        <w:t>Chatterjee</w:t>
      </w:r>
      <w:proofErr w:type="spellEnd"/>
      <w:r w:rsidR="00A141B6">
        <w:t>.</w:t>
      </w:r>
    </w:p>
    <w:p w14:paraId="2F7F68AD" w14:textId="39336C60" w:rsidR="003A47B6" w:rsidRDefault="003A47B6" w:rsidP="001C0BA5">
      <w:pPr>
        <w:jc w:val="both"/>
      </w:pPr>
      <w:r>
        <w:t xml:space="preserve">Néanmoins, on compare les estimations et la qualité des trois modèles. </w:t>
      </w:r>
      <w:r w:rsidR="008F007E">
        <w:t>Les paramètres initiaux utilisés sont ceux estimés à la question 2. Ces paramètres ont été transformés log-normalement afin de garder des valeurs positives. C’est également le cas de la variable réponse SLD qui a été transformée log-normalement pour rester positive.</w:t>
      </w:r>
    </w:p>
    <w:p w14:paraId="04D16E9A" w14:textId="470F6CF0" w:rsidR="006513CD" w:rsidRDefault="006513CD" w:rsidP="001C0BA5">
      <w:pPr>
        <w:jc w:val="both"/>
      </w:pPr>
      <w:r>
        <w:t xml:space="preserve">Les modèles d’erreurs des modèles ont d’avoir été supposés constant puis, le cas échéant transformés si c’était nécessaire. Pour chacun des modèles, un graphique observations vs </w:t>
      </w:r>
      <w:r w:rsidR="00A141B6">
        <w:t>prédictions</w:t>
      </w:r>
      <w:r>
        <w:t xml:space="preserve"> a été généré. Ce graphique a permis d’apprécier si les erreurs étaient proportionnelles </w:t>
      </w:r>
      <w:r w:rsidR="00A31C3E">
        <w:t>aux</w:t>
      </w:r>
      <w:r>
        <w:t xml:space="preserve"> prédiction</w:t>
      </w:r>
      <w:r w:rsidR="00A31C3E">
        <w:t>s. Si c’était le cas, le modèle d’erreur était ajusté. Au final, tous les modèles d’erreurs ont été paramétré comme constants.</w:t>
      </w:r>
    </w:p>
    <w:p w14:paraId="41A20C26" w14:textId="7C6731B6" w:rsidR="00A31C3E" w:rsidRDefault="00D86E8C" w:rsidP="00A141B6">
      <w:pPr>
        <w:jc w:val="both"/>
      </w:pPr>
      <w:r>
        <w:lastRenderedPageBreak/>
        <w:t>Les résultats des modèles sont très semblables. Notamment pour les paramètres d et g qui étaient très ressemblant dans la plupart des modèles. Cette observation valide notre stratégie d’estimation des paramètres initiaux.</w:t>
      </w:r>
    </w:p>
    <w:p w14:paraId="64CB4A93" w14:textId="068275E2" w:rsidR="0034311C" w:rsidRDefault="0034311C" w:rsidP="0034311C">
      <w:r>
        <w:t xml:space="preserve">Les différents modèles sont comparés sans tenir compte des éventuelles interactions entre effets aléatoires ou de ses derniers avec des covariables. Les modèles sont tout de même comparables puisque les </w:t>
      </w:r>
      <w:r w:rsidR="00892782">
        <w:t>paramètres estimés ont tous un rapport valeur-écart-type inférieur à 50%.</w:t>
      </w:r>
    </w:p>
    <w:p w14:paraId="7B7D3BBB" w14:textId="30CE77B0" w:rsidR="008661A3" w:rsidRDefault="008661A3" w:rsidP="008661A3">
      <w:pPr>
        <w:pStyle w:val="Lgende"/>
        <w:keepNext/>
        <w:jc w:val="center"/>
      </w:pPr>
      <w:r>
        <w:t xml:space="preserve">Tableau </w:t>
      </w:r>
      <w:fldSimple w:instr=" SEQ Tableau \* ARABIC ">
        <w:r w:rsidR="00F831B3">
          <w:rPr>
            <w:noProof/>
          </w:rPr>
          <w:t>1</w:t>
        </w:r>
      </w:fldSimple>
      <w:r>
        <w:t>: Comparaison des paramètres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3A47B6" w14:paraId="7AA122E9" w14:textId="77777777" w:rsidTr="008F007E">
        <w:tc>
          <w:tcPr>
            <w:tcW w:w="1000" w:type="pct"/>
            <w:shd w:val="clear" w:color="auto" w:fill="AEAAAA" w:themeFill="background2" w:themeFillShade="BF"/>
          </w:tcPr>
          <w:p w14:paraId="74CE8023" w14:textId="48B941B0" w:rsidR="003A47B6" w:rsidRDefault="003A47B6">
            <w:r>
              <w:t>Paramètres de population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1F38D7C1" w14:textId="1F73824F" w:rsidR="003A47B6" w:rsidRDefault="003A47B6">
            <w:r>
              <w:t>Transformation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3116B939" w14:textId="777A05AE" w:rsidR="003A47B6" w:rsidRDefault="003A47B6">
            <w:r>
              <w:t>Wang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4FCC98F2" w14:textId="758B089A" w:rsidR="003A47B6" w:rsidRDefault="003A47B6">
            <w:r>
              <w:t>Stein-</w:t>
            </w:r>
            <w:proofErr w:type="spellStart"/>
            <w:r>
              <w:t>Fojo</w:t>
            </w:r>
            <w:proofErr w:type="spellEnd"/>
          </w:p>
        </w:tc>
        <w:tc>
          <w:tcPr>
            <w:tcW w:w="1000" w:type="pct"/>
            <w:shd w:val="clear" w:color="auto" w:fill="AEAAAA" w:themeFill="background2" w:themeFillShade="BF"/>
          </w:tcPr>
          <w:p w14:paraId="77146290" w14:textId="5C462188" w:rsidR="003A47B6" w:rsidRDefault="003A47B6">
            <w:proofErr w:type="spellStart"/>
            <w:r>
              <w:t>Chatterjee</w:t>
            </w:r>
            <w:proofErr w:type="spellEnd"/>
          </w:p>
        </w:tc>
      </w:tr>
      <w:tr w:rsidR="003A47B6" w14:paraId="730846D3" w14:textId="77777777" w:rsidTr="003A47B6">
        <w:tc>
          <w:tcPr>
            <w:tcW w:w="1000" w:type="pct"/>
          </w:tcPr>
          <w:p w14:paraId="12C53E42" w14:textId="535C25EA" w:rsidR="003A47B6" w:rsidRDefault="003A47B6">
            <w:r>
              <w:t>BSLD</w:t>
            </w:r>
          </w:p>
        </w:tc>
        <w:tc>
          <w:tcPr>
            <w:tcW w:w="1000" w:type="pct"/>
          </w:tcPr>
          <w:p w14:paraId="0AC1FE53" w14:textId="6B648EC6" w:rsidR="003A47B6" w:rsidRDefault="00AA304D">
            <w:proofErr w:type="spellStart"/>
            <w:r>
              <w:t>Lognormal</w:t>
            </w:r>
            <w:r w:rsidR="006513CD">
              <w:t>e</w:t>
            </w:r>
            <w:proofErr w:type="spellEnd"/>
          </w:p>
        </w:tc>
        <w:tc>
          <w:tcPr>
            <w:tcW w:w="1000" w:type="pct"/>
          </w:tcPr>
          <w:p w14:paraId="33F215F6" w14:textId="476D7461" w:rsidR="003A47B6" w:rsidRDefault="00AA304D">
            <w:r>
              <w:t>60.42</w:t>
            </w:r>
          </w:p>
        </w:tc>
        <w:tc>
          <w:tcPr>
            <w:tcW w:w="1000" w:type="pct"/>
          </w:tcPr>
          <w:p w14:paraId="694149BE" w14:textId="14CF1DE0" w:rsidR="00AA304D" w:rsidRDefault="00AA304D">
            <w:r>
              <w:t>60.9</w:t>
            </w:r>
            <w:r w:rsidR="0066503B">
              <w:t>0</w:t>
            </w:r>
          </w:p>
        </w:tc>
        <w:tc>
          <w:tcPr>
            <w:tcW w:w="1000" w:type="pct"/>
          </w:tcPr>
          <w:p w14:paraId="08B6F3E4" w14:textId="09330B80" w:rsidR="003A47B6" w:rsidRDefault="00F319EE">
            <w:r>
              <w:t>60.03</w:t>
            </w:r>
          </w:p>
        </w:tc>
      </w:tr>
      <w:tr w:rsidR="003A47B6" w14:paraId="45A0D684" w14:textId="77777777" w:rsidTr="003A47B6">
        <w:tc>
          <w:tcPr>
            <w:tcW w:w="1000" w:type="pct"/>
          </w:tcPr>
          <w:p w14:paraId="1F91F900" w14:textId="50163923" w:rsidR="003A47B6" w:rsidRDefault="003A47B6">
            <w:r>
              <w:t>d</w:t>
            </w:r>
          </w:p>
        </w:tc>
        <w:tc>
          <w:tcPr>
            <w:tcW w:w="1000" w:type="pct"/>
          </w:tcPr>
          <w:p w14:paraId="5A57E248" w14:textId="0BC63878" w:rsidR="003A47B6" w:rsidRDefault="00AA304D">
            <w:proofErr w:type="spellStart"/>
            <w:r>
              <w:t>Lognormal</w:t>
            </w:r>
            <w:r w:rsidR="006513CD">
              <w:t>e</w:t>
            </w:r>
            <w:proofErr w:type="spellEnd"/>
          </w:p>
        </w:tc>
        <w:tc>
          <w:tcPr>
            <w:tcW w:w="1000" w:type="pct"/>
          </w:tcPr>
          <w:p w14:paraId="3E0A41A7" w14:textId="63562756" w:rsidR="003A47B6" w:rsidRDefault="00AA304D">
            <w:r>
              <w:t>0.0041</w:t>
            </w:r>
          </w:p>
        </w:tc>
        <w:tc>
          <w:tcPr>
            <w:tcW w:w="1000" w:type="pct"/>
          </w:tcPr>
          <w:p w14:paraId="2A85768A" w14:textId="479EB1A8" w:rsidR="003A47B6" w:rsidRDefault="00AA304D">
            <w:r>
              <w:t>0.004</w:t>
            </w:r>
          </w:p>
        </w:tc>
        <w:tc>
          <w:tcPr>
            <w:tcW w:w="1000" w:type="pct"/>
          </w:tcPr>
          <w:p w14:paraId="5D2161ED" w14:textId="5CE0BDAA" w:rsidR="003A47B6" w:rsidRDefault="00F319EE">
            <w:r>
              <w:t>0.004</w:t>
            </w:r>
          </w:p>
        </w:tc>
      </w:tr>
      <w:tr w:rsidR="003A47B6" w14:paraId="0924B2A3" w14:textId="77777777" w:rsidTr="003A47B6">
        <w:tc>
          <w:tcPr>
            <w:tcW w:w="1000" w:type="pct"/>
          </w:tcPr>
          <w:p w14:paraId="4652500F" w14:textId="71E00877" w:rsidR="003A47B6" w:rsidRDefault="003A47B6">
            <w:r>
              <w:t>g</w:t>
            </w:r>
          </w:p>
        </w:tc>
        <w:tc>
          <w:tcPr>
            <w:tcW w:w="1000" w:type="pct"/>
          </w:tcPr>
          <w:p w14:paraId="6523224E" w14:textId="36981443" w:rsidR="003A47B6" w:rsidRDefault="00AA304D">
            <w:proofErr w:type="spellStart"/>
            <w:r>
              <w:t>Lognormal</w:t>
            </w:r>
            <w:r w:rsidR="006513CD">
              <w:t>e</w:t>
            </w:r>
            <w:proofErr w:type="spellEnd"/>
          </w:p>
        </w:tc>
        <w:tc>
          <w:tcPr>
            <w:tcW w:w="1000" w:type="pct"/>
          </w:tcPr>
          <w:p w14:paraId="5ED61B93" w14:textId="3B153620" w:rsidR="003A47B6" w:rsidRDefault="00AA304D">
            <w:r>
              <w:t>0.06</w:t>
            </w:r>
            <w:r w:rsidR="0066503B">
              <w:t>00</w:t>
            </w:r>
          </w:p>
        </w:tc>
        <w:tc>
          <w:tcPr>
            <w:tcW w:w="1000" w:type="pct"/>
          </w:tcPr>
          <w:p w14:paraId="56ECC538" w14:textId="2A1CC14A" w:rsidR="003A47B6" w:rsidRDefault="00AA304D">
            <w:r>
              <w:t>0.0011</w:t>
            </w:r>
          </w:p>
        </w:tc>
        <w:tc>
          <w:tcPr>
            <w:tcW w:w="1000" w:type="pct"/>
          </w:tcPr>
          <w:p w14:paraId="5456E7FC" w14:textId="4BC8D2A4" w:rsidR="003A47B6" w:rsidRDefault="00F319EE">
            <w:r>
              <w:t>0.0017</w:t>
            </w:r>
          </w:p>
        </w:tc>
      </w:tr>
      <w:tr w:rsidR="003A47B6" w14:paraId="2733F739" w14:textId="77777777" w:rsidTr="003A47B6">
        <w:tc>
          <w:tcPr>
            <w:tcW w:w="1000" w:type="pct"/>
          </w:tcPr>
          <w:p w14:paraId="5FE5D434" w14:textId="639542D5" w:rsidR="003A47B6" w:rsidRPr="003A47B6" w:rsidRDefault="003A47B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000" w:type="pct"/>
          </w:tcPr>
          <w:p w14:paraId="513740D8" w14:textId="41D57FE4" w:rsidR="003A47B6" w:rsidRDefault="00AA304D">
            <w:proofErr w:type="spellStart"/>
            <w:r>
              <w:t>Lognormal</w:t>
            </w:r>
            <w:r w:rsidR="006513CD">
              <w:t>e</w:t>
            </w:r>
            <w:proofErr w:type="spellEnd"/>
          </w:p>
        </w:tc>
        <w:tc>
          <w:tcPr>
            <w:tcW w:w="1000" w:type="pct"/>
          </w:tcPr>
          <w:p w14:paraId="0F0AC98D" w14:textId="2012D25F" w:rsidR="003A47B6" w:rsidRDefault="00AA304D">
            <w:r>
              <w:t>-</w:t>
            </w:r>
          </w:p>
        </w:tc>
        <w:tc>
          <w:tcPr>
            <w:tcW w:w="1000" w:type="pct"/>
          </w:tcPr>
          <w:p w14:paraId="2BE2E6F6" w14:textId="2C300FAC" w:rsidR="003A47B6" w:rsidRDefault="00AA304D">
            <w:r>
              <w:t>-</w:t>
            </w:r>
          </w:p>
        </w:tc>
        <w:tc>
          <w:tcPr>
            <w:tcW w:w="1000" w:type="pct"/>
          </w:tcPr>
          <w:p w14:paraId="3AC342CF" w14:textId="21154F5E" w:rsidR="003A47B6" w:rsidRDefault="00F319EE">
            <w:r>
              <w:t>0.41</w:t>
            </w:r>
          </w:p>
        </w:tc>
      </w:tr>
    </w:tbl>
    <w:p w14:paraId="17864CE7" w14:textId="7543D10F" w:rsidR="003A47B6" w:rsidRDefault="003A47B6"/>
    <w:p w14:paraId="7CF253D9" w14:textId="53E50FC9" w:rsidR="00A141B6" w:rsidRDefault="00A141B6">
      <w:r>
        <w:t xml:space="preserve">Afin de sélectionner le meilleur modèle, on compare les </w:t>
      </w:r>
      <w:proofErr w:type="spellStart"/>
      <w:r>
        <w:t>BICc</w:t>
      </w:r>
      <w:proofErr w:type="spellEnd"/>
      <w:r>
        <w:t xml:space="preserve"> des trois modèles. Le </w:t>
      </w:r>
      <w:proofErr w:type="spellStart"/>
      <w:r>
        <w:t>BICc</w:t>
      </w:r>
      <w:proofErr w:type="spellEnd"/>
      <w:r>
        <w:t xml:space="preserve"> le plus faible est obtenu par le modèle de </w:t>
      </w:r>
      <w:proofErr w:type="spellStart"/>
      <w:r>
        <w:t>Chatterjee</w:t>
      </w:r>
      <w:proofErr w:type="spellEnd"/>
      <w:r>
        <w:t xml:space="preserve"> (</w:t>
      </w:r>
      <w:proofErr w:type="spellStart"/>
      <w:r>
        <w:t>BICc</w:t>
      </w:r>
      <w:proofErr w:type="spellEnd"/>
      <w:r>
        <w:t xml:space="preserve"> = 1213). </w:t>
      </w:r>
    </w:p>
    <w:p w14:paraId="7C773D7D" w14:textId="46CF3099" w:rsidR="00A141B6" w:rsidRDefault="006C0B6E">
      <w:r>
        <w:rPr>
          <w:noProof/>
        </w:rPr>
        <w:drawing>
          <wp:anchor distT="0" distB="0" distL="114300" distR="114300" simplePos="0" relativeHeight="251647488" behindDoc="0" locked="0" layoutInCell="1" allowOverlap="1" wp14:anchorId="684C7AE1" wp14:editId="32AE76DE">
            <wp:simplePos x="0" y="0"/>
            <wp:positionH relativeFrom="column">
              <wp:posOffset>984250</wp:posOffset>
            </wp:positionH>
            <wp:positionV relativeFrom="paragraph">
              <wp:posOffset>681659</wp:posOffset>
            </wp:positionV>
            <wp:extent cx="3774440" cy="267906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C9A3860" wp14:editId="3645C4D0">
                <wp:simplePos x="0" y="0"/>
                <wp:positionH relativeFrom="column">
                  <wp:posOffset>984250</wp:posOffset>
                </wp:positionH>
                <wp:positionV relativeFrom="paragraph">
                  <wp:posOffset>435555</wp:posOffset>
                </wp:positionV>
                <wp:extent cx="377444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4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6FF04" w14:textId="5F41D350" w:rsidR="006C0B6E" w:rsidRPr="00745CFE" w:rsidRDefault="006C0B6E" w:rsidP="006C0B6E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32BC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Ajustement du modèle de </w:t>
                            </w:r>
                            <w:proofErr w:type="spellStart"/>
                            <w:r>
                              <w:t>Chatterjee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A386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7.5pt;margin-top:34.3pt;width:297.2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" stroked="f">
                <v:textbox style="mso-fit-shape-to-text:t" inset="0,0,0,0">
                  <w:txbxContent>
                    <w:p w14:paraId="0176FF04" w14:textId="5F41D350" w:rsidR="006C0B6E" w:rsidRPr="00745CFE" w:rsidRDefault="006C0B6E" w:rsidP="006C0B6E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32BC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Ajustement du modèle de </w:t>
                      </w:r>
                      <w:proofErr w:type="spellStart"/>
                      <w:r>
                        <w:t>Chatterjee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Ce dernier est bien ajusté aux données :</w:t>
      </w:r>
    </w:p>
    <w:p w14:paraId="23A5E5F0" w14:textId="7DE82168" w:rsidR="003937C4" w:rsidRDefault="003937C4"/>
    <w:p w14:paraId="633A8F21" w14:textId="3ED6658F" w:rsidR="00F33784" w:rsidRDefault="00F33784" w:rsidP="003937C4">
      <w:pPr>
        <w:pStyle w:val="Titre3"/>
        <w:numPr>
          <w:ilvl w:val="0"/>
          <w:numId w:val="10"/>
        </w:numPr>
      </w:pPr>
    </w:p>
    <w:p w14:paraId="722E124F" w14:textId="19D3992F" w:rsidR="0001421A" w:rsidRDefault="0001421A"/>
    <w:p w14:paraId="65A860F6" w14:textId="768A63CC" w:rsidR="00892782" w:rsidRDefault="00892782" w:rsidP="00302F4B">
      <w:pPr>
        <w:jc w:val="both"/>
      </w:pPr>
      <w:r>
        <w:t xml:space="preserve">On choisit de procéder </w:t>
      </w:r>
      <w:r w:rsidR="00302F4B">
        <w:t>à</w:t>
      </w:r>
      <w:r>
        <w:t xml:space="preserve"> une procédure de sélection des interactions pas à pas. On commence avec le modèle de base de </w:t>
      </w:r>
      <w:proofErr w:type="spellStart"/>
      <w:r>
        <w:t>Chatterjee</w:t>
      </w:r>
      <w:proofErr w:type="spellEnd"/>
      <w:r>
        <w:t xml:space="preserve"> estimé à la question 3 puis on </w:t>
      </w:r>
      <w:r w:rsidR="00302F4B">
        <w:t>ajoute l’interaction la plus significative d’une covariable (s’il y en a une de significative). Puis, on ajoute encore une fois l’interaction la plus significative dans le nouveau modèle et on vérifie que la première interaction n’est pas devenue non-significative (le cas échéant on la supprimerait). On s’arrête jusqu’à n’avoir plus aucune variable à ajouter ou retirer.</w:t>
      </w:r>
    </w:p>
    <w:p w14:paraId="23528AC6" w14:textId="2E5CFC70" w:rsidR="00302F4B" w:rsidRDefault="0077457C" w:rsidP="00302F4B">
      <w:pPr>
        <w:jc w:val="both"/>
      </w:pPr>
      <w:r>
        <w:lastRenderedPageBreak/>
        <w:t xml:space="preserve">La procédure </w:t>
      </w:r>
      <w:r w:rsidR="00F831B3">
        <w:t xml:space="preserve">sélectionne une seule covariable dans le modèle : La présence de métastase dans le foie à la </w:t>
      </w:r>
      <w:proofErr w:type="spellStart"/>
      <w:r w:rsidR="00F831B3">
        <w:t>baseline</w:t>
      </w:r>
      <w:proofErr w:type="spellEnd"/>
      <w:r w:rsidR="00F831B3">
        <w:t xml:space="preserve"> sur le niveau de SLD à la </w:t>
      </w:r>
      <w:proofErr w:type="spellStart"/>
      <w:r w:rsidR="00F831B3">
        <w:t>baseline</w:t>
      </w:r>
      <w:proofErr w:type="spellEnd"/>
      <w:r w:rsidR="00F831B3">
        <w:t>.</w:t>
      </w:r>
    </w:p>
    <w:p w14:paraId="282EC2A4" w14:textId="5E0A5C12" w:rsidR="0077457C" w:rsidRDefault="0077457C" w:rsidP="00302F4B">
      <w:pPr>
        <w:jc w:val="both"/>
      </w:pPr>
      <w:r>
        <w:t>Les nouveaux paramètres de populations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1"/>
        <w:gridCol w:w="1578"/>
        <w:gridCol w:w="1504"/>
        <w:gridCol w:w="1502"/>
        <w:gridCol w:w="1513"/>
        <w:gridCol w:w="1480"/>
      </w:tblGrid>
      <w:tr w:rsidR="00F831B3" w14:paraId="1BC185F0" w14:textId="7AAD5D9B" w:rsidTr="00F831B3">
        <w:tc>
          <w:tcPr>
            <w:tcW w:w="1711" w:type="dxa"/>
            <w:shd w:val="clear" w:color="auto" w:fill="AEAAAA" w:themeFill="background2" w:themeFillShade="BF"/>
          </w:tcPr>
          <w:p w14:paraId="2AF1FF57" w14:textId="5ACD2E8B" w:rsidR="00F831B3" w:rsidRDefault="00F831B3" w:rsidP="00302F4B">
            <w:pPr>
              <w:jc w:val="both"/>
            </w:pPr>
            <w:r>
              <w:t>Paramètres</w:t>
            </w:r>
          </w:p>
        </w:tc>
        <w:tc>
          <w:tcPr>
            <w:tcW w:w="1578" w:type="dxa"/>
            <w:shd w:val="clear" w:color="auto" w:fill="AEAAAA" w:themeFill="background2" w:themeFillShade="BF"/>
          </w:tcPr>
          <w:p w14:paraId="20DD7A4F" w14:textId="61CE744B" w:rsidR="00F831B3" w:rsidRDefault="00F831B3" w:rsidP="00F831B3">
            <w:pPr>
              <w:jc w:val="center"/>
            </w:pPr>
            <w:r>
              <w:t>BSLD</w:t>
            </w:r>
          </w:p>
        </w:tc>
        <w:tc>
          <w:tcPr>
            <w:tcW w:w="1504" w:type="dxa"/>
            <w:shd w:val="clear" w:color="auto" w:fill="AEAAAA" w:themeFill="background2" w:themeFillShade="BF"/>
          </w:tcPr>
          <w:p w14:paraId="6BA9EA09" w14:textId="3010D3F3" w:rsidR="00F831B3" w:rsidRDefault="00F831B3" w:rsidP="00F831B3">
            <w:pPr>
              <w:jc w:val="center"/>
            </w:pPr>
            <w:r>
              <w:t>d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70844417" w14:textId="028680D5" w:rsidR="00F831B3" w:rsidRDefault="00F831B3" w:rsidP="00F831B3">
            <w:pPr>
              <w:jc w:val="center"/>
            </w:pPr>
            <w:r>
              <w:t>g</w:t>
            </w:r>
          </w:p>
        </w:tc>
        <w:tc>
          <w:tcPr>
            <w:tcW w:w="1513" w:type="dxa"/>
            <w:shd w:val="clear" w:color="auto" w:fill="AEAAAA" w:themeFill="background2" w:themeFillShade="BF"/>
          </w:tcPr>
          <w:p w14:paraId="1D352B0E" w14:textId="67EA0FB8" w:rsidR="00F831B3" w:rsidRDefault="00F831B3" w:rsidP="00F831B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480" w:type="dxa"/>
            <w:shd w:val="clear" w:color="auto" w:fill="AEAAAA" w:themeFill="background2" w:themeFillShade="BF"/>
          </w:tcPr>
          <w:p w14:paraId="67ED0143" w14:textId="5ADED846" w:rsidR="00F831B3" w:rsidRDefault="00F831B3" w:rsidP="00F831B3">
            <w:pPr>
              <w:jc w:val="center"/>
              <w:rPr>
                <w:rFonts w:ascii="Calibri Light" w:eastAsia="Times New Roman" w:hAnsi="Calibri Light" w:cs="Times New Roman"/>
              </w:rPr>
            </w:pPr>
            <w:r>
              <w:rPr>
                <w:rFonts w:ascii="Calibri Light" w:eastAsia="Times New Roman" w:hAnsi="Calibri Light" w:cs="Times New Roman"/>
              </w:rPr>
              <w:t>BSLD_</w:t>
            </w:r>
            <w:r w:rsidRPr="00F831B3">
              <w:rPr>
                <w:rFonts w:eastAsia="Times New Roman" w:cstheme="minorHAnsi"/>
              </w:rPr>
              <w:t>BLIVER</w:t>
            </w:r>
          </w:p>
        </w:tc>
      </w:tr>
      <w:tr w:rsidR="00F831B3" w14:paraId="67769F9F" w14:textId="0A564E38" w:rsidTr="00F831B3">
        <w:tc>
          <w:tcPr>
            <w:tcW w:w="1711" w:type="dxa"/>
          </w:tcPr>
          <w:p w14:paraId="6A3C1776" w14:textId="3AE8BBAC" w:rsidR="00F831B3" w:rsidRDefault="00F831B3" w:rsidP="00302F4B">
            <w:pPr>
              <w:jc w:val="both"/>
            </w:pPr>
            <w:r>
              <w:t>Estimations</w:t>
            </w:r>
          </w:p>
        </w:tc>
        <w:tc>
          <w:tcPr>
            <w:tcW w:w="1578" w:type="dxa"/>
          </w:tcPr>
          <w:p w14:paraId="1E5CEA74" w14:textId="2CA7EFCA" w:rsidR="00F831B3" w:rsidRDefault="00F831B3" w:rsidP="00F831B3">
            <w:pPr>
              <w:jc w:val="center"/>
            </w:pPr>
            <w:r>
              <w:t>54.26</w:t>
            </w:r>
          </w:p>
        </w:tc>
        <w:tc>
          <w:tcPr>
            <w:tcW w:w="1504" w:type="dxa"/>
          </w:tcPr>
          <w:p w14:paraId="6D9B1CC9" w14:textId="2521DCAC" w:rsidR="00F831B3" w:rsidRDefault="00F831B3" w:rsidP="00F831B3">
            <w:pPr>
              <w:jc w:val="center"/>
            </w:pPr>
            <w:r>
              <w:t>0.004</w:t>
            </w:r>
          </w:p>
        </w:tc>
        <w:tc>
          <w:tcPr>
            <w:tcW w:w="1502" w:type="dxa"/>
          </w:tcPr>
          <w:p w14:paraId="72AC3125" w14:textId="0CFE0499" w:rsidR="00F831B3" w:rsidRDefault="00F831B3" w:rsidP="00F831B3">
            <w:pPr>
              <w:jc w:val="center"/>
            </w:pPr>
            <w:r>
              <w:t>0.0017</w:t>
            </w:r>
          </w:p>
        </w:tc>
        <w:tc>
          <w:tcPr>
            <w:tcW w:w="1513" w:type="dxa"/>
          </w:tcPr>
          <w:p w14:paraId="52E64875" w14:textId="7772835F" w:rsidR="00F831B3" w:rsidRDefault="00F831B3" w:rsidP="00F831B3">
            <w:pPr>
              <w:jc w:val="center"/>
            </w:pPr>
            <w:r>
              <w:t>0.4</w:t>
            </w:r>
          </w:p>
        </w:tc>
        <w:tc>
          <w:tcPr>
            <w:tcW w:w="1480" w:type="dxa"/>
          </w:tcPr>
          <w:p w14:paraId="2C037CE2" w14:textId="426B7914" w:rsidR="00F831B3" w:rsidRDefault="00F831B3" w:rsidP="00F831B3">
            <w:pPr>
              <w:jc w:val="center"/>
            </w:pPr>
            <w:r>
              <w:t>0.45</w:t>
            </w:r>
          </w:p>
        </w:tc>
      </w:tr>
    </w:tbl>
    <w:p w14:paraId="4E7AF501" w14:textId="77777777" w:rsidR="0077457C" w:rsidRDefault="0077457C" w:rsidP="00302F4B">
      <w:pPr>
        <w:jc w:val="both"/>
      </w:pPr>
    </w:p>
    <w:p w14:paraId="67CE7921" w14:textId="6D65CCD3" w:rsidR="003937C4" w:rsidRDefault="00944E1E">
      <w:r>
        <w:t>Le modèle complet est disponible en annexe</w:t>
      </w:r>
      <w:r w:rsidR="005726E0">
        <w:t xml:space="preserve"> : </w:t>
      </w:r>
      <w:r w:rsidR="005726E0">
        <w:fldChar w:fldCharType="begin"/>
      </w:r>
      <w:r w:rsidR="005726E0">
        <w:instrText xml:space="preserve"> REF _Ref91013961 \h </w:instrText>
      </w:r>
      <w:r w:rsidR="005726E0">
        <w:fldChar w:fldCharType="separate"/>
      </w:r>
      <w:r w:rsidR="005726E0">
        <w:t xml:space="preserve">Tableau </w:t>
      </w:r>
      <w:r w:rsidR="005726E0">
        <w:rPr>
          <w:noProof/>
        </w:rPr>
        <w:t>2</w:t>
      </w:r>
      <w:r w:rsidR="005726E0">
        <w:fldChar w:fldCharType="end"/>
      </w:r>
      <w:r w:rsidR="005726E0">
        <w:t>.</w:t>
      </w:r>
    </w:p>
    <w:p w14:paraId="51B21793" w14:textId="77777777" w:rsidR="003937C4" w:rsidRDefault="003937C4" w:rsidP="003937C4">
      <w:pPr>
        <w:pStyle w:val="Titre3"/>
        <w:numPr>
          <w:ilvl w:val="0"/>
          <w:numId w:val="10"/>
        </w:numPr>
      </w:pPr>
    </w:p>
    <w:p w14:paraId="08D7899F" w14:textId="4FC74D23" w:rsidR="003937C4" w:rsidRDefault="003937C4"/>
    <w:p w14:paraId="2BE71048" w14:textId="40FD0D1D" w:rsidR="003937C4" w:rsidRDefault="003937C4" w:rsidP="003937C4">
      <w:pPr>
        <w:jc w:val="both"/>
      </w:pPr>
      <w:r>
        <w:t>Le temps à laquelle la valeur de SLD est minimale dans le meilleur modèle est obtenu en annulant l</w:t>
      </w:r>
      <w:r w:rsidR="00751604">
        <w:t>a</w:t>
      </w:r>
      <w:r>
        <w:t xml:space="preserve"> </w:t>
      </w:r>
      <w:r w:rsidR="00751604">
        <w:t>dérivée</w:t>
      </w:r>
      <w:r>
        <w:t xml:space="preserve"> du modèle</w:t>
      </w:r>
      <w:r w:rsidR="00751604">
        <w:t xml:space="preserve"> par rapport au temps</w:t>
      </w:r>
      <w:r>
        <w:t xml:space="preserve">. Le modèle atteint bien un unique minimum puisque strictement convexe (somme de fonctions strictement convexes). </w:t>
      </w:r>
    </w:p>
    <w:p w14:paraId="266AC995" w14:textId="79EE6248" w:rsidR="0001421A" w:rsidRDefault="0001421A"/>
    <w:p w14:paraId="493D5632" w14:textId="16A3229E" w:rsidR="008C2F27" w:rsidRDefault="008C2F27">
      <m:oMathPara>
        <m:oMath>
          <m:r>
            <w:rPr>
              <w:rFonts w:ascii="Cambria Math" w:hAnsi="Cambria Math"/>
            </w:rPr>
            <m:t>SL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=BSLD×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-d×ϕ×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-d×t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  <m:r>
                <w:rPr>
                  <w:rFonts w:ascii="Cambria Math" w:hAnsi="Cambria Math"/>
                </w:rPr>
                <m:t>×g×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g×t</m:t>
                  </m:r>
                </m:sup>
              </m:sSup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14:paraId="0ACAF748" w14:textId="265BB9F4" w:rsidR="003937C4" w:rsidRDefault="00E94ED0">
      <m:oMathPara>
        <m:oMath>
          <m:r>
            <w:rPr>
              <w:rFonts w:ascii="Cambria Math" w:hAnsi="Cambria Math"/>
            </w:rPr>
            <m:t>SL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 ⇔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3F2CAD2" w14:textId="56E12CE3" w:rsidR="000725FF" w:rsidRPr="00E94ED0" w:rsidRDefault="00E94ED0" w:rsidP="00E94ED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SLD×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-d×ϕ×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-d×t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  <m:r>
                <w:rPr>
                  <w:rFonts w:ascii="Cambria Math" w:hAnsi="Cambria Math"/>
                </w:rPr>
                <m:t>×g×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g×t</m:t>
                  </m:r>
                </m:sup>
              </m:sSup>
              <m:r>
                <w:rPr>
                  <w:rFonts w:ascii="Cambria Math" w:hAnsi="Cambria Math"/>
                </w:rPr>
                <m:t xml:space="preserve">   </m:t>
              </m:r>
            </m:e>
          </m:d>
          <m:r>
            <w:rPr>
              <w:rFonts w:ascii="Cambria Math" w:hAnsi="Cambria Math"/>
            </w:rPr>
            <m:t>=0⇔</m:t>
          </m:r>
        </m:oMath>
      </m:oMathPara>
    </w:p>
    <w:p w14:paraId="72BA9327" w14:textId="2931DB56" w:rsidR="00E94ED0" w:rsidRPr="00E94ED0" w:rsidRDefault="00E94ED0" w:rsidP="00E94ED0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1-ϕ</m:t>
              </m:r>
            </m:e>
          </m:d>
          <m:r>
            <w:rPr>
              <w:rFonts w:ascii="Cambria Math" w:hAnsi="Cambria Math"/>
            </w:rPr>
            <m:t>×g×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g×t</m:t>
              </m:r>
            </m:sup>
          </m:sSup>
          <m:r>
            <w:rPr>
              <w:rFonts w:ascii="Cambria Math" w:hAnsi="Cambria Math"/>
            </w:rPr>
            <m:t>=ϕ×d×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-d×t</m:t>
              </m:r>
            </m:sup>
          </m:sSup>
          <m:r>
            <w:rPr>
              <w:rFonts w:ascii="Cambria Math" w:hAnsi="Cambria Math"/>
            </w:rPr>
            <m:t>⇔</m:t>
          </m:r>
        </m:oMath>
      </m:oMathPara>
    </w:p>
    <w:p w14:paraId="78B834DA" w14:textId="79FC35EC" w:rsidR="00E94ED0" w:rsidRPr="00E94ED0" w:rsidRDefault="00E94ED0" w:rsidP="00E94ED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g+d</m:t>
                  </m:r>
                </m:e>
              </m:d>
              <m:r>
                <w:rPr>
                  <w:rFonts w:ascii="Cambria Math" w:hAnsi="Cambria Math"/>
                </w:rPr>
                <m:t>×t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 ×ϕ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  <m:r>
                <w:rPr>
                  <w:rFonts w:ascii="Cambria Math" w:hAnsi="Cambria Math"/>
                </w:rPr>
                <m:t>×g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8E5EE37" w14:textId="1C4BF778" w:rsidR="00E94ED0" w:rsidRPr="009061DD" w:rsidRDefault="009061DD" w:rsidP="00E94ED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d×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×g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g+d</m:t>
              </m:r>
            </m:den>
          </m:f>
        </m:oMath>
      </m:oMathPara>
    </w:p>
    <w:p w14:paraId="55C09CB1" w14:textId="7E27806C" w:rsidR="009061DD" w:rsidRDefault="009061DD" w:rsidP="009061DD">
      <w:pPr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r>
          <w:rPr>
            <w:rFonts w:ascii="Cambria Math" w:eastAsiaTheme="minorEastAsia" w:hAnsi="Cambria Math"/>
          </w:rPr>
          <m:t xml:space="preserve">SLD(t) </m:t>
        </m:r>
      </m:oMath>
      <w:r>
        <w:rPr>
          <w:rFonts w:eastAsiaTheme="minorEastAsia"/>
        </w:rPr>
        <w:t xml:space="preserve">est minimisée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057227CA" w14:textId="3FC05A1B" w:rsidR="009061DD" w:rsidRDefault="009061DD" w:rsidP="009061DD">
      <w:pPr>
        <w:rPr>
          <w:rFonts w:eastAsiaTheme="minorEastAsia"/>
        </w:rPr>
      </w:pPr>
      <w:r>
        <w:rPr>
          <w:rFonts w:eastAsiaTheme="minorEastAsia"/>
        </w:rPr>
        <w:t xml:space="preserve">Par les données précédentes, t* = </w:t>
      </w:r>
      <w:r w:rsidR="006C0097">
        <w:rPr>
          <w:rFonts w:eastAsiaTheme="minorEastAsia"/>
        </w:rPr>
        <w:t>79</w:t>
      </w:r>
      <w:r>
        <w:rPr>
          <w:rFonts w:eastAsiaTheme="minorEastAsia"/>
        </w:rPr>
        <w:t xml:space="preserve">. Le traitement permet une minimisation de la somme des diamètres des tumeurs au </w:t>
      </w:r>
      <w:r w:rsidR="006C0097">
        <w:rPr>
          <w:rFonts w:eastAsiaTheme="minorEastAsia"/>
        </w:rPr>
        <w:t>79</w:t>
      </w:r>
      <w:r w:rsidRPr="009061DD"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jour de traitement.</w:t>
      </w:r>
    </w:p>
    <w:p w14:paraId="61C9928B" w14:textId="04735448" w:rsidR="00F831B3" w:rsidRDefault="00F831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7501EE" w14:textId="1F97FB31" w:rsidR="00F831B3" w:rsidRDefault="00F831B3" w:rsidP="00F831B3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Annexe</w:t>
      </w:r>
    </w:p>
    <w:p w14:paraId="248C41EC" w14:textId="33C9BA46" w:rsidR="00F831B3" w:rsidRDefault="00F831B3" w:rsidP="00F831B3"/>
    <w:p w14:paraId="647A6017" w14:textId="28363A20" w:rsidR="00F831B3" w:rsidRDefault="00F831B3" w:rsidP="00F831B3">
      <w:pPr>
        <w:pStyle w:val="Lgende"/>
        <w:keepNext/>
        <w:jc w:val="center"/>
      </w:pPr>
      <w:bookmarkStart w:id="0" w:name="_Ref91013950"/>
      <w:bookmarkStart w:id="1" w:name="_Ref91013961"/>
      <w:r>
        <w:t xml:space="preserve">Tableau </w:t>
      </w:r>
      <w:fldSimple w:instr=" SEQ Tableau \* ARABIC ">
        <w:r>
          <w:rPr>
            <w:noProof/>
          </w:rPr>
          <w:t>2</w:t>
        </w:r>
      </w:fldSimple>
      <w:bookmarkEnd w:id="1"/>
      <w:r>
        <w:t>: Modèle final</w:t>
      </w:r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823"/>
        <w:gridCol w:w="1027"/>
        <w:gridCol w:w="1084"/>
      </w:tblGrid>
      <w:tr w:rsidR="00F831B3" w:rsidRPr="00F831B3" w14:paraId="49F9D9B3" w14:textId="77777777" w:rsidTr="00F831B3">
        <w:trPr>
          <w:trHeight w:val="525"/>
          <w:tblHeader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B51078" w14:textId="77777777" w:rsidR="00F831B3" w:rsidRPr="00F831B3" w:rsidRDefault="00F831B3" w:rsidP="00F83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58FC6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aps/>
                <w:color w:val="222222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aps/>
                <w:color w:val="222222"/>
                <w:sz w:val="21"/>
                <w:szCs w:val="21"/>
                <w:lang w:eastAsia="fr-FR"/>
              </w:rPr>
              <w:t>VALUE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A9AA5F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  <w:t>STOCH. APPROX.</w:t>
            </w:r>
          </w:p>
        </w:tc>
      </w:tr>
      <w:tr w:rsidR="00F831B3" w:rsidRPr="00F831B3" w14:paraId="52E80CA4" w14:textId="77777777" w:rsidTr="00F831B3">
        <w:trPr>
          <w:trHeight w:val="525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1840B" w14:textId="77777777" w:rsidR="00F831B3" w:rsidRPr="00F831B3" w:rsidRDefault="00F831B3" w:rsidP="00F83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34F92" w14:textId="77777777" w:rsidR="00F831B3" w:rsidRPr="00F831B3" w:rsidRDefault="00F831B3" w:rsidP="00F831B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aps/>
                <w:color w:val="2222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06902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  <w:t>S.E.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E94AD1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aps/>
                <w:color w:val="FFFFFF"/>
                <w:sz w:val="21"/>
                <w:szCs w:val="21"/>
                <w:lang w:eastAsia="fr-FR"/>
              </w:rPr>
              <w:t>R.S.E.(%)</w:t>
            </w:r>
          </w:p>
        </w:tc>
      </w:tr>
      <w:tr w:rsidR="00F831B3" w:rsidRPr="00F831B3" w14:paraId="634CDB67" w14:textId="77777777" w:rsidTr="00F831B3">
        <w:trPr>
          <w:trHeight w:val="525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39CBD1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Fixed</w:t>
            </w:r>
            <w:proofErr w:type="spellEnd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Effects</w:t>
            </w:r>
            <w:proofErr w:type="spellEnd"/>
          </w:p>
        </w:tc>
      </w:tr>
      <w:tr w:rsidR="00F831B3" w:rsidRPr="00F831B3" w14:paraId="234DA8A4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89ED64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BSLD_pop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64C92E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54.26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86B7DC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10.78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485E11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19.9</w:t>
            </w:r>
          </w:p>
        </w:tc>
      </w:tr>
      <w:tr w:rsidR="00F831B3" w:rsidRPr="00F831B3" w14:paraId="3CEA3256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4B55CB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beta_BSLD_BLIVER_TRUE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27521E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862F07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C6E91F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D2B11D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b/>
                <w:bCs/>
                <w:color w:val="D2B11D"/>
                <w:sz w:val="17"/>
                <w:szCs w:val="17"/>
                <w:lang w:eastAsia="fr-FR"/>
              </w:rPr>
              <w:t>51.4</w:t>
            </w:r>
          </w:p>
        </w:tc>
      </w:tr>
      <w:tr w:rsidR="00F831B3" w:rsidRPr="00F831B3" w14:paraId="1AD4F8AC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99F29E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FD8E62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4C3086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EE663C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0.322</w:t>
            </w:r>
          </w:p>
        </w:tc>
      </w:tr>
      <w:tr w:rsidR="00F831B3" w:rsidRPr="00F831B3" w14:paraId="60F99183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548F1C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g_pop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0320F5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140D2D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4A5DB4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0.798</w:t>
            </w:r>
          </w:p>
        </w:tc>
      </w:tr>
      <w:tr w:rsidR="00F831B3" w:rsidRPr="00F831B3" w14:paraId="2D278C02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504799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phi_pop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D79FD5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1B93C1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004A1A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  <w:t>265</w:t>
            </w:r>
          </w:p>
        </w:tc>
      </w:tr>
      <w:tr w:rsidR="00F831B3" w:rsidRPr="00F831B3" w14:paraId="785E9B3D" w14:textId="77777777" w:rsidTr="00F831B3">
        <w:trPr>
          <w:trHeight w:val="525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32E3EB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Standard </w:t>
            </w: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Deviation</w:t>
            </w:r>
            <w:proofErr w:type="spellEnd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of the </w:t>
            </w: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Random</w:t>
            </w:r>
            <w:proofErr w:type="spellEnd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Effects</w:t>
            </w:r>
            <w:proofErr w:type="spellEnd"/>
          </w:p>
        </w:tc>
      </w:tr>
      <w:tr w:rsidR="00F831B3" w:rsidRPr="00F831B3" w14:paraId="5912193B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767070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omega_BSLD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C46D80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A9A829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A4EC82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12.4</w:t>
            </w:r>
          </w:p>
        </w:tc>
      </w:tr>
      <w:tr w:rsidR="00F831B3" w:rsidRPr="00F831B3" w14:paraId="55B6BA8B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5EDCC1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omega_d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47964E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5DFF08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0DC7CC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D2B11D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b/>
                <w:bCs/>
                <w:color w:val="D2B11D"/>
                <w:sz w:val="17"/>
                <w:szCs w:val="17"/>
                <w:lang w:eastAsia="fr-FR"/>
              </w:rPr>
              <w:t>67.1</w:t>
            </w:r>
          </w:p>
        </w:tc>
      </w:tr>
      <w:tr w:rsidR="00F831B3" w:rsidRPr="00F831B3" w14:paraId="0534537C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1F53BD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omega_g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DC736A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44B015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23D1CB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  <w:t>281</w:t>
            </w:r>
          </w:p>
        </w:tc>
      </w:tr>
      <w:tr w:rsidR="00F831B3" w:rsidRPr="00F831B3" w14:paraId="30675C8A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35D8A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omega_phi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D85864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C3C553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75E88D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b/>
                <w:bCs/>
                <w:color w:val="711820"/>
                <w:sz w:val="17"/>
                <w:szCs w:val="17"/>
                <w:lang w:eastAsia="fr-FR"/>
              </w:rPr>
              <w:t>334</w:t>
            </w:r>
          </w:p>
        </w:tc>
      </w:tr>
      <w:tr w:rsidR="00F831B3" w:rsidRPr="00F831B3" w14:paraId="61E28721" w14:textId="77777777" w:rsidTr="00F831B3">
        <w:trPr>
          <w:trHeight w:val="525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55E298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Error</w:t>
            </w:r>
            <w:proofErr w:type="spellEnd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 xml:space="preserve"> Model </w:t>
            </w:r>
            <w:proofErr w:type="spellStart"/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Parameters</w:t>
            </w:r>
            <w:proofErr w:type="spellEnd"/>
          </w:p>
        </w:tc>
      </w:tr>
      <w:tr w:rsidR="00F831B3" w:rsidRPr="00F831B3" w14:paraId="7403E799" w14:textId="77777777" w:rsidTr="00F831B3">
        <w:trPr>
          <w:trHeight w:val="52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66F9BE" w14:textId="77777777" w:rsidR="00F831B3" w:rsidRPr="00F831B3" w:rsidRDefault="00F831B3" w:rsidP="00F831B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</w:pPr>
            <w:r w:rsidRPr="00F831B3">
              <w:rPr>
                <w:rFonts w:ascii="Source Sans Pro" w:eastAsia="Times New Roman" w:hAnsi="Source Sans Pro" w:cs="Times New Roman"/>
                <w:b/>
                <w:bCs/>
                <w:color w:val="FFFFFF"/>
                <w:sz w:val="21"/>
                <w:szCs w:val="21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87D86B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67E60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AB0C4F" w14:textId="77777777" w:rsidR="00F831B3" w:rsidRPr="00F831B3" w:rsidRDefault="00F831B3" w:rsidP="00F831B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</w:pPr>
            <w:r w:rsidRPr="00F831B3">
              <w:rPr>
                <w:rFonts w:ascii="Courier New" w:eastAsia="Times New Roman" w:hAnsi="Courier New" w:cs="Courier New"/>
                <w:color w:val="222222"/>
                <w:sz w:val="17"/>
                <w:szCs w:val="17"/>
                <w:lang w:eastAsia="fr-FR"/>
              </w:rPr>
              <w:t>17.9</w:t>
            </w:r>
          </w:p>
        </w:tc>
      </w:tr>
    </w:tbl>
    <w:p w14:paraId="5CFBEA77" w14:textId="77777777" w:rsidR="00F831B3" w:rsidRPr="00F831B3" w:rsidRDefault="00F831B3" w:rsidP="00F831B3"/>
    <w:p w14:paraId="1D46A4EF" w14:textId="7AD0803A" w:rsidR="00F831B3" w:rsidRPr="000725FF" w:rsidRDefault="00332BCA" w:rsidP="009061DD"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11541AE6" wp14:editId="6B2E05EC">
            <wp:simplePos x="0" y="0"/>
            <wp:positionH relativeFrom="column">
              <wp:posOffset>939165</wp:posOffset>
            </wp:positionH>
            <wp:positionV relativeFrom="paragraph">
              <wp:posOffset>205031</wp:posOffset>
            </wp:positionV>
            <wp:extent cx="3891280" cy="4247515"/>
            <wp:effectExtent l="0" t="0" r="0" b="63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5EAA4A" wp14:editId="6ED8CA6D">
                <wp:simplePos x="0" y="0"/>
                <wp:positionH relativeFrom="column">
                  <wp:posOffset>939165</wp:posOffset>
                </wp:positionH>
                <wp:positionV relativeFrom="paragraph">
                  <wp:posOffset>-7251</wp:posOffset>
                </wp:positionV>
                <wp:extent cx="3891280" cy="1911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28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46D4D" w14:textId="55236ADA" w:rsidR="00332BCA" w:rsidRPr="0097100D" w:rsidRDefault="00332BCA" w:rsidP="00332BCA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visual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preductive</w:t>
                            </w:r>
                            <w:proofErr w:type="spellEnd"/>
                            <w:r>
                              <w:t xml:space="preserve"> check du modèle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AA4A" id="Zone de texte 5" o:spid="_x0000_s1027" type="#_x0000_t202" style="position:absolute;margin-left:73.95pt;margin-top:-.55pt;width:306.4pt;height:15.0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" stroked="f">
                <v:textbox inset="0,0,0,0">
                  <w:txbxContent>
                    <w:p w14:paraId="03846D4D" w14:textId="55236ADA" w:rsidR="00332BCA" w:rsidRPr="0097100D" w:rsidRDefault="00332BCA" w:rsidP="00332BCA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visual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preductive</w:t>
                      </w:r>
                      <w:proofErr w:type="spellEnd"/>
                      <w:r>
                        <w:t xml:space="preserve"> check du modèle final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F831B3" w:rsidRPr="0007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A005" w14:textId="77777777" w:rsidR="004958EE" w:rsidRDefault="004958EE" w:rsidP="001426A1">
      <w:pPr>
        <w:spacing w:after="0" w:line="240" w:lineRule="auto"/>
      </w:pPr>
      <w:r>
        <w:separator/>
      </w:r>
    </w:p>
  </w:endnote>
  <w:endnote w:type="continuationSeparator" w:id="0">
    <w:p w14:paraId="45997B43" w14:textId="77777777" w:rsidR="004958EE" w:rsidRDefault="004958EE" w:rsidP="0014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0D22" w14:textId="77777777" w:rsidR="004958EE" w:rsidRDefault="004958EE" w:rsidP="001426A1">
      <w:pPr>
        <w:spacing w:after="0" w:line="240" w:lineRule="auto"/>
      </w:pPr>
      <w:r>
        <w:separator/>
      </w:r>
    </w:p>
  </w:footnote>
  <w:footnote w:type="continuationSeparator" w:id="0">
    <w:p w14:paraId="47133F5E" w14:textId="77777777" w:rsidR="004958EE" w:rsidRDefault="004958EE" w:rsidP="001426A1">
      <w:pPr>
        <w:spacing w:after="0" w:line="240" w:lineRule="auto"/>
      </w:pPr>
      <w:r>
        <w:continuationSeparator/>
      </w:r>
    </w:p>
  </w:footnote>
  <w:footnote w:id="1">
    <w:p w14:paraId="641C3EAA" w14:textId="4DF7BA0E" w:rsidR="001426A1" w:rsidRPr="000725FF" w:rsidRDefault="001426A1" w:rsidP="001426A1">
      <w:r>
        <w:rPr>
          <w:rStyle w:val="Appelnotedebasdep"/>
        </w:rPr>
        <w:footnoteRef/>
      </w:r>
      <w:r>
        <w:t xml:space="preserve"> Recommandations niveau d’hémoglobine OMS : </w:t>
      </w:r>
      <w:hyperlink r:id="rId1" w:history="1">
        <w:r w:rsidRPr="004958BB">
          <w:rPr>
            <w:rStyle w:val="Lienhypertexte"/>
          </w:rPr>
          <w:t>https://www.who.int/vmnis/indicators/haemoglobin_fr.pdf</w:t>
        </w:r>
      </w:hyperlink>
    </w:p>
    <w:p w14:paraId="50F63A2B" w14:textId="2A9CE058" w:rsidR="001426A1" w:rsidRDefault="001426A1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61D"/>
    <w:multiLevelType w:val="hybridMultilevel"/>
    <w:tmpl w:val="A21A6268"/>
    <w:lvl w:ilvl="0" w:tplc="E5D4A9C8">
      <w:start w:val="1"/>
      <w:numFmt w:val="decimal"/>
      <w:lvlText w:val="Question 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DD7"/>
    <w:multiLevelType w:val="hybridMultilevel"/>
    <w:tmpl w:val="CE4E37A0"/>
    <w:lvl w:ilvl="0" w:tplc="E5D4A9C8">
      <w:start w:val="1"/>
      <w:numFmt w:val="decimal"/>
      <w:lvlText w:val="Question 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4073F"/>
    <w:multiLevelType w:val="hybridMultilevel"/>
    <w:tmpl w:val="CF88217C"/>
    <w:lvl w:ilvl="0" w:tplc="E5D4A9C8">
      <w:start w:val="1"/>
      <w:numFmt w:val="decimal"/>
      <w:lvlText w:val="Question 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5E06"/>
    <w:multiLevelType w:val="hybridMultilevel"/>
    <w:tmpl w:val="934E9B9A"/>
    <w:lvl w:ilvl="0" w:tplc="4C782E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3659C"/>
    <w:multiLevelType w:val="hybridMultilevel"/>
    <w:tmpl w:val="B9A6CB5C"/>
    <w:lvl w:ilvl="0" w:tplc="E5D4A9C8">
      <w:start w:val="1"/>
      <w:numFmt w:val="decimal"/>
      <w:lvlText w:val="Question 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32014"/>
    <w:multiLevelType w:val="hybridMultilevel"/>
    <w:tmpl w:val="93EADD80"/>
    <w:lvl w:ilvl="0" w:tplc="D87CC26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9782A"/>
    <w:multiLevelType w:val="hybridMultilevel"/>
    <w:tmpl w:val="BD90BAFE"/>
    <w:lvl w:ilvl="0" w:tplc="D87CC2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F26BF"/>
    <w:multiLevelType w:val="hybridMultilevel"/>
    <w:tmpl w:val="49E2B486"/>
    <w:lvl w:ilvl="0" w:tplc="E5D4A9C8">
      <w:start w:val="1"/>
      <w:numFmt w:val="decimal"/>
      <w:lvlText w:val="Question 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14F1E"/>
    <w:multiLevelType w:val="hybridMultilevel"/>
    <w:tmpl w:val="9AAC563A"/>
    <w:lvl w:ilvl="0" w:tplc="071E87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636D"/>
    <w:multiLevelType w:val="hybridMultilevel"/>
    <w:tmpl w:val="2D9885C0"/>
    <w:lvl w:ilvl="0" w:tplc="BFEC4072">
      <w:start w:val="1"/>
      <w:numFmt w:val="decimal"/>
      <w:lvlText w:val="Question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228"/>
    <w:rsid w:val="0001421A"/>
    <w:rsid w:val="000319AD"/>
    <w:rsid w:val="000725FF"/>
    <w:rsid w:val="000A4715"/>
    <w:rsid w:val="000E7A48"/>
    <w:rsid w:val="000F43F1"/>
    <w:rsid w:val="00113E79"/>
    <w:rsid w:val="001174E7"/>
    <w:rsid w:val="001426A1"/>
    <w:rsid w:val="00161838"/>
    <w:rsid w:val="00163AC8"/>
    <w:rsid w:val="00184EB1"/>
    <w:rsid w:val="001C0BA5"/>
    <w:rsid w:val="001D4547"/>
    <w:rsid w:val="00287757"/>
    <w:rsid w:val="002C373A"/>
    <w:rsid w:val="002D3228"/>
    <w:rsid w:val="00302F4B"/>
    <w:rsid w:val="00307C0B"/>
    <w:rsid w:val="00332BCA"/>
    <w:rsid w:val="0034311C"/>
    <w:rsid w:val="003574AB"/>
    <w:rsid w:val="00361148"/>
    <w:rsid w:val="00363CEE"/>
    <w:rsid w:val="00365217"/>
    <w:rsid w:val="00371147"/>
    <w:rsid w:val="003937C4"/>
    <w:rsid w:val="003A47B6"/>
    <w:rsid w:val="003B6B65"/>
    <w:rsid w:val="003F1D60"/>
    <w:rsid w:val="003F35BE"/>
    <w:rsid w:val="004271FC"/>
    <w:rsid w:val="004934DF"/>
    <w:rsid w:val="004958EE"/>
    <w:rsid w:val="004A35D6"/>
    <w:rsid w:val="004B6F0D"/>
    <w:rsid w:val="004F650B"/>
    <w:rsid w:val="00565F33"/>
    <w:rsid w:val="005726E0"/>
    <w:rsid w:val="0058020D"/>
    <w:rsid w:val="005C662F"/>
    <w:rsid w:val="006513CD"/>
    <w:rsid w:val="0066503B"/>
    <w:rsid w:val="006807A2"/>
    <w:rsid w:val="0068770C"/>
    <w:rsid w:val="00695508"/>
    <w:rsid w:val="006B130B"/>
    <w:rsid w:val="006C0097"/>
    <w:rsid w:val="006C0B6E"/>
    <w:rsid w:val="006E7235"/>
    <w:rsid w:val="007012D1"/>
    <w:rsid w:val="00706C27"/>
    <w:rsid w:val="00751604"/>
    <w:rsid w:val="0077457C"/>
    <w:rsid w:val="007848B6"/>
    <w:rsid w:val="007D05B0"/>
    <w:rsid w:val="007D46CB"/>
    <w:rsid w:val="007E26E9"/>
    <w:rsid w:val="00852BAF"/>
    <w:rsid w:val="008661A3"/>
    <w:rsid w:val="00883CB2"/>
    <w:rsid w:val="00892782"/>
    <w:rsid w:val="008C2F27"/>
    <w:rsid w:val="008F007E"/>
    <w:rsid w:val="009061DD"/>
    <w:rsid w:val="00944E1E"/>
    <w:rsid w:val="009D0EAB"/>
    <w:rsid w:val="009F60F8"/>
    <w:rsid w:val="00A00D10"/>
    <w:rsid w:val="00A141B6"/>
    <w:rsid w:val="00A16738"/>
    <w:rsid w:val="00A31C3E"/>
    <w:rsid w:val="00A54C3E"/>
    <w:rsid w:val="00AA304D"/>
    <w:rsid w:val="00AC6F06"/>
    <w:rsid w:val="00B5256C"/>
    <w:rsid w:val="00B77EF7"/>
    <w:rsid w:val="00C32F35"/>
    <w:rsid w:val="00C56CAE"/>
    <w:rsid w:val="00C74B36"/>
    <w:rsid w:val="00D2775A"/>
    <w:rsid w:val="00D76D2D"/>
    <w:rsid w:val="00D86E8C"/>
    <w:rsid w:val="00D9331C"/>
    <w:rsid w:val="00DF7885"/>
    <w:rsid w:val="00E94ED0"/>
    <w:rsid w:val="00F200B5"/>
    <w:rsid w:val="00F319EE"/>
    <w:rsid w:val="00F33784"/>
    <w:rsid w:val="00F33C10"/>
    <w:rsid w:val="00F3443B"/>
    <w:rsid w:val="00F831B3"/>
    <w:rsid w:val="00F8791D"/>
    <w:rsid w:val="00F979B6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4AA"/>
  <w15:docId w15:val="{39B55D7E-C85B-43BB-BE76-2E1C4435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3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32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D322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4F650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F650B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725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25F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25FF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161838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26A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26A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26A1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1426A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A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661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tre-Vivi1/Pharma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vmnis/indicators/haemoglobin_f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6761E-AB73-4610-987B-6848A1A1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1404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Dupont Vivien</dc:creator>
  <cp:lastModifiedBy>Dupont Vivien</cp:lastModifiedBy>
  <cp:revision>51</cp:revision>
  <dcterms:created xsi:type="dcterms:W3CDTF">2021-12-06T17:15:00Z</dcterms:created>
  <dcterms:modified xsi:type="dcterms:W3CDTF">2021-12-21T20:31:00Z</dcterms:modified>
</cp:coreProperties>
</file>