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
    </w:p>
    <w:p>
      <w:pPr>
        <w:pStyle w:val="Normal"/>
        <w:jc w:val="both"/>
        <w:rPr/>
      </w:pPr>
      <w:r>
        <w:rPr/>
      </w:r>
    </w:p>
    <w:p>
      <w:pPr>
        <w:pStyle w:val="Normal"/>
        <w:jc w:val="center"/>
        <w:rPr/>
      </w:pPr>
      <w:r>
        <w:rPr>
          <w:b/>
          <w:bCs/>
          <w:u w:val="single"/>
        </w:rPr>
        <w:t>Umowa sprzedaży tuczników</w:t>
      </w:r>
    </w:p>
    <w:p>
      <w:pPr>
        <w:pStyle w:val="Normal"/>
        <w:jc w:val="center"/>
        <w:rPr/>
      </w:pPr>
      <w:r>
        <w:rPr>
          <w:b/>
          <w:bCs/>
          <w:u w:val="single"/>
        </w:rPr>
        <w:t>(cena minimalna)</w:t>
      </w:r>
    </w:p>
    <w:p>
      <w:pPr>
        <w:pStyle w:val="Normal"/>
        <w:jc w:val="both"/>
        <w:rPr/>
      </w:pPr>
      <w:r>
        <w:rPr/>
      </w:r>
    </w:p>
    <w:p>
      <w:pPr>
        <w:pStyle w:val="Normal"/>
        <w:jc w:val="both"/>
        <w:rPr/>
      </w:pPr>
      <w:r>
        <w:rPr/>
        <w:t>zawarta w ${placesigning}, w dniu ${datesigning}, pomiędzy:</w:t>
      </w:r>
    </w:p>
    <w:p>
      <w:pPr>
        <w:pStyle w:val="Normal"/>
        <w:jc w:val="both"/>
        <w:rPr/>
      </w:pPr>
      <w:r>
        <w:rPr/>
        <w:t xml:space="preserve">${farmer}, PESEL ${farmerpesel}, zam. ${farmeraddresswork} </w:t>
      </w:r>
    </w:p>
    <w:p>
      <w:pPr>
        <w:pStyle w:val="Normal"/>
        <w:jc w:val="both"/>
        <w:rPr/>
      </w:pPr>
      <w:r>
        <w:rPr/>
        <w:t>prowadzący gospodarstwo rolne: ${farmeraddress}</w:t>
      </w:r>
    </w:p>
    <w:p>
      <w:pPr>
        <w:pStyle w:val="Normal"/>
        <w:jc w:val="both"/>
        <w:rPr/>
      </w:pPr>
      <w:r>
        <w:rPr/>
        <w:t>zwanym dalej „</w:t>
      </w:r>
      <w:r>
        <w:rPr>
          <w:b/>
          <w:bCs/>
        </w:rPr>
        <w:t>Sprzedającym”</w:t>
      </w:r>
      <w:r>
        <w:rPr/>
        <w:t>,</w:t>
      </w:r>
    </w:p>
    <w:p>
      <w:pPr>
        <w:pStyle w:val="Normal"/>
        <w:jc w:val="both"/>
        <w:rPr/>
      </w:pPr>
      <w:r>
        <w:rPr/>
        <w:t>a</w:t>
      </w:r>
    </w:p>
    <w:p>
      <w:pPr>
        <w:pStyle w:val="Normal"/>
        <w:jc w:val="both"/>
        <w:rPr/>
      </w:pPr>
      <w:r>
        <w:rPr>
          <w:b/>
          <w:bCs/>
        </w:rPr>
        <w:t xml:space="preserve">Agro-Transhandel spółką z ograniczoną odpowiedzialnością </w:t>
      </w:r>
      <w:r>
        <w:rPr/>
        <w:t xml:space="preserve">z siedzibą w Szewcach, Buk (64-320), przy ul. Mylnej  12, wpisaną do rejestru przedsiębiorców prowadzonego przez Sąd Rejonowy Poznań – Nowe Miasto i Wilda w Poznaniu, IX Wydział Gospodarczy KRS pod nr 0000314803, o kapitale zakładowym w wysokości 50.000,00 złotych, posiadającą NIP 7773079562 i REGON 300947960, reprezentowaną przez Edytę Młynarczyk - Prezesa Zarządu, </w:t>
      </w:r>
    </w:p>
    <w:p>
      <w:pPr>
        <w:pStyle w:val="Normal"/>
        <w:spacing w:lineRule="auto" w:line="240"/>
        <w:jc w:val="both"/>
        <w:rPr/>
      </w:pPr>
      <w:r>
        <w:rPr/>
        <w:t>zwaną dalej „</w:t>
      </w:r>
      <w:r>
        <w:rPr>
          <w:b/>
          <w:bCs/>
        </w:rPr>
        <w:t>Kupującym”</w:t>
      </w:r>
      <w:r>
        <w:rPr/>
        <w:t xml:space="preserve">, </w:t>
      </w:r>
    </w:p>
    <w:p>
      <w:pPr>
        <w:pStyle w:val="Normal"/>
        <w:spacing w:lineRule="auto" w:line="240"/>
        <w:jc w:val="both"/>
        <w:rPr/>
      </w:pPr>
      <w:r>
        <w:rPr/>
        <w:t>zwani dalej łącznie „</w:t>
      </w:r>
      <w:r>
        <w:rPr>
          <w:b/>
          <w:bCs/>
        </w:rPr>
        <w:t>Stronami</w:t>
      </w:r>
      <w:r>
        <w:rPr/>
        <w:t>” lub osobno „</w:t>
      </w:r>
      <w:r>
        <w:rPr>
          <w:b/>
          <w:bCs/>
        </w:rPr>
        <w:t>Stroną</w:t>
      </w:r>
      <w:r>
        <w:rPr/>
        <w:t>”,</w:t>
      </w:r>
    </w:p>
    <w:p>
      <w:pPr>
        <w:pStyle w:val="Normal"/>
        <w:spacing w:lineRule="auto" w:line="240"/>
        <w:jc w:val="both"/>
        <w:rPr/>
      </w:pPr>
      <w:r>
        <w:rPr/>
        <w:t>zwana dalej „</w:t>
      </w:r>
      <w:r>
        <w:rPr>
          <w:b/>
          <w:bCs/>
        </w:rPr>
        <w:t>Umową</w:t>
      </w:r>
      <w:r>
        <w:rPr/>
        <w:t>”.</w:t>
      </w:r>
    </w:p>
    <w:p>
      <w:pPr>
        <w:pStyle w:val="Normal"/>
        <w:jc w:val="both"/>
        <w:rPr/>
      </w:pPr>
      <w:r>
        <w:rPr/>
      </w:r>
    </w:p>
    <w:p>
      <w:pPr>
        <w:pStyle w:val="Normal"/>
        <w:jc w:val="both"/>
        <w:rPr/>
      </w:pPr>
      <w:r>
        <w:rPr/>
        <w:t>Zważywszy, że Sprzedający nabył w dniu ${datefrom}  od Kupującego warchlaki w ilości ${pigamount} Sztuk, mając na uwadze dotychczasową współpracę gospodarczą Stron, aktualną sytuację na rynku krajowym wieprzowiny oraz interes ekonomiczny każdej ze Stron, Strony zgodnie postanawiają zawrzeć Umowę gwarantującą Sprzedającemu minimalną cenę bazową, tj. ${cenawbc} złotych kg/WBC, która może ulec jedynie podwyższeniu, i to w sytuacjach szczegółowo określonych w Umowie.</w:t>
      </w:r>
    </w:p>
    <w:p>
      <w:pPr>
        <w:pStyle w:val="Normal"/>
        <w:jc w:val="center"/>
        <w:rPr/>
      </w:pPr>
      <w:r>
        <w:rPr>
          <w:b/>
          <w:bCs/>
        </w:rPr>
        <w:t>§ 1</w:t>
      </w:r>
    </w:p>
    <w:p>
      <w:pPr>
        <w:pStyle w:val="Normal"/>
        <w:jc w:val="center"/>
        <w:rPr/>
      </w:pPr>
      <w:r>
        <w:rPr>
          <w:b/>
          <w:bCs/>
        </w:rPr>
        <w:t>PRZEDMIOT UMOWY</w:t>
      </w:r>
      <w:bookmarkStart w:id="0" w:name="_GoBack"/>
      <w:bookmarkEnd w:id="0"/>
    </w:p>
    <w:p>
      <w:pPr>
        <w:pStyle w:val="Normal"/>
        <w:jc w:val="both"/>
        <w:rPr/>
      </w:pPr>
      <w:r>
        <w:rPr/>
        <w:t xml:space="preserve">Mając na uwadze wstęp do Umowy, Sprzedający, najpóźniej do dnia ${dateendrange}, zobowiązuje się zbyć na rzecz Kupującego, poprzez ich wydanie, ${pigamount} sztuk tuczników, zaś Kupujący zobowiązuje się do ich odbioru oraz zapłacenia ceny sprzedaży ostatecznie ustalonej po uwzględnieniu wszystkich postanowień Umowy, w tym załącznika. Jednocześnie Strony zgodnie dopuszczają bufor dla Sprzedającego co do limitu ilościowego, tj. ${pigamount} – 3% sztuk tuczników, co oznacza, </w:t>
      </w:r>
    </w:p>
    <w:p>
      <w:pPr>
        <w:pStyle w:val="Normal"/>
        <w:tabs>
          <w:tab w:val="clear" w:pos="709"/>
          <w:tab w:val="right" w:pos="9072" w:leader="none"/>
        </w:tabs>
        <w:rPr>
          <w:bCs/>
          <w:i/>
          <w:i/>
          <w:sz w:val="16"/>
          <w:szCs w:val="16"/>
        </w:rPr>
      </w:pPr>
      <w:r>
        <w:rPr>
          <w:bCs/>
          <w:i/>
          <w:sz w:val="16"/>
          <w:szCs w:val="16"/>
        </w:rPr>
        <w:t>Umowa Cena Minimalna 2020rok, wersja 1</w:t>
      </w:r>
      <w:r>
        <w:rPr/>
        <w:tab/>
        <w:t xml:space="preserve">  Strona </w:t>
      </w:r>
      <w:r>
        <w:rPr>
          <w:b/>
          <w:bCs/>
        </w:rPr>
        <w:fldChar w:fldCharType="begin"/>
      </w:r>
      <w:r>
        <w:rPr>
          <w:b/>
          <w:bCs/>
        </w:rPr>
        <w:instrText> PAGE </w:instrText>
      </w:r>
      <w:r>
        <w:rPr>
          <w:b/>
          <w:bCs/>
        </w:rPr>
        <w:fldChar w:fldCharType="separate"/>
      </w:r>
      <w:r>
        <w:rPr>
          <w:b/>
          <w:bCs/>
        </w:rPr>
        <w:t>2</w:t>
      </w:r>
      <w:r>
        <w:rPr>
          <w:b/>
          <w:bCs/>
        </w:rPr>
        <w:fldChar w:fldCharType="end"/>
      </w:r>
      <w:r>
        <w:rPr/>
        <w:t xml:space="preserve"> z </w:t>
      </w:r>
      <w:r>
        <w:rPr>
          <w:b/>
          <w:bCs/>
        </w:rPr>
        <w:fldChar w:fldCharType="begin"/>
      </w:r>
      <w:r>
        <w:rPr>
          <w:b/>
          <w:bCs/>
        </w:rPr>
        <w:instrText> NUMPAGES </w:instrText>
      </w:r>
      <w:r>
        <w:rPr>
          <w:b/>
          <w:bCs/>
        </w:rPr>
        <w:fldChar w:fldCharType="separate"/>
      </w:r>
      <w:r>
        <w:rPr>
          <w:b/>
          <w:bCs/>
        </w:rPr>
        <w:t>5</w:t>
      </w:r>
      <w:r>
        <w:rPr>
          <w:b/>
          <w:bCs/>
        </w:rPr>
        <w:fldChar w:fldCharType="end"/>
      </w:r>
      <w:r>
        <w:rPr>
          <w:b/>
          <w:bCs/>
        </w:rPr>
        <w:t xml:space="preserve">      </w:t>
      </w:r>
    </w:p>
    <w:p>
      <w:pPr>
        <w:pStyle w:val="Normal"/>
        <w:jc w:val="both"/>
        <w:rPr/>
      </w:pPr>
      <w:r>
        <w:rPr/>
      </w:r>
    </w:p>
    <w:p>
      <w:pPr>
        <w:pStyle w:val="Normal"/>
        <w:jc w:val="both"/>
        <w:rPr/>
      </w:pPr>
      <w:r>
        <w:rPr/>
        <w:t>że regulacje dotyczące kar umownych (§ 4 Umowy), będą znajdować zastosowanie jedynie po uwzględnieniu przedmiotowego zastrzeżenia.</w:t>
      </w:r>
    </w:p>
    <w:p>
      <w:pPr>
        <w:pStyle w:val="Normal"/>
        <w:jc w:val="center"/>
        <w:rPr/>
      </w:pPr>
      <w:r>
        <w:rPr>
          <w:b/>
          <w:bCs/>
        </w:rPr>
        <w:t>§ 2</w:t>
      </w:r>
    </w:p>
    <w:p>
      <w:pPr>
        <w:pStyle w:val="Normal"/>
        <w:jc w:val="center"/>
        <w:rPr/>
      </w:pPr>
      <w:r>
        <w:rPr>
          <w:b/>
          <w:bCs/>
        </w:rPr>
        <w:t>OBOWIĄZKI SPRZEDAJĄCEGO</w:t>
      </w:r>
    </w:p>
    <w:p>
      <w:pPr>
        <w:pStyle w:val="Normal"/>
        <w:jc w:val="both"/>
        <w:rPr/>
      </w:pPr>
      <w:r>
        <w:rPr/>
        <w:t xml:space="preserve">1. Sprzedający zobowiązuje się wydać Kupującemu czyste tuczniki, niekarmione minimum 12 godzin przed wydaniem, bez wad, w tym obić i widocznych objawów choroby. Mając na uwadze zdanie pierwsze niniejszego ustępu, Sprzedający jest świadomy, że ponosi odpowiedzialność za wszelkie stwierdzone następstwa wad zbywanych tuczników, w szczególności za wady stwierdzone przez służby weterynaryjne, z powodu występowania wnętrów, zapachu rybiego, błędów żywieniowych, różycy i innych wad ukrytych. Wycena i rozliczenie takich sztuk nastąpi według ich wartości rzeczywistej ustalonej w oparciu o wycenę Ubojni. Dodatkowo, w przypadku zastrzeżenia warunku przez Kupującego w chwili ich wydania, co dodatkowo zostanie potwierdzone w dokumencie: „Dowód odbioru”, Sprzedający ponosi odpowiedzialność za sztuki padłe w transporcie. </w:t>
      </w:r>
    </w:p>
    <w:p>
      <w:pPr>
        <w:pStyle w:val="Normal"/>
        <w:jc w:val="both"/>
        <w:rPr/>
      </w:pPr>
      <w:r>
        <w:rPr/>
        <w:t>2. Sprzedający zobowiązuje się do czytelnego oznakowania tuczników numerem PL swojego gospodarstwa.</w:t>
      </w:r>
    </w:p>
    <w:p>
      <w:pPr>
        <w:pStyle w:val="Normal"/>
        <w:jc w:val="both"/>
        <w:rPr/>
      </w:pPr>
      <w:r>
        <w:rPr/>
        <w:t>3. Sprzedający</w:t>
      </w:r>
      <w:r>
        <w:rPr>
          <w:b/>
          <w:bCs/>
        </w:rPr>
        <w:t xml:space="preserve"> </w:t>
      </w:r>
      <w:r>
        <w:rPr/>
        <w:t>zobowiązuje się do pisemnego poinformowania</w:t>
      </w:r>
      <w:r>
        <w:rPr>
          <w:b/>
          <w:bCs/>
        </w:rPr>
        <w:t xml:space="preserve"> </w:t>
      </w:r>
      <w:r>
        <w:rPr/>
        <w:t>Kupującego o niemożności dostarczenia określonej w Umowie ilości sztuk tuczników w ustalonym terminie wskutek okoliczności, za które nie ponosi on winy, pod rygorem wyłączenia możności powoływania się na te okoliczności.</w:t>
      </w:r>
    </w:p>
    <w:p>
      <w:pPr>
        <w:pStyle w:val="Normal"/>
        <w:jc w:val="center"/>
        <w:rPr/>
      </w:pPr>
      <w:r>
        <w:rPr>
          <w:b/>
          <w:bCs/>
        </w:rPr>
        <w:t xml:space="preserve">§ 3 </w:t>
      </w:r>
    </w:p>
    <w:p>
      <w:pPr>
        <w:pStyle w:val="Normal"/>
        <w:jc w:val="center"/>
        <w:rPr/>
      </w:pPr>
      <w:r>
        <w:rPr>
          <w:b/>
          <w:bCs/>
        </w:rPr>
        <w:t>SPOSÓB OKREŚLANIA CENY</w:t>
      </w:r>
    </w:p>
    <w:p>
      <w:pPr>
        <w:pStyle w:val="Normal"/>
        <w:jc w:val="both"/>
        <w:rPr/>
      </w:pPr>
      <w:r>
        <w:rPr/>
        <w:t xml:space="preserve">1. Mając na uwadze wstęp do Umowy, Strony zgodnie ustalają minimalną cenę bazową WBC w wysokości ${cenawbc} złotych za 1 kg/WBC. Jednocześnie Strony przyjmują, że cena o której mowa w zdaniu pierwszym niniejszego ustępu znajduje zastosowanie pod warunkiem, że Sprzedający wyda Kupującemu wszystkie tuczniki do dnia ${dateendrange}. Mając na uwadze charakter ceny – „cena minimalna”, Strony zgodnie postanawiają, iż w przypadku, gdy cena rynkowa ZMP, pomnożona przez średni kurs euro ze środy, występującej przed dniem sprzedaży partii tuczników, po godz. 12, minus 0,10 euro, jest wyższa niż cena bazowa minimalna WBC, wówczas Kupujący zapłaci Sprzedającemu cenę ZMP pomnożoną przez środowy średni kurs euro NBP minus 0,10 euro. </w:t>
      </w:r>
    </w:p>
    <w:p>
      <w:pPr>
        <w:pStyle w:val="Normal"/>
        <w:jc w:val="both"/>
        <w:rPr/>
      </w:pPr>
      <w:r>
        <w:rPr/>
        <w:t>2. Minimalna cena bazowa WBC, o której mowa w § 3 ust. 1 Umowy, znajduje zastosowanie w sytuacji gdy w stosunku do każdego z wydanych tuczników zostaną łącznie spełnione następujące warunki:</w:t>
      </w:r>
    </w:p>
    <w:p>
      <w:pPr>
        <w:pStyle w:val="Normal"/>
        <w:jc w:val="both"/>
        <w:rPr/>
      </w:pPr>
      <w:r>
        <w:rPr/>
        <w:t>a) waga WBC w przedziałach 75,0 kg do 110,0 kg mięsa;</w:t>
      </w:r>
    </w:p>
    <w:p>
      <w:pPr>
        <w:pStyle w:val="Normal"/>
        <w:jc w:val="both"/>
        <w:rPr/>
      </w:pPr>
      <w:r>
        <w:rPr/>
        <w:t>b) mięsność w przedziałach 56,1 % do 56,9 %,</w:t>
      </w:r>
    </w:p>
    <w:p>
      <w:pPr>
        <w:pStyle w:val="Normal"/>
        <w:jc w:val="both"/>
        <w:rPr/>
      </w:pPr>
      <w:r>
        <w:rPr/>
      </w:r>
    </w:p>
    <w:p>
      <w:pPr>
        <w:pStyle w:val="Normal"/>
        <w:tabs>
          <w:tab w:val="clear" w:pos="709"/>
          <w:tab w:val="right" w:pos="9072" w:leader="none"/>
        </w:tabs>
        <w:rPr>
          <w:bCs/>
          <w:i/>
          <w:i/>
          <w:sz w:val="16"/>
          <w:szCs w:val="16"/>
        </w:rPr>
      </w:pPr>
      <w:r>
        <w:rPr>
          <w:bCs/>
          <w:i/>
          <w:sz w:val="16"/>
          <w:szCs w:val="16"/>
        </w:rPr>
        <w:t>Umowa Cena Minimalna 2020rok, wersja 1</w:t>
      </w:r>
      <w:r>
        <w:rPr/>
        <w:tab/>
        <w:t xml:space="preserve">                                                      Strona </w:t>
      </w:r>
      <w:r>
        <w:rPr>
          <w:b/>
          <w:bCs/>
        </w:rPr>
        <w:t>2</w:t>
      </w:r>
      <w:r>
        <w:rPr/>
        <w:t xml:space="preserve"> z </w:t>
      </w:r>
      <w:r>
        <w:rPr>
          <w:b/>
          <w:bCs/>
        </w:rPr>
        <w:fldChar w:fldCharType="begin"/>
      </w:r>
      <w:r>
        <w:rPr>
          <w:b/>
          <w:bCs/>
        </w:rPr>
        <w:instrText> NUMPAGES </w:instrText>
      </w:r>
      <w:r>
        <w:rPr>
          <w:b/>
          <w:bCs/>
        </w:rPr>
        <w:fldChar w:fldCharType="separate"/>
      </w:r>
      <w:r>
        <w:rPr>
          <w:b/>
          <w:bCs/>
        </w:rPr>
        <w:t>5</w:t>
      </w:r>
      <w:r>
        <w:rPr>
          <w:b/>
          <w:bCs/>
        </w:rPr>
        <w:fldChar w:fldCharType="end"/>
      </w:r>
      <w:r>
        <w:rPr>
          <w:b/>
          <w:bCs/>
        </w:rPr>
        <w:t xml:space="preserve">      </w:t>
      </w:r>
    </w:p>
    <w:p>
      <w:pPr>
        <w:pStyle w:val="Normal"/>
        <w:jc w:val="both"/>
        <w:rPr>
          <w:b/>
          <w:b/>
          <w:bCs/>
        </w:rPr>
      </w:pPr>
      <w:r>
        <w:rPr>
          <w:b/>
          <w:bCs/>
        </w:rPr>
      </w:r>
    </w:p>
    <w:p>
      <w:pPr>
        <w:pStyle w:val="Normal"/>
        <w:jc w:val="both"/>
        <w:rPr/>
      </w:pPr>
      <w:r>
        <w:rPr/>
        <w:t xml:space="preserve">        </w:t>
      </w:r>
    </w:p>
    <w:p>
      <w:pPr>
        <w:pStyle w:val="Normal"/>
        <w:jc w:val="both"/>
        <w:rPr/>
      </w:pPr>
      <w:r>
        <w:rPr/>
        <w:t xml:space="preserve">zaś w przypadku stwierdzenia odstępstw od powyższych limitów, do obliczenia ostatecznej wysokości ceny, będzie znajdował zastosowanie załącznik do Umowy regulujący zasady ewentualnych potrąceń </w:t>
      </w:r>
    </w:p>
    <w:p>
      <w:pPr>
        <w:pStyle w:val="Normal"/>
        <w:jc w:val="both"/>
        <w:rPr/>
      </w:pPr>
      <w:r>
        <w:rPr/>
      </w:r>
    </w:p>
    <w:p>
      <w:pPr>
        <w:pStyle w:val="Normal"/>
        <w:jc w:val="both"/>
        <w:rPr/>
      </w:pPr>
      <w:r>
        <w:rPr/>
        <w:t xml:space="preserve">z tytułu stwierdzonych wag poszczególnych tuczników oraz potrąceń i dodatków z tytułu stwierdzonej mięsności poszczególnych tuczników. </w:t>
      </w:r>
    </w:p>
    <w:p>
      <w:pPr>
        <w:pStyle w:val="Normal"/>
        <w:jc w:val="center"/>
        <w:rPr/>
      </w:pPr>
      <w:r>
        <w:rPr>
          <w:b/>
          <w:bCs/>
        </w:rPr>
        <w:t>§ 4</w:t>
      </w:r>
    </w:p>
    <w:p>
      <w:pPr>
        <w:pStyle w:val="Normal"/>
        <w:jc w:val="center"/>
        <w:rPr/>
      </w:pPr>
      <w:r>
        <w:rPr>
          <w:b/>
          <w:bCs/>
        </w:rPr>
        <w:t>KARY UMOWNE</w:t>
      </w:r>
    </w:p>
    <w:p>
      <w:pPr>
        <w:pStyle w:val="Normal"/>
        <w:jc w:val="both"/>
        <w:rPr/>
      </w:pPr>
      <w:r>
        <w:rPr/>
        <w:t>1. Strony zgodnie postanawiają, że w razie niewykonania Umowy przez każdą ze Stron, tj. w przypadku odmowy wydania/odbioru tuczników w ilości i terminie wskazanym we wstępie oraz § 1 Umowy, przy uwzględnieniu przyjętego tam buforu ${pigamount} - 3 %, każdej ze Stron będzie przysługiwało prawo do naliczania kar umownych w wysokości 75,00 złotych za każdą niewydaną/nieodebraną sztukę.</w:t>
      </w:r>
    </w:p>
    <w:p>
      <w:pPr>
        <w:pStyle w:val="Normal"/>
        <w:jc w:val="both"/>
        <w:rPr/>
      </w:pPr>
      <w:bookmarkStart w:id="1" w:name="_Hlk519500299"/>
      <w:bookmarkEnd w:id="1"/>
      <w:r>
        <w:rPr/>
        <w:t xml:space="preserve">2. W sytuacji gdy szkoda z tytułu niewykonania lub nienależytego wykonania Umowy przez każdą ze Stron przewyższy wysokość naliczonych kar umownych, o których mowa w § 4 ust. 1 Umowy, każda ze Stron będzie mogła dochodzić odszkodowania na zasadach ogólnych. </w:t>
      </w:r>
    </w:p>
    <w:p>
      <w:pPr>
        <w:pStyle w:val="Normal"/>
        <w:jc w:val="both"/>
        <w:rPr/>
      </w:pPr>
      <w:r>
        <w:rPr/>
        <w:t xml:space="preserve">3. Naliczone przez Kupującego na podstawie § 4 ust. 1 Umowy kary umowne, mogą być potrącane przez Kupującego z innymi wierzytelnościami przysługującymi Sprzedającemu od Kupującego w pierwszej kolejności. </w:t>
      </w:r>
    </w:p>
    <w:p>
      <w:pPr>
        <w:pStyle w:val="Normal"/>
        <w:jc w:val="center"/>
        <w:rPr/>
      </w:pPr>
      <w:r>
        <w:rPr>
          <w:b/>
          <w:bCs/>
        </w:rPr>
        <w:t>§ 5</w:t>
      </w:r>
    </w:p>
    <w:p>
      <w:pPr>
        <w:pStyle w:val="Normal"/>
        <w:jc w:val="center"/>
        <w:rPr/>
      </w:pPr>
      <w:r>
        <w:rPr>
          <w:b/>
          <w:bCs/>
        </w:rPr>
        <w:t>POSTANOWIENIA KOŃCOWE</w:t>
      </w:r>
    </w:p>
    <w:p>
      <w:pPr>
        <w:pStyle w:val="Normal"/>
        <w:jc w:val="both"/>
        <w:rPr/>
      </w:pPr>
      <w:r>
        <w:rPr/>
        <w:t>1. Umowę sporządzono i podpisano w dwóch jednobrzmiących egzemplarzach, po jednej dla każdej ze Stron.</w:t>
      </w:r>
    </w:p>
    <w:p>
      <w:pPr>
        <w:pStyle w:val="Normal"/>
        <w:jc w:val="both"/>
        <w:rPr/>
      </w:pPr>
      <w:r>
        <w:rPr/>
        <w:t>2. Wszelkie zmiany Umowy wymagają formy pisemnej pod rygorem nieważności.</w:t>
      </w:r>
    </w:p>
    <w:p>
      <w:pPr>
        <w:pStyle w:val="Normal"/>
        <w:jc w:val="both"/>
        <w:rPr/>
      </w:pPr>
      <w:r>
        <w:rPr/>
        <w:t>3. Wszelkie ewentualne spory pomiędzy Stronami rozstrzygane będą polubownie, a w przypadku nieosiągnięcia ugody, poddane zostaną rozstrzygnięciu sądom powszechnym według właściwości miejscowej Kupującego.</w:t>
      </w:r>
    </w:p>
    <w:p>
      <w:pPr>
        <w:pStyle w:val="Normal"/>
        <w:jc w:val="both"/>
        <w:rPr/>
      </w:pPr>
      <w:r>
        <w:rPr/>
      </w:r>
    </w:p>
    <w:p>
      <w:pPr>
        <w:pStyle w:val="Normal"/>
        <w:jc w:val="both"/>
        <w:rPr>
          <w:b/>
          <w:b/>
          <w:bCs/>
        </w:rPr>
      </w:pPr>
      <w:r>
        <w:rPr>
          <w:b/>
          <w:bCs/>
        </w:rPr>
        <w:t xml:space="preserve">        </w:t>
      </w:r>
      <w:r>
        <w:rPr>
          <w:b/>
          <w:bCs/>
        </w:rPr>
        <w:t>SPRRZEDAJĄCY                                                                                            KUPUJĄCY</w:t>
      </w:r>
    </w:p>
    <w:p>
      <w:pPr>
        <w:pStyle w:val="Normal"/>
        <w:jc w:val="both"/>
        <w:rPr/>
      </w:pPr>
      <w:r>
        <w:rPr/>
      </w:r>
    </w:p>
    <w:p>
      <w:pPr>
        <w:pStyle w:val="Normal"/>
        <w:jc w:val="both"/>
        <w:rPr/>
      </w:pPr>
      <w:r>
        <w:rPr/>
        <w:t>…</w:t>
      </w:r>
      <w:r>
        <w:rPr/>
        <w:t>..………………………………….                                                                  ………………………………………………..</w:t>
      </w:r>
    </w:p>
    <w:p>
      <w:pPr>
        <w:pStyle w:val="Normal"/>
        <w:tabs>
          <w:tab w:val="clear" w:pos="709"/>
          <w:tab w:val="center" w:pos="4536" w:leader="none"/>
          <w:tab w:val="right" w:pos="9072" w:leader="none"/>
        </w:tabs>
        <w:rPr>
          <w:bCs/>
          <w:i/>
          <w:i/>
          <w:sz w:val="16"/>
          <w:szCs w:val="16"/>
        </w:rPr>
      </w:pPr>
      <w:r>
        <w:rPr>
          <w:sz w:val="16"/>
          <w:szCs w:val="16"/>
        </w:rPr>
        <w:t>Umowa Cena Minimalna 2020rok, wersja 1</w:t>
      </w:r>
      <w:r>
        <w:rPr/>
        <w:tab/>
        <w:tab/>
        <w:t xml:space="preserve">Strona </w:t>
      </w:r>
      <w:r>
        <w:rPr>
          <w:b/>
          <w:bCs/>
        </w:rPr>
        <w:t>3</w:t>
      </w:r>
      <w:r>
        <w:rPr/>
        <w:t xml:space="preserve"> z </w:t>
      </w:r>
      <w:r>
        <w:rPr>
          <w:b/>
          <w:bCs/>
        </w:rPr>
        <w:fldChar w:fldCharType="begin"/>
      </w:r>
      <w:r>
        <w:rPr>
          <w:b/>
          <w:bCs/>
        </w:rPr>
        <w:instrText> NUMPAGES </w:instrText>
      </w:r>
      <w:r>
        <w:rPr>
          <w:b/>
          <w:bCs/>
        </w:rPr>
        <w:fldChar w:fldCharType="separate"/>
      </w:r>
      <w:r>
        <w:rPr>
          <w:b/>
          <w:bCs/>
        </w:rPr>
        <w:t>5</w:t>
      </w:r>
      <w:r>
        <w:rPr>
          <w:b/>
          <w:bCs/>
        </w:rPr>
        <w:fldChar w:fldCharType="end"/>
      </w:r>
    </w:p>
    <w:p>
      <w:pPr>
        <w:pStyle w:val="Normal"/>
        <w:spacing w:lineRule="auto" w:line="240"/>
        <w:jc w:val="both"/>
        <w:rPr>
          <w:b/>
          <w:b/>
          <w:bCs/>
        </w:rPr>
      </w:pPr>
      <w:r>
        <w:rPr>
          <w:b/>
          <w:bCs/>
        </w:rPr>
      </w:r>
    </w:p>
    <w:p>
      <w:pPr>
        <w:pStyle w:val="Normal"/>
        <w:jc w:val="both"/>
        <w:rPr/>
      </w:pPr>
      <w:r>
        <w:rPr/>
      </w:r>
    </w:p>
    <w:p>
      <w:pPr>
        <w:pStyle w:val="Normal"/>
        <w:jc w:val="both"/>
        <w:rPr/>
      </w:pPr>
      <w:r>
        <w:rPr/>
      </w:r>
    </w:p>
    <w:p>
      <w:pPr>
        <w:pStyle w:val="Normal"/>
        <w:jc w:val="center"/>
        <w:rPr>
          <w:b/>
          <w:b/>
          <w:u w:val="single"/>
        </w:rPr>
      </w:pPr>
      <w:r>
        <w:rPr>
          <w:b/>
          <w:u w:val="single"/>
        </w:rPr>
        <w:t>Załącznik do Umowy sprzedaży tuczników (cena minimalna)</w:t>
      </w:r>
    </w:p>
    <w:p>
      <w:pPr>
        <w:pStyle w:val="Normal"/>
        <w:jc w:val="both"/>
        <w:rPr>
          <w:b/>
          <w:b/>
          <w:u w:val="single"/>
        </w:rPr>
      </w:pPr>
      <w:r>
        <w:rPr>
          <w:b/>
          <w:u w:val="single"/>
        </w:rPr>
      </w:r>
    </w:p>
    <w:p>
      <w:pPr>
        <w:pStyle w:val="Normal"/>
        <w:jc w:val="both"/>
        <w:rPr>
          <w:b/>
          <w:b/>
          <w:u w:val="single"/>
        </w:rPr>
      </w:pPr>
      <w:r>
        <w:rPr>
          <w:b/>
          <w:sz w:val="24"/>
          <w:szCs w:val="24"/>
        </w:rPr>
        <w:t>Dodatki i potrącenia za mięsność</w:t>
      </w:r>
    </w:p>
    <w:p>
      <w:pPr>
        <w:pStyle w:val="Normal"/>
        <w:jc w:val="both"/>
        <w:rPr>
          <w:vanish/>
          <w:sz w:val="16"/>
          <w:szCs w:val="16"/>
        </w:rPr>
      </w:pPr>
      <w:r>
        <w:rPr>
          <w:vanish/>
          <w:sz w:val="16"/>
          <w:szCs w:val="16"/>
        </w:rPr>
      </w:r>
    </w:p>
    <w:p>
      <w:pPr>
        <w:pStyle w:val="Normal"/>
        <w:jc w:val="both"/>
        <w:rPr>
          <w:vanish/>
          <w:sz w:val="16"/>
          <w:szCs w:val="16"/>
        </w:rPr>
      </w:pPr>
      <w:r>
        <w:rPr>
          <w:vanish/>
          <w:sz w:val="16"/>
          <w:szCs w:val="16"/>
        </w:rPr>
      </w:r>
    </w:p>
    <w:p>
      <w:pPr>
        <w:pStyle w:val="Normal"/>
        <w:jc w:val="both"/>
        <w:rPr>
          <w:vanish/>
          <w:sz w:val="16"/>
          <w:szCs w:val="16"/>
        </w:rPr>
      </w:pPr>
      <w:r>
        <w:rPr>
          <w:vanish/>
          <w:sz w:val="16"/>
          <w:szCs w:val="16"/>
        </w:rPr>
      </w:r>
    </w:p>
    <w:p>
      <w:pPr>
        <w:pStyle w:val="Normal"/>
        <w:jc w:val="both"/>
        <w:rPr>
          <w:vanish/>
          <w:sz w:val="16"/>
          <w:szCs w:val="16"/>
        </w:rPr>
      </w:pPr>
      <w:r>
        <w:rPr>
          <w:vanish/>
          <w:sz w:val="16"/>
          <w:szCs w:val="16"/>
        </w:rPr>
      </w:r>
    </w:p>
    <w:p>
      <w:pPr>
        <w:pStyle w:val="Normal"/>
        <w:jc w:val="both"/>
        <w:rPr>
          <w:vanish/>
          <w:sz w:val="16"/>
          <w:szCs w:val="16"/>
        </w:rPr>
      </w:pPr>
      <w:r>
        <w:rPr>
          <w:vanish/>
          <w:sz w:val="16"/>
          <w:szCs w:val="16"/>
        </w:rPr>
      </w:r>
    </w:p>
    <w:tbl>
      <w:tblPr>
        <w:tblW w:w="3571" w:type="dxa"/>
        <w:jc w:val="left"/>
        <w:tblInd w:w="0" w:type="dxa"/>
        <w:tblCellMar>
          <w:top w:w="0" w:type="dxa"/>
          <w:left w:w="70" w:type="dxa"/>
          <w:bottom w:w="0" w:type="dxa"/>
          <w:right w:w="70" w:type="dxa"/>
        </w:tblCellMar>
        <w:tblLook w:firstRow="1" w:noVBand="1" w:lastRow="0" w:firstColumn="1" w:lastColumn="0" w:noHBand="0" w:val="04a0"/>
      </w:tblPr>
      <w:tblGrid>
        <w:gridCol w:w="1122"/>
        <w:gridCol w:w="1122"/>
        <w:gridCol w:w="1327"/>
      </w:tblGrid>
      <w:tr>
        <w:trPr>
          <w:trHeight w:val="288" w:hRule="atLeast"/>
        </w:trPr>
        <w:tc>
          <w:tcPr>
            <w:tcW w:w="2244"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Mięsność %</w:t>
            </w:r>
          </w:p>
        </w:tc>
        <w:tc>
          <w:tcPr>
            <w:tcW w:w="132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 xml:space="preserve">     </w:t>
            </w:r>
            <w:r>
              <w:rPr>
                <w:rFonts w:eastAsia="Times New Roman" w:cs="Calibri"/>
                <w:color w:val="000000"/>
                <w:lang w:eastAsia="pl-PL"/>
              </w:rPr>
              <w:t>Zł/kg WBC</w:t>
            </w:r>
          </w:p>
        </w:tc>
      </w:tr>
      <w:tr>
        <w:trPr>
          <w:trHeight w:val="312" w:hRule="atLeast"/>
        </w:trPr>
        <w:tc>
          <w:tcPr>
            <w:tcW w:w="112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olor w:val="000000"/>
                <w:sz w:val="24"/>
                <w:szCs w:val="24"/>
                <w:lang w:eastAsia="pl-PL"/>
              </w:rPr>
            </w:pPr>
            <w:r>
              <w:rPr>
                <w:rFonts w:eastAsia="Times New Roman" w:cs="Calibri"/>
                <w:color w:val="000000"/>
                <w:sz w:val="24"/>
                <w:szCs w:val="24"/>
                <w:lang w:eastAsia="pl-PL"/>
              </w:rPr>
              <w:t xml:space="preserve">    </w:t>
            </w:r>
            <w:r>
              <w:rPr>
                <w:rFonts w:eastAsia="Times New Roman" w:cs="Calibri"/>
                <w:color w:val="000000"/>
                <w:sz w:val="24"/>
                <w:szCs w:val="24"/>
                <w:lang w:eastAsia="pl-PL"/>
              </w:rPr>
              <w:t>&gt;=</w:t>
            </w:r>
          </w:p>
        </w:tc>
        <w:tc>
          <w:tcPr>
            <w:tcW w:w="112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60</w:t>
            </w:r>
          </w:p>
        </w:tc>
        <w:tc>
          <w:tcPr>
            <w:tcW w:w="1327"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0,08</w:t>
            </w:r>
          </w:p>
        </w:tc>
      </w:tr>
      <w:tr>
        <w:trPr>
          <w:trHeight w:val="288" w:hRule="atLeast"/>
        </w:trPr>
        <w:tc>
          <w:tcPr>
            <w:tcW w:w="112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59,00</w:t>
            </w:r>
          </w:p>
        </w:tc>
        <w:tc>
          <w:tcPr>
            <w:tcW w:w="112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59,99</w:t>
            </w:r>
          </w:p>
        </w:tc>
        <w:tc>
          <w:tcPr>
            <w:tcW w:w="1327"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0,08</w:t>
            </w:r>
          </w:p>
        </w:tc>
      </w:tr>
      <w:tr>
        <w:trPr>
          <w:trHeight w:val="288" w:hRule="atLeast"/>
        </w:trPr>
        <w:tc>
          <w:tcPr>
            <w:tcW w:w="112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58,00</w:t>
            </w:r>
          </w:p>
        </w:tc>
        <w:tc>
          <w:tcPr>
            <w:tcW w:w="112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58,99</w:t>
            </w:r>
          </w:p>
        </w:tc>
        <w:tc>
          <w:tcPr>
            <w:tcW w:w="1327"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0,05</w:t>
            </w:r>
          </w:p>
        </w:tc>
      </w:tr>
      <w:tr>
        <w:trPr>
          <w:trHeight w:val="288" w:hRule="atLeast"/>
        </w:trPr>
        <w:tc>
          <w:tcPr>
            <w:tcW w:w="112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57,00</w:t>
            </w:r>
          </w:p>
        </w:tc>
        <w:tc>
          <w:tcPr>
            <w:tcW w:w="112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57,99</w:t>
            </w:r>
          </w:p>
        </w:tc>
        <w:tc>
          <w:tcPr>
            <w:tcW w:w="1327"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0,02</w:t>
            </w:r>
          </w:p>
        </w:tc>
      </w:tr>
      <w:tr>
        <w:trPr>
          <w:trHeight w:val="288" w:hRule="atLeast"/>
        </w:trPr>
        <w:tc>
          <w:tcPr>
            <w:tcW w:w="1122" w:type="dxa"/>
            <w:tcBorders>
              <w:top w:val="single" w:sz="4" w:space="0" w:color="000000"/>
              <w:left w:val="single" w:sz="4" w:space="0" w:color="000000"/>
              <w:bottom w:val="single" w:sz="4" w:space="0" w:color="000000"/>
              <w:right w:val="single" w:sz="4" w:space="0" w:color="000000"/>
            </w:tcBorders>
            <w:shd w:color="auto" w:fill="BFBFBF"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56,00</w:t>
            </w:r>
          </w:p>
        </w:tc>
        <w:tc>
          <w:tcPr>
            <w:tcW w:w="1122" w:type="dxa"/>
            <w:tcBorders>
              <w:top w:val="single" w:sz="4" w:space="0" w:color="000000"/>
              <w:left w:val="single" w:sz="4" w:space="0" w:color="000000"/>
              <w:bottom w:val="single" w:sz="4" w:space="0" w:color="000000"/>
              <w:right w:val="single" w:sz="4" w:space="0" w:color="000000"/>
            </w:tcBorders>
            <w:shd w:color="auto" w:fill="BFBFBF"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56,99</w:t>
            </w:r>
          </w:p>
        </w:tc>
        <w:tc>
          <w:tcPr>
            <w:tcW w:w="1327" w:type="dxa"/>
            <w:tcBorders>
              <w:top w:val="single" w:sz="4" w:space="0" w:color="000000"/>
              <w:left w:val="single" w:sz="4" w:space="0" w:color="000000"/>
              <w:bottom w:val="single" w:sz="4" w:space="0" w:color="000000"/>
              <w:right w:val="single" w:sz="4" w:space="0" w:color="000000"/>
            </w:tcBorders>
            <w:shd w:color="auto" w:fill="BFBFBF"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 xml:space="preserve">Baza </w:t>
            </w:r>
          </w:p>
        </w:tc>
      </w:tr>
      <w:tr>
        <w:trPr>
          <w:trHeight w:val="288" w:hRule="atLeast"/>
        </w:trPr>
        <w:tc>
          <w:tcPr>
            <w:tcW w:w="112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55,00</w:t>
            </w:r>
          </w:p>
        </w:tc>
        <w:tc>
          <w:tcPr>
            <w:tcW w:w="112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55,99</w:t>
            </w:r>
          </w:p>
        </w:tc>
        <w:tc>
          <w:tcPr>
            <w:tcW w:w="1327"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-0,10</w:t>
            </w:r>
          </w:p>
        </w:tc>
      </w:tr>
      <w:tr>
        <w:trPr>
          <w:trHeight w:val="288" w:hRule="atLeast"/>
        </w:trPr>
        <w:tc>
          <w:tcPr>
            <w:tcW w:w="112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54,00</w:t>
            </w:r>
          </w:p>
        </w:tc>
        <w:tc>
          <w:tcPr>
            <w:tcW w:w="112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54,99</w:t>
            </w:r>
          </w:p>
        </w:tc>
        <w:tc>
          <w:tcPr>
            <w:tcW w:w="1327"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-0,20</w:t>
            </w:r>
          </w:p>
        </w:tc>
      </w:tr>
      <w:tr>
        <w:trPr>
          <w:trHeight w:val="288" w:hRule="atLeast"/>
        </w:trPr>
        <w:tc>
          <w:tcPr>
            <w:tcW w:w="112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53,00</w:t>
            </w:r>
          </w:p>
        </w:tc>
        <w:tc>
          <w:tcPr>
            <w:tcW w:w="112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53,99</w:t>
            </w:r>
          </w:p>
        </w:tc>
        <w:tc>
          <w:tcPr>
            <w:tcW w:w="1327"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-0,30</w:t>
            </w:r>
          </w:p>
        </w:tc>
      </w:tr>
      <w:tr>
        <w:trPr>
          <w:trHeight w:val="288" w:hRule="atLeast"/>
        </w:trPr>
        <w:tc>
          <w:tcPr>
            <w:tcW w:w="112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52,00</w:t>
            </w:r>
          </w:p>
        </w:tc>
        <w:tc>
          <w:tcPr>
            <w:tcW w:w="112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52,99</w:t>
            </w:r>
          </w:p>
        </w:tc>
        <w:tc>
          <w:tcPr>
            <w:tcW w:w="1327"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-0,40</w:t>
            </w:r>
          </w:p>
        </w:tc>
      </w:tr>
      <w:tr>
        <w:trPr>
          <w:trHeight w:val="288" w:hRule="atLeast"/>
        </w:trPr>
        <w:tc>
          <w:tcPr>
            <w:tcW w:w="112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51,00</w:t>
            </w:r>
          </w:p>
        </w:tc>
        <w:tc>
          <w:tcPr>
            <w:tcW w:w="112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51,99</w:t>
            </w:r>
          </w:p>
        </w:tc>
        <w:tc>
          <w:tcPr>
            <w:tcW w:w="1327"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-0,50</w:t>
            </w:r>
          </w:p>
        </w:tc>
      </w:tr>
      <w:tr>
        <w:trPr>
          <w:trHeight w:val="288" w:hRule="atLeast"/>
        </w:trPr>
        <w:tc>
          <w:tcPr>
            <w:tcW w:w="112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50,00</w:t>
            </w:r>
          </w:p>
        </w:tc>
        <w:tc>
          <w:tcPr>
            <w:tcW w:w="112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50,99</w:t>
            </w:r>
          </w:p>
        </w:tc>
        <w:tc>
          <w:tcPr>
            <w:tcW w:w="1327"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-0,60</w:t>
            </w:r>
          </w:p>
        </w:tc>
      </w:tr>
      <w:tr>
        <w:trPr>
          <w:trHeight w:val="288" w:hRule="atLeast"/>
        </w:trPr>
        <w:tc>
          <w:tcPr>
            <w:tcW w:w="112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45,00</w:t>
            </w:r>
          </w:p>
        </w:tc>
        <w:tc>
          <w:tcPr>
            <w:tcW w:w="112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49,99</w:t>
            </w:r>
          </w:p>
        </w:tc>
        <w:tc>
          <w:tcPr>
            <w:tcW w:w="1327"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-0,70</w:t>
            </w:r>
          </w:p>
        </w:tc>
      </w:tr>
      <w:tr>
        <w:trPr>
          <w:trHeight w:val="288" w:hRule="atLeast"/>
        </w:trPr>
        <w:tc>
          <w:tcPr>
            <w:tcW w:w="112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40,00</w:t>
            </w:r>
          </w:p>
        </w:tc>
        <w:tc>
          <w:tcPr>
            <w:tcW w:w="112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44,99</w:t>
            </w:r>
          </w:p>
        </w:tc>
        <w:tc>
          <w:tcPr>
            <w:tcW w:w="1327"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-1,20</w:t>
            </w:r>
          </w:p>
        </w:tc>
      </w:tr>
      <w:tr>
        <w:trPr>
          <w:trHeight w:val="288" w:hRule="atLeast"/>
        </w:trPr>
        <w:tc>
          <w:tcPr>
            <w:tcW w:w="112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do</w:t>
            </w:r>
          </w:p>
        </w:tc>
        <w:tc>
          <w:tcPr>
            <w:tcW w:w="112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39,99</w:t>
            </w:r>
          </w:p>
        </w:tc>
        <w:tc>
          <w:tcPr>
            <w:tcW w:w="1327"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-1,20</w:t>
            </w:r>
          </w:p>
        </w:tc>
      </w:tr>
    </w:tbl>
    <w:p>
      <w:pPr>
        <w:pStyle w:val="Normal"/>
        <w:spacing w:before="0" w:after="0"/>
        <w:jc w:val="both"/>
        <w:rPr>
          <w:vanish/>
        </w:rPr>
      </w:pPr>
      <w:r>
        <w:rPr>
          <w:vanish/>
        </w:rPr>
      </w:r>
    </w:p>
    <w:tbl>
      <w:tblPr>
        <w:tblpPr w:vertAnchor="text" w:horzAnchor="margin" w:tblpXSpec="right" w:leftFromText="141" w:rightFromText="141" w:tblpY="-4491"/>
        <w:tblW w:w="4012" w:type="dxa"/>
        <w:jc w:val="right"/>
        <w:tblInd w:w="0" w:type="dxa"/>
        <w:tblCellMar>
          <w:top w:w="0" w:type="dxa"/>
          <w:left w:w="70" w:type="dxa"/>
          <w:bottom w:w="0" w:type="dxa"/>
          <w:right w:w="70" w:type="dxa"/>
        </w:tblCellMar>
        <w:tblLook w:firstRow="1" w:noVBand="1" w:lastRow="0" w:firstColumn="1" w:lastColumn="0" w:noHBand="0" w:val="04a0"/>
      </w:tblPr>
      <w:tblGrid>
        <w:gridCol w:w="911"/>
        <w:gridCol w:w="910"/>
        <w:gridCol w:w="2191"/>
      </w:tblGrid>
      <w:tr>
        <w:trPr>
          <w:trHeight w:val="288" w:hRule="atLeast"/>
        </w:trPr>
        <w:tc>
          <w:tcPr>
            <w:tcW w:w="4012" w:type="dxa"/>
            <w:gridSpan w:val="3"/>
            <w:tcBorders>
              <w:bottom w:val="single" w:sz="4" w:space="0" w:color="000000"/>
            </w:tcBorders>
            <w:shd w:color="auto" w:fill="auto" w:val="clear"/>
            <w:vAlign w:val="bottom"/>
          </w:tcPr>
          <w:p>
            <w:pPr>
              <w:pStyle w:val="Normal"/>
              <w:spacing w:before="0" w:after="0"/>
              <w:jc w:val="both"/>
              <w:rPr>
                <w:rFonts w:eastAsia="Times New Roman" w:cs="Calibri"/>
                <w:b/>
                <w:b/>
                <w:color w:val="000000"/>
                <w:sz w:val="24"/>
                <w:szCs w:val="24"/>
                <w:lang w:eastAsia="pl-PL"/>
              </w:rPr>
            </w:pPr>
            <w:r>
              <w:rPr>
                <w:rFonts w:eastAsia="Times New Roman" w:cs="Calibri"/>
                <w:b/>
                <w:color w:val="000000"/>
                <w:sz w:val="24"/>
                <w:szCs w:val="24"/>
                <w:lang w:eastAsia="pl-PL"/>
              </w:rPr>
              <w:t xml:space="preserve">Potrącenia za limity wagowe </w:t>
            </w:r>
          </w:p>
        </w:tc>
      </w:tr>
      <w:tr>
        <w:trPr>
          <w:trHeight w:val="288" w:hRule="atLeast"/>
        </w:trPr>
        <w:tc>
          <w:tcPr>
            <w:tcW w:w="1821" w:type="dxa"/>
            <w:gridSpan w:val="2"/>
            <w:tcBorders>
              <w:top w:val="single" w:sz="4" w:space="0" w:color="000000"/>
              <w:left w:val="single" w:sz="4" w:space="0" w:color="000000"/>
              <w:bottom w:val="single" w:sz="4" w:space="0" w:color="000000"/>
            </w:tcBorders>
            <w:shd w:color="auto" w:fill="auto"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Kg WBC</w:t>
            </w:r>
          </w:p>
        </w:tc>
        <w:tc>
          <w:tcPr>
            <w:tcW w:w="2191"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Zł/kg WBC</w:t>
            </w:r>
          </w:p>
        </w:tc>
      </w:tr>
      <w:tr>
        <w:trPr>
          <w:trHeight w:val="312" w:hRule="atLeast"/>
        </w:trPr>
        <w:tc>
          <w:tcPr>
            <w:tcW w:w="911"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&gt;</w:t>
            </w:r>
          </w:p>
        </w:tc>
        <w:tc>
          <w:tcPr>
            <w:tcW w:w="910" w:type="dxa"/>
            <w:tcBorders>
              <w:bottom w:val="single" w:sz="4" w:space="0" w:color="000000"/>
              <w:right w:val="single" w:sz="4" w:space="0" w:color="000000"/>
            </w:tcBorders>
            <w:shd w:color="auto" w:fill="FFFFFF"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120</w:t>
            </w:r>
          </w:p>
        </w:tc>
        <w:tc>
          <w:tcPr>
            <w:tcW w:w="2191" w:type="dxa"/>
            <w:tcBorders>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-1,90</w:t>
            </w:r>
          </w:p>
        </w:tc>
      </w:tr>
      <w:tr>
        <w:trPr>
          <w:trHeight w:val="288" w:hRule="atLeast"/>
        </w:trPr>
        <w:tc>
          <w:tcPr>
            <w:tcW w:w="911" w:type="dxa"/>
            <w:tcBorders>
              <w:left w:val="single" w:sz="4" w:space="0" w:color="000000"/>
              <w:bottom w:val="single" w:sz="4" w:space="0" w:color="000000"/>
              <w:right w:val="single" w:sz="4" w:space="0" w:color="000000"/>
            </w:tcBorders>
            <w:shd w:color="auto" w:fill="FFFFFF"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118</w:t>
            </w:r>
          </w:p>
        </w:tc>
        <w:tc>
          <w:tcPr>
            <w:tcW w:w="910" w:type="dxa"/>
            <w:tcBorders>
              <w:bottom w:val="single" w:sz="4" w:space="0" w:color="000000"/>
              <w:right w:val="single" w:sz="4" w:space="0" w:color="000000"/>
            </w:tcBorders>
            <w:shd w:color="auto" w:fill="FFFFFF"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120</w:t>
            </w:r>
          </w:p>
        </w:tc>
        <w:tc>
          <w:tcPr>
            <w:tcW w:w="2191" w:type="dxa"/>
            <w:tcBorders>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-1,30</w:t>
            </w:r>
          </w:p>
        </w:tc>
      </w:tr>
      <w:tr>
        <w:trPr>
          <w:trHeight w:val="288" w:hRule="atLeast"/>
        </w:trPr>
        <w:tc>
          <w:tcPr>
            <w:tcW w:w="911" w:type="dxa"/>
            <w:tcBorders>
              <w:left w:val="single" w:sz="4" w:space="0" w:color="000000"/>
              <w:bottom w:val="single" w:sz="4" w:space="0" w:color="000000"/>
              <w:right w:val="single" w:sz="4" w:space="0" w:color="000000"/>
            </w:tcBorders>
            <w:shd w:color="auto" w:fill="FFFFFF"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114</w:t>
            </w:r>
          </w:p>
        </w:tc>
        <w:tc>
          <w:tcPr>
            <w:tcW w:w="910" w:type="dxa"/>
            <w:tcBorders>
              <w:bottom w:val="single" w:sz="4" w:space="0" w:color="000000"/>
              <w:right w:val="single" w:sz="4" w:space="0" w:color="000000"/>
            </w:tcBorders>
            <w:shd w:color="auto" w:fill="FFFFFF"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118</w:t>
            </w:r>
          </w:p>
        </w:tc>
        <w:tc>
          <w:tcPr>
            <w:tcW w:w="2191" w:type="dxa"/>
            <w:tcBorders>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-0,80</w:t>
            </w:r>
          </w:p>
        </w:tc>
      </w:tr>
      <w:tr>
        <w:trPr>
          <w:trHeight w:val="288" w:hRule="atLeast"/>
        </w:trPr>
        <w:tc>
          <w:tcPr>
            <w:tcW w:w="911" w:type="dxa"/>
            <w:tcBorders>
              <w:left w:val="single" w:sz="4" w:space="0" w:color="000000"/>
              <w:bottom w:val="single" w:sz="4" w:space="0" w:color="000000"/>
              <w:right w:val="single" w:sz="4" w:space="0" w:color="000000"/>
            </w:tcBorders>
            <w:shd w:color="auto" w:fill="FFFFFF"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110</w:t>
            </w:r>
          </w:p>
        </w:tc>
        <w:tc>
          <w:tcPr>
            <w:tcW w:w="910" w:type="dxa"/>
            <w:tcBorders>
              <w:bottom w:val="single" w:sz="4" w:space="0" w:color="000000"/>
              <w:right w:val="single" w:sz="4" w:space="0" w:color="000000"/>
            </w:tcBorders>
            <w:shd w:color="auto" w:fill="FFFFFF"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114</w:t>
            </w:r>
          </w:p>
        </w:tc>
        <w:tc>
          <w:tcPr>
            <w:tcW w:w="2191" w:type="dxa"/>
            <w:tcBorders>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-0,30</w:t>
            </w:r>
          </w:p>
        </w:tc>
      </w:tr>
      <w:tr>
        <w:trPr>
          <w:trHeight w:val="288" w:hRule="atLeast"/>
        </w:trPr>
        <w:tc>
          <w:tcPr>
            <w:tcW w:w="911" w:type="dxa"/>
            <w:tcBorders>
              <w:left w:val="single" w:sz="4" w:space="0" w:color="000000"/>
              <w:bottom w:val="single" w:sz="4" w:space="0" w:color="000000"/>
              <w:right w:val="single" w:sz="4" w:space="0" w:color="000000"/>
            </w:tcBorders>
            <w:shd w:color="auto" w:fill="BFBFBF"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75</w:t>
            </w:r>
          </w:p>
        </w:tc>
        <w:tc>
          <w:tcPr>
            <w:tcW w:w="910" w:type="dxa"/>
            <w:tcBorders>
              <w:bottom w:val="single" w:sz="4" w:space="0" w:color="000000"/>
              <w:right w:val="single" w:sz="4" w:space="0" w:color="000000"/>
            </w:tcBorders>
            <w:shd w:color="auto" w:fill="BFBFBF"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110</w:t>
            </w:r>
          </w:p>
        </w:tc>
        <w:tc>
          <w:tcPr>
            <w:tcW w:w="2191" w:type="dxa"/>
            <w:tcBorders>
              <w:bottom w:val="single" w:sz="4" w:space="0" w:color="000000"/>
              <w:right w:val="single" w:sz="4" w:space="0" w:color="000000"/>
            </w:tcBorders>
            <w:shd w:color="auto" w:fill="BFBFBF"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baza</w:t>
            </w:r>
          </w:p>
        </w:tc>
      </w:tr>
      <w:tr>
        <w:trPr>
          <w:trHeight w:val="288" w:hRule="atLeast"/>
        </w:trPr>
        <w:tc>
          <w:tcPr>
            <w:tcW w:w="911" w:type="dxa"/>
            <w:tcBorders>
              <w:left w:val="single" w:sz="4" w:space="0" w:color="000000"/>
              <w:bottom w:val="single" w:sz="4" w:space="0" w:color="000000"/>
              <w:right w:val="single" w:sz="4" w:space="0" w:color="000000"/>
            </w:tcBorders>
            <w:shd w:color="auto" w:fill="FFFFFF"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71</w:t>
            </w:r>
          </w:p>
        </w:tc>
        <w:tc>
          <w:tcPr>
            <w:tcW w:w="910" w:type="dxa"/>
            <w:tcBorders>
              <w:bottom w:val="single" w:sz="4" w:space="0" w:color="000000"/>
              <w:right w:val="single" w:sz="4" w:space="0" w:color="000000"/>
            </w:tcBorders>
            <w:shd w:color="auto" w:fill="FFFFFF"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75</w:t>
            </w:r>
          </w:p>
        </w:tc>
        <w:tc>
          <w:tcPr>
            <w:tcW w:w="2191" w:type="dxa"/>
            <w:tcBorders>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-0,40</w:t>
            </w:r>
          </w:p>
        </w:tc>
      </w:tr>
      <w:tr>
        <w:trPr>
          <w:trHeight w:val="288" w:hRule="atLeast"/>
        </w:trPr>
        <w:tc>
          <w:tcPr>
            <w:tcW w:w="911" w:type="dxa"/>
            <w:tcBorders>
              <w:left w:val="single" w:sz="4" w:space="0" w:color="000000"/>
              <w:bottom w:val="single" w:sz="4" w:space="0" w:color="000000"/>
              <w:right w:val="single" w:sz="4" w:space="0" w:color="000000"/>
            </w:tcBorders>
            <w:shd w:color="auto" w:fill="FFFFFF"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66</w:t>
            </w:r>
          </w:p>
        </w:tc>
        <w:tc>
          <w:tcPr>
            <w:tcW w:w="910" w:type="dxa"/>
            <w:tcBorders>
              <w:bottom w:val="single" w:sz="4" w:space="0" w:color="000000"/>
              <w:right w:val="single" w:sz="4" w:space="0" w:color="000000"/>
            </w:tcBorders>
            <w:shd w:color="auto" w:fill="FFFFFF"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70,99</w:t>
            </w:r>
          </w:p>
        </w:tc>
        <w:tc>
          <w:tcPr>
            <w:tcW w:w="2191" w:type="dxa"/>
            <w:tcBorders>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-0,85</w:t>
            </w:r>
          </w:p>
        </w:tc>
      </w:tr>
      <w:tr>
        <w:trPr>
          <w:trHeight w:val="288" w:hRule="atLeast"/>
        </w:trPr>
        <w:tc>
          <w:tcPr>
            <w:tcW w:w="911" w:type="dxa"/>
            <w:tcBorders>
              <w:left w:val="single" w:sz="4" w:space="0" w:color="000000"/>
              <w:bottom w:val="single" w:sz="4" w:space="0" w:color="000000"/>
              <w:right w:val="single" w:sz="4" w:space="0" w:color="000000"/>
            </w:tcBorders>
            <w:shd w:color="auto" w:fill="FFFFFF"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60</w:t>
            </w:r>
          </w:p>
        </w:tc>
        <w:tc>
          <w:tcPr>
            <w:tcW w:w="910" w:type="dxa"/>
            <w:tcBorders>
              <w:bottom w:val="single" w:sz="4" w:space="0" w:color="000000"/>
              <w:right w:val="single" w:sz="4" w:space="0" w:color="000000"/>
            </w:tcBorders>
            <w:shd w:color="auto" w:fill="FFFFFF"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65,99</w:t>
            </w:r>
          </w:p>
        </w:tc>
        <w:tc>
          <w:tcPr>
            <w:tcW w:w="2191" w:type="dxa"/>
            <w:tcBorders>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-1,50</w:t>
            </w:r>
          </w:p>
        </w:tc>
      </w:tr>
      <w:tr>
        <w:trPr>
          <w:trHeight w:val="288" w:hRule="atLeast"/>
        </w:trPr>
        <w:tc>
          <w:tcPr>
            <w:tcW w:w="911" w:type="dxa"/>
            <w:tcBorders>
              <w:left w:val="single" w:sz="4" w:space="0" w:color="000000"/>
              <w:bottom w:val="single" w:sz="4" w:space="0" w:color="000000"/>
              <w:right w:val="single" w:sz="4" w:space="0" w:color="000000"/>
            </w:tcBorders>
            <w:shd w:color="auto" w:fill="FFFFFF"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&lt;</w:t>
            </w:r>
          </w:p>
        </w:tc>
        <w:tc>
          <w:tcPr>
            <w:tcW w:w="910" w:type="dxa"/>
            <w:tcBorders>
              <w:bottom w:val="single" w:sz="4" w:space="0" w:color="000000"/>
              <w:right w:val="single" w:sz="4" w:space="0" w:color="000000"/>
            </w:tcBorders>
            <w:shd w:color="auto" w:fill="FFFFFF"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59,99</w:t>
            </w:r>
          </w:p>
        </w:tc>
        <w:tc>
          <w:tcPr>
            <w:tcW w:w="2191" w:type="dxa"/>
            <w:tcBorders>
              <w:bottom w:val="single" w:sz="4" w:space="0" w:color="000000"/>
              <w:right w:val="single" w:sz="4" w:space="0" w:color="000000"/>
            </w:tcBorders>
            <w:shd w:color="auto" w:fill="auto" w:val="clear"/>
            <w:vAlign w:val="bottom"/>
          </w:tcPr>
          <w:p>
            <w:pPr>
              <w:pStyle w:val="Normal"/>
              <w:spacing w:lineRule="auto" w:line="240" w:before="0" w:after="0"/>
              <w:jc w:val="both"/>
              <w:rPr>
                <w:rFonts w:eastAsia="Times New Roman" w:cs="Calibri"/>
                <w:color w:val="000000"/>
                <w:lang w:eastAsia="pl-PL"/>
              </w:rPr>
            </w:pPr>
            <w:r>
              <w:rPr>
                <w:rFonts w:eastAsia="Times New Roman" w:cs="Calibri"/>
                <w:color w:val="000000"/>
                <w:lang w:eastAsia="pl-PL"/>
              </w:rPr>
              <w:t>-3,0</w:t>
            </w:r>
          </w:p>
        </w:tc>
      </w:tr>
    </w:tbl>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bCs/>
        </w:rPr>
      </w:pPr>
      <w:r>
        <w:rPr>
          <w:b/>
          <w:bCs/>
        </w:rPr>
        <w:t xml:space="preserve">        </w:t>
      </w:r>
      <w:r>
        <w:rPr>
          <w:b/>
          <w:bCs/>
        </w:rPr>
        <w:t>SPRRZEDAJĄCY                                                                                            KUPUJĄCY</w:t>
      </w:r>
    </w:p>
    <w:p>
      <w:pPr>
        <w:pStyle w:val="Normal"/>
        <w:jc w:val="both"/>
        <w:rPr/>
      </w:pPr>
      <w:r>
        <w:rPr/>
      </w:r>
    </w:p>
    <w:p>
      <w:pPr>
        <w:pStyle w:val="Normal"/>
        <w:jc w:val="both"/>
        <w:rPr/>
      </w:pPr>
      <w:r>
        <w:rPr/>
        <w:t>…</w:t>
      </w:r>
      <w:r>
        <w:rPr/>
        <w:t>..………………………………….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tabs>
          <w:tab w:val="clear" w:pos="709"/>
          <w:tab w:val="left" w:pos="6348" w:leader="none"/>
        </w:tabs>
        <w:rPr>
          <w:bCs/>
          <w:i/>
          <w:i/>
          <w:sz w:val="16"/>
          <w:szCs w:val="16"/>
        </w:rPr>
      </w:pPr>
      <w:r>
        <w:rPr>
          <w:bCs/>
          <w:i/>
          <w:sz w:val="16"/>
          <w:szCs w:val="16"/>
        </w:rPr>
      </w:r>
    </w:p>
    <w:p>
      <w:pPr>
        <w:pStyle w:val="Normal"/>
        <w:tabs>
          <w:tab w:val="clear" w:pos="709"/>
          <w:tab w:val="right" w:pos="9072" w:leader="none"/>
        </w:tabs>
        <w:spacing w:lineRule="auto" w:line="240" w:before="0" w:after="200"/>
        <w:rPr>
          <w:b/>
          <w:b/>
          <w:bCs/>
        </w:rPr>
      </w:pPr>
      <w:r>
        <w:rPr>
          <w:bCs/>
          <w:i/>
          <w:sz w:val="16"/>
          <w:szCs w:val="16"/>
        </w:rPr>
        <w:t>Umowa Cena Minimalna 2020rok, wersja 1</w:t>
        <w:tab/>
      </w:r>
      <w:r>
        <w:rPr/>
        <w:t xml:space="preserve">                                                                  Strona </w:t>
      </w:r>
      <w:r>
        <w:rPr>
          <w:b/>
          <w:bCs/>
        </w:rPr>
        <w:t>4</w:t>
      </w:r>
      <w:r>
        <w:rPr/>
        <w:t xml:space="preserve"> z </w:t>
      </w:r>
      <w:r>
        <w:rPr>
          <w:b/>
          <w:bCs/>
        </w:rPr>
        <w:fldChar w:fldCharType="begin"/>
      </w:r>
      <w:r>
        <w:rPr>
          <w:b/>
          <w:bCs/>
        </w:rPr>
        <w:instrText> NUMPAGES </w:instrText>
      </w:r>
      <w:r>
        <w:rPr>
          <w:b/>
          <w:bCs/>
        </w:rPr>
        <w:fldChar w:fldCharType="separate"/>
      </w:r>
      <w:r>
        <w:rPr>
          <w:b/>
          <w:bCs/>
        </w:rPr>
        <w:t>5</w:t>
      </w:r>
      <w:r>
        <w:rPr>
          <w:b/>
          <w:bCs/>
        </w:rPr>
        <w:fldChar w:fldCharType="end"/>
      </w:r>
    </w:p>
    <w:sectPr>
      <w:headerReference w:type="default" r:id="rId2"/>
      <w:footerReference w:type="default" r:id="rId3"/>
      <w:type w:val="nextPage"/>
      <w:pgSz w:w="11906" w:h="16838"/>
      <w:pgMar w:left="1417" w:right="1417" w:header="708" w:top="1417" w:footer="57" w:bottom="141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ahoma">
    <w:charset w:val="ee"/>
    <w:family w:val="roman"/>
    <w:pitch w:val="variable"/>
  </w:font>
  <w:font w:name="Liberation Sans">
    <w:altName w:val="Arial"/>
    <w:charset w:val="ee"/>
    <w:family w:val="roman"/>
    <w:pitch w:val="variable"/>
  </w:font>
  <w:font w:name="Arial">
    <w:charset w:val="ee"/>
    <w:family w:val="roman"/>
    <w:pitch w:val="variable"/>
  </w:font>
  <w:font w:name="Times New Roman">
    <w:charset w:val="ee"/>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12" w:type="dxa"/>
      <w:jc w:val="left"/>
      <w:tblInd w:w="-864" w:type="dxa"/>
      <w:tblCellMar>
        <w:top w:w="113" w:type="dxa"/>
        <w:left w:w="108" w:type="dxa"/>
        <w:bottom w:w="0" w:type="dxa"/>
        <w:right w:w="108" w:type="dxa"/>
      </w:tblCellMar>
      <w:tblLook w:firstRow="1" w:noVBand="1" w:lastRow="0" w:firstColumn="1" w:lastColumn="0" w:noHBand="0" w:val="04a0"/>
    </w:tblPr>
    <w:tblGrid>
      <w:gridCol w:w="2701"/>
      <w:gridCol w:w="3440"/>
      <w:gridCol w:w="3071"/>
    </w:tblGrid>
    <w:tr>
      <w:trPr/>
      <w:tc>
        <w:tcPr>
          <w:tcW w:w="2701" w:type="dxa"/>
          <w:tcBorders/>
        </w:tcPr>
        <w:p>
          <w:pPr>
            <w:pStyle w:val="Stopka"/>
            <w:rPr>
              <w:color w:val="FFFFFF"/>
            </w:rPr>
          </w:pPr>
          <w:r>
            <w:rPr>
              <w:color w:val="FFFFFF"/>
            </w:rPr>
            <w:t>Tel +48 61 894 72 22</w:t>
          </w:r>
        </w:p>
        <w:p>
          <w:pPr>
            <w:pStyle w:val="Stopka"/>
            <w:rPr>
              <w:color w:val="FFFFFF"/>
            </w:rPr>
          </w:pPr>
          <w:r>
            <w:rPr>
              <w:color w:val="FFFFFF"/>
            </w:rPr>
            <w:t>Fax +48 61 894 76 54</w:t>
          </w:r>
        </w:p>
        <w:p>
          <w:pPr>
            <w:pStyle w:val="Stopka"/>
            <w:rPr>
              <w:color w:val="FFFFFF"/>
            </w:rPr>
          </w:pPr>
          <w:r>
            <w:rPr>
              <w:color w:val="FFFFFF"/>
            </w:rPr>
            <w:t>biuro@agrotranshandel.pl</w:t>
          </w:r>
        </w:p>
      </w:tc>
      <w:tc>
        <w:tcPr>
          <w:tcW w:w="3440" w:type="dxa"/>
          <w:tcBorders/>
        </w:tcPr>
        <w:p>
          <w:pPr>
            <w:pStyle w:val="Stopka"/>
            <w:jc w:val="center"/>
            <w:rPr>
              <w:color w:val="FFFFFF"/>
            </w:rPr>
          </w:pPr>
          <w:r>
            <w:rPr>
              <w:color w:val="FFFFFF"/>
            </w:rPr>
            <w:t>NIP 777-30-79-562</w:t>
          </w:r>
        </w:p>
        <w:p>
          <w:pPr>
            <w:pStyle w:val="Stopka"/>
            <w:jc w:val="center"/>
            <w:rPr>
              <w:color w:val="FFFFFF"/>
            </w:rPr>
          </w:pPr>
          <w:r>
            <w:rPr>
              <w:color w:val="FFFFFF"/>
            </w:rPr>
            <w:t>REGON 300947960</w:t>
          </w:r>
        </w:p>
        <w:p>
          <w:pPr>
            <w:pStyle w:val="Stopka"/>
            <w:jc w:val="center"/>
            <w:rPr>
              <w:color w:val="FFFFFF"/>
            </w:rPr>
          </w:pPr>
          <w:r>
            <w:rPr>
              <w:color w:val="FFFFFF"/>
            </w:rPr>
            <w:t>KRS 0000314803</w:t>
          </w:r>
        </w:p>
      </w:tc>
      <w:tc>
        <w:tcPr>
          <w:tcW w:w="3071" w:type="dxa"/>
          <w:tcBorders/>
        </w:tcPr>
        <w:p>
          <w:pPr>
            <w:pStyle w:val="Stopka"/>
            <w:rPr>
              <w:color w:val="FFFFFF"/>
            </w:rPr>
          </w:pPr>
          <w:r>
            <w:rPr>
              <w:color w:val="FFFFFF"/>
            </w:rPr>
            <w:t>Szewce, ul. Mylna 12</w:t>
          </w:r>
        </w:p>
        <w:p>
          <w:pPr>
            <w:pStyle w:val="Stopka"/>
            <w:rPr>
              <w:color w:val="FFFFFF"/>
            </w:rPr>
          </w:pPr>
          <w:r>
            <w:rPr>
              <w:color w:val="FFFFFF"/>
            </w:rPr>
            <w:t>64-320 Buk</w:t>
          </w:r>
        </w:p>
      </w:tc>
    </w:tr>
  </w:tbl>
  <w:p>
    <w:pPr>
      <w:pStyle w:val="Stopka"/>
      <w:ind w:firstLine="708"/>
      <w:rPr>
        <w:color w:val="FFFFFF"/>
      </w:rPr>
    </w:pPr>
    <w:r>
      <w:rPr>
        <w:color w:val="FFFFFF"/>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rPr/>
    </w:pPr>
    <w:r>
      <w:rPr/>
      <w:drawing>
        <wp:anchor behindDoc="1" distT="0" distB="0" distL="0" distR="0" simplePos="0" locked="0" layoutInCell="1" allowOverlap="1" relativeHeight="6">
          <wp:simplePos x="0" y="0"/>
          <wp:positionH relativeFrom="column">
            <wp:align>center</wp:align>
          </wp:positionH>
          <wp:positionV relativeFrom="margin">
            <wp:align>center</wp:align>
          </wp:positionV>
          <wp:extent cx="7559675" cy="10692130"/>
          <wp:effectExtent l="0" t="0" r="0" b="0"/>
          <wp:wrapNone/>
          <wp:docPr id="1" name="WordPictureWatermark521964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52196423" descr=""/>
                  <pic:cNvPicPr>
                    <a:picLocks noChangeAspect="1" noChangeArrowheads="1"/>
                  </pic:cNvPicPr>
                </pic:nvPicPr>
                <pic:blipFill>
                  <a:blip r:embed="rId1"/>
                  <a:stretch>
                    <a:fillRect/>
                  </a:stretch>
                </pic:blipFill>
                <pic:spPr bwMode="auto">
                  <a:xfrm>
                    <a:off x="0" y="0"/>
                    <a:ext cx="7559675" cy="10692130"/>
                  </a:xfrm>
                  <a:prstGeom prst="rect">
                    <a:avLst/>
                  </a:prstGeom>
                </pic:spPr>
              </pic:pic>
            </a:graphicData>
          </a:graphic>
        </wp:anchor>
      </w:drawing>
    </w:r>
  </w:p>
</w:hdr>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l-PL" w:eastAsia="pl-PL"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55b50"/>
    <w:pPr>
      <w:widowControl/>
      <w:suppressAutoHyphens w:val="true"/>
      <w:bidi w:val="0"/>
      <w:spacing w:lineRule="auto" w:line="276" w:before="0" w:after="200"/>
      <w:jc w:val="left"/>
    </w:pPr>
    <w:rPr>
      <w:rFonts w:ascii="Calibri" w:hAnsi="Calibri" w:eastAsia="Calibri" w:cs="Times New Roman"/>
      <w:color w:val="auto"/>
      <w:kern w:val="0"/>
      <w:sz w:val="22"/>
      <w:szCs w:val="22"/>
      <w:lang w:val="pl-PL" w:eastAsia="en-US" w:bidi="ar-SA"/>
    </w:rPr>
  </w:style>
  <w:style w:type="character" w:styleId="DefaultParagraphFont" w:default="1">
    <w:name w:val="Default Paragraph Font"/>
    <w:uiPriority w:val="1"/>
    <w:unhideWhenUsed/>
    <w:qFormat/>
    <w:rPr/>
  </w:style>
  <w:style w:type="character" w:styleId="NagwekZnak" w:customStyle="1">
    <w:name w:val="Nagłówek Znak"/>
    <w:basedOn w:val="DefaultParagraphFont"/>
    <w:link w:val="Nagwek"/>
    <w:uiPriority w:val="99"/>
    <w:semiHidden/>
    <w:qFormat/>
    <w:rsid w:val="005d45bf"/>
    <w:rPr/>
  </w:style>
  <w:style w:type="character" w:styleId="StopkaZnak" w:customStyle="1">
    <w:name w:val="Stopka Znak"/>
    <w:basedOn w:val="DefaultParagraphFont"/>
    <w:link w:val="Stopka"/>
    <w:uiPriority w:val="99"/>
    <w:qFormat/>
    <w:rsid w:val="005d45bf"/>
    <w:rPr/>
  </w:style>
  <w:style w:type="character" w:styleId="Strong">
    <w:name w:val="Strong"/>
    <w:uiPriority w:val="22"/>
    <w:qFormat/>
    <w:rsid w:val="0076323c"/>
    <w:rPr>
      <w:b/>
      <w:bCs/>
    </w:rPr>
  </w:style>
  <w:style w:type="character" w:styleId="Czeinternetowe">
    <w:name w:val="Łącze internetowe"/>
    <w:uiPriority w:val="99"/>
    <w:semiHidden/>
    <w:unhideWhenUsed/>
    <w:rsid w:val="0076323c"/>
    <w:rPr>
      <w:color w:val="0000FF"/>
      <w:u w:val="single"/>
    </w:rPr>
  </w:style>
  <w:style w:type="character" w:styleId="TekstprzypisukocowegoZnak" w:customStyle="1">
    <w:name w:val="Tekst przypisu końcowego Znak"/>
    <w:link w:val="Tekstprzypisukocowego"/>
    <w:uiPriority w:val="99"/>
    <w:semiHidden/>
    <w:qFormat/>
    <w:rsid w:val="003c1a57"/>
    <w:rPr>
      <w:lang w:eastAsia="en-US"/>
    </w:rPr>
  </w:style>
  <w:style w:type="character" w:styleId="Zakotwiczenieprzypisukocowego">
    <w:name w:val="Zakotwiczenie przypisu końcowego"/>
    <w:rPr>
      <w:vertAlign w:val="superscript"/>
    </w:rPr>
  </w:style>
  <w:style w:type="character" w:styleId="EndnoteCharacters">
    <w:name w:val="Endnote Characters"/>
    <w:uiPriority w:val="99"/>
    <w:semiHidden/>
    <w:unhideWhenUsed/>
    <w:qFormat/>
    <w:rsid w:val="003c1a57"/>
    <w:rPr>
      <w:vertAlign w:val="superscript"/>
    </w:rPr>
  </w:style>
  <w:style w:type="character" w:styleId="TekstdymkaZnak" w:customStyle="1">
    <w:name w:val="Tekst dymka Znak"/>
    <w:link w:val="Tekstdymka"/>
    <w:uiPriority w:val="99"/>
    <w:semiHidden/>
    <w:qFormat/>
    <w:rsid w:val="00b47247"/>
    <w:rPr>
      <w:rFonts w:ascii="Tahoma" w:hAnsi="Tahoma" w:cs="Tahoma"/>
      <w:sz w:val="16"/>
      <w:szCs w:val="16"/>
      <w:lang w:eastAsia="en-US"/>
    </w:rPr>
  </w:style>
  <w:style w:type="paragraph" w:styleId="Nagwek">
    <w:name w:val="Nagłówek"/>
    <w:basedOn w:val="Normal"/>
    <w:next w:val="Tretekstu"/>
    <w:qFormat/>
    <w:pPr>
      <w:keepNext w:val="true"/>
      <w:spacing w:before="240" w:after="120"/>
    </w:pPr>
    <w:rPr>
      <w:rFonts w:ascii="Liberation Sans" w:hAnsi="Liberation Sans" w:eastAsia="Microsoft YaHei" w:cs="Lucida Sans"/>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Lucida Sans"/>
    </w:rPr>
  </w:style>
  <w:style w:type="paragraph" w:styleId="Podpis">
    <w:name w:val="Caption"/>
    <w:basedOn w:val="Normal"/>
    <w:qFormat/>
    <w:pPr>
      <w:suppressLineNumbers/>
      <w:spacing w:before="120" w:after="120"/>
    </w:pPr>
    <w:rPr>
      <w:rFonts w:cs="Lucida Sans"/>
      <w:i/>
      <w:iCs/>
      <w:sz w:val="24"/>
      <w:szCs w:val="24"/>
    </w:rPr>
  </w:style>
  <w:style w:type="paragraph" w:styleId="Indeks">
    <w:name w:val="Indeks"/>
    <w:basedOn w:val="Normal"/>
    <w:qFormat/>
    <w:pPr>
      <w:suppressLineNumbers/>
    </w:pPr>
    <w:rPr>
      <w:rFonts w:cs="Lucida Sans"/>
    </w:rPr>
  </w:style>
  <w:style w:type="paragraph" w:styleId="Gwkaistopka">
    <w:name w:val="Główka i stopka"/>
    <w:basedOn w:val="Normal"/>
    <w:qFormat/>
    <w:pPr/>
    <w:rPr/>
  </w:style>
  <w:style w:type="paragraph" w:styleId="Gwka">
    <w:name w:val="Header"/>
    <w:basedOn w:val="Normal"/>
    <w:link w:val="NagwekZnak"/>
    <w:uiPriority w:val="99"/>
    <w:semiHidden/>
    <w:unhideWhenUsed/>
    <w:rsid w:val="005d45bf"/>
    <w:pPr>
      <w:tabs>
        <w:tab w:val="clear" w:pos="709"/>
        <w:tab w:val="center" w:pos="4536" w:leader="none"/>
        <w:tab w:val="right" w:pos="9072" w:leader="none"/>
      </w:tabs>
      <w:spacing w:lineRule="auto" w:line="240" w:before="0" w:after="0"/>
    </w:pPr>
    <w:rPr/>
  </w:style>
  <w:style w:type="paragraph" w:styleId="Stopka">
    <w:name w:val="Footer"/>
    <w:basedOn w:val="Normal"/>
    <w:link w:val="StopkaZnak"/>
    <w:uiPriority w:val="99"/>
    <w:unhideWhenUsed/>
    <w:rsid w:val="005d45bf"/>
    <w:pPr>
      <w:tabs>
        <w:tab w:val="clear" w:pos="709"/>
        <w:tab w:val="center" w:pos="4536" w:leader="none"/>
        <w:tab w:val="right" w:pos="9072" w:leader="none"/>
      </w:tabs>
      <w:spacing w:lineRule="auto" w:line="240" w:before="0" w:after="0"/>
    </w:pPr>
    <w:rPr/>
  </w:style>
  <w:style w:type="paragraph" w:styleId="Default" w:customStyle="1">
    <w:name w:val="Default"/>
    <w:qFormat/>
    <w:rsid w:val="0076323c"/>
    <w:pPr>
      <w:widowControl/>
      <w:suppressAutoHyphens w:val="true"/>
      <w:bidi w:val="0"/>
      <w:spacing w:before="0" w:after="0"/>
      <w:jc w:val="left"/>
    </w:pPr>
    <w:rPr>
      <w:rFonts w:ascii="Arial" w:hAnsi="Arial" w:eastAsia="Calibri" w:cs="Arial"/>
      <w:color w:val="000000"/>
      <w:kern w:val="0"/>
      <w:sz w:val="24"/>
      <w:szCs w:val="24"/>
      <w:lang w:val="pl-PL" w:eastAsia="en-US" w:bidi="ar-SA"/>
    </w:rPr>
  </w:style>
  <w:style w:type="paragraph" w:styleId="ListParagraph">
    <w:name w:val="List Paragraph"/>
    <w:basedOn w:val="Normal"/>
    <w:uiPriority w:val="34"/>
    <w:qFormat/>
    <w:rsid w:val="0076323c"/>
    <w:pPr>
      <w:spacing w:lineRule="auto" w:line="259" w:before="0" w:after="160"/>
      <w:ind w:left="720" w:hanging="0"/>
      <w:contextualSpacing/>
    </w:pPr>
    <w:rPr/>
  </w:style>
  <w:style w:type="paragraph" w:styleId="NormalWeb">
    <w:name w:val="Normal (Web)"/>
    <w:basedOn w:val="Normal"/>
    <w:uiPriority w:val="99"/>
    <w:unhideWhenUsed/>
    <w:qFormat/>
    <w:rsid w:val="00b53d80"/>
    <w:pPr>
      <w:spacing w:lineRule="auto" w:line="240" w:beforeAutospacing="1" w:afterAutospacing="1"/>
    </w:pPr>
    <w:rPr>
      <w:rFonts w:ascii="Times New Roman" w:hAnsi="Times New Roman"/>
      <w:sz w:val="24"/>
      <w:szCs w:val="24"/>
      <w:lang w:eastAsia="pl-PL"/>
    </w:rPr>
  </w:style>
  <w:style w:type="paragraph" w:styleId="Numeracjaparagrafu" w:customStyle="1">
    <w:name w:val="Numeracja paragrafu"/>
    <w:basedOn w:val="Normal"/>
    <w:next w:val="Normal"/>
    <w:qFormat/>
    <w:rsid w:val="00b53d80"/>
    <w:pPr>
      <w:suppressAutoHyphens w:val="true"/>
      <w:spacing w:lineRule="auto" w:line="360" w:before="0" w:after="0"/>
      <w:jc w:val="center"/>
    </w:pPr>
    <w:rPr>
      <w:rFonts w:ascii="Times New Roman" w:hAnsi="Times New Roman" w:eastAsia="Times New Roman"/>
      <w:sz w:val="24"/>
      <w:szCs w:val="24"/>
      <w:lang w:eastAsia="ar-SA"/>
    </w:rPr>
  </w:style>
  <w:style w:type="paragraph" w:styleId="Przypiskocowy">
    <w:name w:val="Endnote Text"/>
    <w:basedOn w:val="Normal"/>
    <w:link w:val="TekstprzypisukocowegoZnak"/>
    <w:uiPriority w:val="99"/>
    <w:semiHidden/>
    <w:unhideWhenUsed/>
    <w:rsid w:val="003c1a57"/>
    <w:pPr/>
    <w:rPr>
      <w:sz w:val="20"/>
      <w:szCs w:val="20"/>
    </w:rPr>
  </w:style>
  <w:style w:type="paragraph" w:styleId="BalloonText">
    <w:name w:val="Balloon Text"/>
    <w:basedOn w:val="Normal"/>
    <w:link w:val="TekstdymkaZnak"/>
    <w:uiPriority w:val="99"/>
    <w:semiHidden/>
    <w:unhideWhenUsed/>
    <w:qFormat/>
    <w:rsid w:val="00b47247"/>
    <w:pPr>
      <w:spacing w:lineRule="auto" w:line="240" w:before="0" w:after="0"/>
    </w:pPr>
    <w:rPr>
      <w:rFonts w:ascii="Tahoma" w:hAnsi="Tahoma" w:cs="Tahoma"/>
      <w:sz w:val="16"/>
      <w:szCs w:val="16"/>
    </w:rPr>
  </w:style>
  <w:style w:type="paragraph" w:styleId="Zawartoramki">
    <w:name w:val="Zawartość ramki"/>
    <w:basedOn w:val="Normal"/>
    <w:qFormat/>
    <w:pPr/>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table" w:styleId="Tabela-Siatka">
    <w:name w:val="Table Grid"/>
    <w:basedOn w:val="Standardowy"/>
    <w:uiPriority w:val="59"/>
    <w:rsid w:val="005d45bf"/>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B21C0-22EC-4B68-9504-3A32825C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Application>LibreOffice/6.4.3.2$Windows_X86_64 LibreOffice_project/747b5d0ebf89f41c860ec2a39efd7cb15b54f2d8</Application>
  <Pages>5</Pages>
  <Words>945</Words>
  <Characters>5774</Characters>
  <CharactersWithSpaces>7086</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Marcin</dc:creator>
  <dc:description/>
  <dc:language>pl-PL</dc:language>
  <cp:lastModifiedBy/>
  <dcterms:modified xsi:type="dcterms:W3CDTF">2020-05-18T09:04:39Z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