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385FE" w14:textId="77777777" w:rsidR="00530E16" w:rsidRDefault="00625B83">
      <w:pPr>
        <w:rPr>
          <w:b/>
          <w:sz w:val="32"/>
        </w:rPr>
      </w:pPr>
      <w:r>
        <w:rPr>
          <w:b/>
          <w:sz w:val="32"/>
        </w:rPr>
        <w:t>Measurements and results(Abstract)</w:t>
      </w:r>
      <w:r w:rsidR="00237925">
        <w:rPr>
          <w:b/>
          <w:sz w:val="32"/>
        </w:rPr>
        <w:softHyphen/>
      </w:r>
    </w:p>
    <w:p w14:paraId="3A182622" w14:textId="77777777" w:rsidR="00530E16" w:rsidRDefault="00625B83">
      <w:pPr>
        <w:rPr>
          <w:b/>
        </w:rPr>
      </w:pPr>
      <w:r>
        <w:rPr>
          <w:b/>
        </w:rPr>
        <w:t>Methods</w:t>
      </w:r>
    </w:p>
    <w:p w14:paraId="4B7BBD6B" w14:textId="77777777" w:rsidR="00530E16" w:rsidRDefault="00625B83">
      <w:r>
        <w:t xml:space="preserve">We retrospectively tested the changes in CVP and DBP with hypoxemia in </w:t>
      </w:r>
      <w:r>
        <w:rPr>
          <w:rFonts w:asciiTheme="minorHAnsi" w:hAnsiTheme="minorHAnsi" w:cstheme="minorBidi"/>
          <w:lang w:eastAsia="en-US"/>
        </w:rPr>
        <w:t>MIMIC-III (Medical Information Mart for Intensive Care III)</w:t>
      </w:r>
      <w:r>
        <w:t xml:space="preserve"> database. Hypoxemia was defined according to oxygenation </w:t>
      </w:r>
      <w:proofErr w:type="gramStart"/>
      <w:r>
        <w:t>index(</w:t>
      </w:r>
      <w:proofErr w:type="gramEnd"/>
      <w:r>
        <w:t>OI &lt; 100</w:t>
      </w:r>
      <m:oMath>
        <m:r>
          <w:rPr>
            <w:rFonts w:ascii="Cambria Math" w:hAnsi="Cambria Math"/>
          </w:rPr>
          <m:t>mmHg</m:t>
        </m:r>
      </m:oMath>
      <w:r>
        <w:t xml:space="preserve"> as severe, OI &lt;200</w:t>
      </w:r>
      <m:oMath>
        <m:r>
          <w:rPr>
            <w:rFonts w:ascii="Cambria Math" w:hAnsi="Cambria Math"/>
          </w:rPr>
          <m:t>mmHg</m:t>
        </m:r>
      </m:oMath>
      <w:r>
        <w:t xml:space="preserve"> as moderate). The primary outcomes were the mean CVP and mean DBP measurements 6 hours after the onset of hypoxemia comparing with that 6 hours before the event. </w:t>
      </w:r>
    </w:p>
    <w:p w14:paraId="651E8E41" w14:textId="77777777" w:rsidR="00530E16" w:rsidRDefault="00625B83">
      <w:pPr>
        <w:rPr>
          <w:b/>
        </w:rPr>
      </w:pPr>
      <w:r>
        <w:rPr>
          <w:b/>
        </w:rPr>
        <w:t>Results</w:t>
      </w:r>
    </w:p>
    <w:p w14:paraId="62B74BA1" w14:textId="53BC0AB0" w:rsidR="005670E8" w:rsidRPr="005670E8" w:rsidRDefault="00625B83" w:rsidP="005670E8">
      <w:r>
        <w:t xml:space="preserve">According to the definition of hypoxemia, 615 patients met criteria for severe hypoxemia, 1301 patients met criteria for moderate hypoxemia. The results showed CVP increased significantly in the following 6 hours for severe hypoxemia patients. </w:t>
      </w:r>
      <w:proofErr w:type="gramStart"/>
      <w:r>
        <w:t>However</w:t>
      </w:r>
      <w:proofErr w:type="gramEnd"/>
      <w:r>
        <w:t xml:space="preserve"> there is no evidence showing a significant change in DBP for both severe and moderate hypoxemia patients. </w:t>
      </w:r>
      <w:bookmarkStart w:id="0" w:name="_GoBack"/>
      <w:bookmarkEnd w:id="0"/>
    </w:p>
    <w:p w14:paraId="1E06EDE5" w14:textId="77777777" w:rsidR="005670E8" w:rsidRPr="005670E8" w:rsidRDefault="005670E8" w:rsidP="005670E8">
      <w:pPr>
        <w:rPr>
          <w:b/>
          <w:sz w:val="32"/>
        </w:rPr>
      </w:pPr>
    </w:p>
    <w:p w14:paraId="4C10CD0C" w14:textId="77777777" w:rsidR="00530E16" w:rsidRDefault="00625B83">
      <w:pPr>
        <w:rPr>
          <w:b/>
          <w:sz w:val="32"/>
        </w:rPr>
      </w:pPr>
      <w:r>
        <w:rPr>
          <w:b/>
          <w:sz w:val="32"/>
        </w:rPr>
        <w:t>Methods</w:t>
      </w:r>
    </w:p>
    <w:p w14:paraId="3B9732D5" w14:textId="77777777" w:rsidR="00530E16" w:rsidRDefault="00625B83">
      <w:pPr>
        <w:rPr>
          <w:b/>
        </w:rPr>
      </w:pPr>
      <w:r>
        <w:rPr>
          <w:b/>
        </w:rPr>
        <w:t>MIMIC-III database</w:t>
      </w:r>
    </w:p>
    <w:p w14:paraId="3285D751" w14:textId="77777777" w:rsidR="00530E16" w:rsidRDefault="00625B83">
      <w:r>
        <w:t>We conducted a retrospective study on the Medical Information Mart for Intensive Care’ database(MIMIC-</w:t>
      </w:r>
      <w:proofErr w:type="gramStart"/>
      <w:r>
        <w:t>III)[</w:t>
      </w:r>
      <w:proofErr w:type="gramEnd"/>
      <w:r>
        <w:t>1]. MIMIC is a large open access database comprising high temporal resolution data including vital signs, medications, laboratory measurements, observations and electronic documentations for all patients admitted to Beth Israel Deaconess Medical Center (BIDMC) ICUs between 2001 and 2012[2].</w:t>
      </w:r>
    </w:p>
    <w:p w14:paraId="53A21245" w14:textId="77777777" w:rsidR="00530E16" w:rsidRDefault="00625B83">
      <w:pPr>
        <w:rPr>
          <w:b/>
        </w:rPr>
      </w:pPr>
      <w:r>
        <w:rPr>
          <w:b/>
        </w:rPr>
        <w:t>Study population</w:t>
      </w:r>
    </w:p>
    <w:p w14:paraId="0BA3C4B9" w14:textId="77777777" w:rsidR="00530E16" w:rsidRDefault="00625B83">
      <w:r>
        <w:t>We extracted all patients with hypoxemia in MIMIC-III database, where hypoxemia was defined according to oxygenation index, the ratio of partial pressure of arterial oxygen and fraction of inspired oxygen</w:t>
      </w:r>
      <m:oMath>
        <m:d>
          <m:dPr>
            <m:ctrlPr>
              <w:rPr>
                <w:rFonts w:ascii="Cambria Math" w:hAnsi="Cambria Math"/>
              </w:rPr>
            </m:ctrlPr>
          </m:dPr>
          <m:e>
            <m:r>
              <w:rPr>
                <w:rFonts w:ascii="Cambria Math" w:hAnsi="Cambria Math"/>
              </w:rPr>
              <m:t>Pa</m:t>
            </m:r>
            <m:f>
              <m:fPr>
                <m:type m:val="lin"/>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2</m:t>
                    </m:r>
                  </m:sub>
                </m:sSub>
              </m:num>
              <m:den>
                <m:r>
                  <w:rPr>
                    <w:rFonts w:ascii="Cambria Math" w:hAnsi="Cambria Math"/>
                  </w:rPr>
                  <m:t>Fi</m:t>
                </m:r>
              </m:den>
            </m:f>
            <m:sSub>
              <m:sSubPr>
                <m:ctrlPr>
                  <w:rPr>
                    <w:rFonts w:ascii="Cambria Math" w:hAnsi="Cambria Math"/>
                  </w:rPr>
                </m:ctrlPr>
              </m:sSubPr>
              <m:e>
                <m:r>
                  <w:rPr>
                    <w:rFonts w:ascii="Cambria Math" w:hAnsi="Cambria Math"/>
                  </w:rPr>
                  <m:t>O</m:t>
                </m:r>
              </m:e>
              <m:sub>
                <m:r>
                  <w:rPr>
                    <w:rFonts w:ascii="Cambria Math" w:hAnsi="Cambria Math"/>
                  </w:rPr>
                  <m:t>2</m:t>
                </m:r>
              </m:sub>
            </m:sSub>
          </m:e>
        </m:d>
      </m:oMath>
      <w:r>
        <w:t>, we proposed two severity degrees of hypoxemia: severe</w:t>
      </w:r>
      <m:oMath>
        <m:d>
          <m:dPr>
            <m:ctrlPr>
              <w:rPr>
                <w:rFonts w:ascii="Cambria Math" w:hAnsi="Cambria Math"/>
              </w:rPr>
            </m:ctrlPr>
          </m:dPr>
          <m:e>
            <m:r>
              <w:rPr>
                <w:rFonts w:ascii="Cambria Math" w:hAnsi="Cambria Math"/>
              </w:rPr>
              <m:t>Pa</m:t>
            </m:r>
            <m:f>
              <m:fPr>
                <m:type m:val="lin"/>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2</m:t>
                    </m:r>
                  </m:sub>
                </m:sSub>
              </m:num>
              <m:den>
                <m:r>
                  <w:rPr>
                    <w:rFonts w:ascii="Cambria Math" w:hAnsi="Cambria Math"/>
                  </w:rPr>
                  <m:t>Fi</m:t>
                </m:r>
              </m:den>
            </m:f>
            <m:sSub>
              <m:sSubPr>
                <m:ctrlPr>
                  <w:rPr>
                    <w:rFonts w:ascii="Cambria Math" w:hAnsi="Cambria Math"/>
                  </w:rPr>
                </m:ctrlPr>
              </m:sSubPr>
              <m:e>
                <m:r>
                  <w:rPr>
                    <w:rFonts w:ascii="Cambria Math" w:hAnsi="Cambria Math"/>
                  </w:rPr>
                  <m:t>O</m:t>
                </m:r>
              </m:e>
              <m:sub>
                <m:r>
                  <w:rPr>
                    <w:rFonts w:ascii="Cambria Math" w:hAnsi="Cambria Math"/>
                  </w:rPr>
                  <m:t>2</m:t>
                </m:r>
              </m:sub>
            </m:sSub>
          </m:e>
        </m:d>
        <m:r>
          <w:rPr>
            <w:rFonts w:ascii="Cambria Math" w:hAnsi="Cambria Math"/>
          </w:rPr>
          <m:t>≤100mmHg</m:t>
        </m:r>
      </m:oMath>
      <w:r>
        <w:t xml:space="preserve"> and moderate</w:t>
      </w:r>
      <m:oMath>
        <m:d>
          <m:dPr>
            <m:ctrlPr>
              <w:rPr>
                <w:rFonts w:ascii="Cambria Math" w:hAnsi="Cambria Math"/>
              </w:rPr>
            </m:ctrlPr>
          </m:dPr>
          <m:e>
            <m:r>
              <w:rPr>
                <w:rFonts w:ascii="Cambria Math" w:hAnsi="Cambria Math"/>
              </w:rPr>
              <m:t>Pa</m:t>
            </m:r>
            <m:f>
              <m:fPr>
                <m:type m:val="lin"/>
                <m:ctrlPr>
                  <w:rPr>
                    <w:rFonts w:ascii="Cambria Math" w:hAnsi="Cambria Math"/>
                  </w:rPr>
                </m:ctrlPr>
              </m:fPr>
              <m:num>
                <m:sSub>
                  <m:sSubPr>
                    <m:ctrlPr>
                      <w:rPr>
                        <w:rFonts w:ascii="Cambria Math" w:hAnsi="Cambria Math"/>
                      </w:rPr>
                    </m:ctrlPr>
                  </m:sSubPr>
                  <m:e>
                    <m:r>
                      <w:rPr>
                        <w:rFonts w:ascii="Cambria Math" w:hAnsi="Cambria Math"/>
                      </w:rPr>
                      <m:t>O</m:t>
                    </m:r>
                  </m:e>
                  <m:sub>
                    <m:r>
                      <w:rPr>
                        <w:rFonts w:ascii="Cambria Math" w:hAnsi="Cambria Math"/>
                      </w:rPr>
                      <m:t>2</m:t>
                    </m:r>
                  </m:sub>
                </m:sSub>
              </m:num>
              <m:den>
                <m:r>
                  <w:rPr>
                    <w:rFonts w:ascii="Cambria Math" w:hAnsi="Cambria Math"/>
                  </w:rPr>
                  <m:t>Fi</m:t>
                </m:r>
              </m:den>
            </m:f>
            <m:sSub>
              <m:sSubPr>
                <m:ctrlPr>
                  <w:rPr>
                    <w:rFonts w:ascii="Cambria Math" w:hAnsi="Cambria Math"/>
                  </w:rPr>
                </m:ctrlPr>
              </m:sSubPr>
              <m:e>
                <m:r>
                  <w:rPr>
                    <w:rFonts w:ascii="Cambria Math" w:hAnsi="Cambria Math"/>
                  </w:rPr>
                  <m:t>O</m:t>
                </m:r>
              </m:e>
              <m:sub>
                <m:r>
                  <w:rPr>
                    <w:rFonts w:ascii="Cambria Math" w:hAnsi="Cambria Math"/>
                  </w:rPr>
                  <m:t>2</m:t>
                </m:r>
              </m:sub>
            </m:sSub>
          </m:e>
        </m:d>
        <m:r>
          <w:rPr>
            <w:rFonts w:ascii="Cambria Math" w:hAnsi="Cambria Math"/>
          </w:rPr>
          <m:t>≤200</m:t>
        </m:r>
        <w:proofErr w:type="gramStart"/>
        <m:r>
          <w:rPr>
            <w:rFonts w:ascii="Cambria Math" w:hAnsi="Cambria Math"/>
          </w:rPr>
          <m:t>mmHg</m:t>
        </m:r>
      </m:oMath>
      <w:r>
        <w:t>[</w:t>
      </w:r>
      <w:proofErr w:type="gramEnd"/>
      <w:r>
        <w:t xml:space="preserve">3]. The observation window for pre- and post- hypoxemia was 6 hours ahead and 6 hours afterwards onset time correspondingly. </w:t>
      </w:r>
    </w:p>
    <w:p w14:paraId="24BEB703" w14:textId="25A3F45D" w:rsidR="00530E16" w:rsidRDefault="00625B83">
      <w:r>
        <w:t>Among all 46520 MIMIC patients, 4</w:t>
      </w:r>
      <w:r w:rsidR="00E933D8">
        <w:rPr>
          <w:rFonts w:hint="eastAsia"/>
        </w:rPr>
        <w:t>648</w:t>
      </w:r>
      <w:r>
        <w:t xml:space="preserve"> patients were identified as severe hypoxemia during their stay. We excluded </w:t>
      </w:r>
      <w:r w:rsidR="00E933D8">
        <w:rPr>
          <w:rFonts w:hint="eastAsia"/>
        </w:rPr>
        <w:t>623</w:t>
      </w:r>
      <w:r>
        <w:t xml:space="preserve"> patients having mechanical ventilation treatment records during their stay, 2</w:t>
      </w:r>
      <w:r w:rsidR="00E933D8">
        <w:rPr>
          <w:rFonts w:hint="eastAsia"/>
        </w:rPr>
        <w:t>316</w:t>
      </w:r>
      <w:r>
        <w:t xml:space="preserve"> used vasopressor in 6 hours, 1</w:t>
      </w:r>
      <w:r w:rsidR="00CD6CF4">
        <w:rPr>
          <w:rFonts w:hint="eastAsia"/>
        </w:rPr>
        <w:t>094</w:t>
      </w:r>
      <w:r>
        <w:t xml:space="preserve"> records with missing value were leaved out. </w:t>
      </w:r>
      <w:proofErr w:type="gramStart"/>
      <w:r>
        <w:t>Finally</w:t>
      </w:r>
      <w:proofErr w:type="gramEnd"/>
      <w:r>
        <w:t xml:space="preserve"> 615 unique admissions records were included into cohort. For moderate hypoxemia, 1301 unique admissions met the criteria </w:t>
      </w:r>
      <w:proofErr w:type="gramStart"/>
      <w:r>
        <w:t>of  OI</w:t>
      </w:r>
      <w:proofErr w:type="gramEnd"/>
      <w:r>
        <w:t xml:space="preserve"> &lt; 200</w:t>
      </w:r>
      <m:oMath>
        <m:r>
          <w:rPr>
            <w:rFonts w:ascii="Cambria Math" w:hAnsi="Cambria Math"/>
          </w:rPr>
          <m:t>mmHg</m:t>
        </m:r>
      </m:oMath>
      <w:r>
        <w:t xml:space="preserve"> that without vasopressor nor mechanical ventilation records.</w:t>
      </w:r>
    </w:p>
    <w:p w14:paraId="437FC4B5" w14:textId="77777777" w:rsidR="00530E16" w:rsidRDefault="00530E16"/>
    <w:p w14:paraId="17AA2CB2" w14:textId="77777777" w:rsidR="00530E16" w:rsidRDefault="00625B83">
      <w:pPr>
        <w:rPr>
          <w:b/>
        </w:rPr>
      </w:pPr>
      <w:r>
        <w:rPr>
          <w:b/>
        </w:rPr>
        <w:t>Study outcomes</w:t>
      </w:r>
    </w:p>
    <w:p w14:paraId="76817371" w14:textId="77777777" w:rsidR="00530E16" w:rsidRDefault="00625B83">
      <w:r>
        <w:t xml:space="preserve">The primary outcomes were mean central venous pressure(CVP) and mean diastolic blood pressure(DBP) measured 6 hours after the onset of hypoxemia and 6 hours before the onset event. </w:t>
      </w:r>
    </w:p>
    <w:p w14:paraId="5F369A87" w14:textId="77777777" w:rsidR="00530E16" w:rsidRDefault="00530E16">
      <w:pPr>
        <w:rPr>
          <w:b/>
        </w:rPr>
      </w:pPr>
    </w:p>
    <w:p w14:paraId="4CD31D36" w14:textId="77777777" w:rsidR="00530E16" w:rsidRDefault="00625B83">
      <w:pPr>
        <w:rPr>
          <w:b/>
        </w:rPr>
      </w:pPr>
      <w:r>
        <w:rPr>
          <w:b/>
        </w:rPr>
        <w:t>Confounding factor control</w:t>
      </w:r>
    </w:p>
    <w:p w14:paraId="5A14773C" w14:textId="77777777" w:rsidR="00530E16" w:rsidRDefault="00625B83">
      <w:r>
        <w:t>Values of heart rate and PEEP were collected from MIMIC database. Mean value of heart rate and PEEP were calculated in 6 hours before hypoxemia onset and 6 hours after the event.</w:t>
      </w:r>
    </w:p>
    <w:p w14:paraId="5E2F11BC" w14:textId="77777777" w:rsidR="00530E16" w:rsidRDefault="00530E16">
      <w:pPr>
        <w:rPr>
          <w:b/>
        </w:rPr>
      </w:pPr>
    </w:p>
    <w:p w14:paraId="4EC84A70" w14:textId="77777777" w:rsidR="00530E16" w:rsidRDefault="00625B83">
      <w:pPr>
        <w:rPr>
          <w:b/>
        </w:rPr>
      </w:pPr>
      <w:r>
        <w:rPr>
          <w:b/>
        </w:rPr>
        <w:t>Statistical analyses</w:t>
      </w:r>
    </w:p>
    <w:p w14:paraId="74DC8F2A" w14:textId="77777777" w:rsidR="00530E16" w:rsidRDefault="00625B83">
      <w:r>
        <w:t xml:space="preserve">Data are summarized using median and interquartile ranges(IQRs). The Kolmogorov-Smirnov test was used to examined the normality of continuous variables. And </w:t>
      </w:r>
      <w:proofErr w:type="spellStart"/>
      <w:r>
        <w:t>Kruskal</w:t>
      </w:r>
      <w:proofErr w:type="spellEnd"/>
      <w:r>
        <w:t>-Wallis test was employed to determine the significance among non-normal continuous variables.</w:t>
      </w:r>
    </w:p>
    <w:p w14:paraId="4C6D2E5A" w14:textId="77777777" w:rsidR="00530E16" w:rsidRDefault="00625B83">
      <w:r>
        <w:lastRenderedPageBreak/>
        <w:t xml:space="preserve">To compare outcome variables (CVP and DBP) pre- and post- the onset of, we developed multivariable linear regression models that adjusted the effect of PEEP and heart rate. The categories of whether vital signs were measured before or after hypoxemia was included as categorical variable. CVP, DBP, PEEP and heart rate were included as continuous variables. The analysis using package </w:t>
      </w:r>
      <w:proofErr w:type="spellStart"/>
      <w:r>
        <w:t>glm</w:t>
      </w:r>
      <w:proofErr w:type="spellEnd"/>
      <w:r>
        <w:t xml:space="preserve"> in R. </w:t>
      </w:r>
    </w:p>
    <w:p w14:paraId="13980259" w14:textId="77777777" w:rsidR="00530E16" w:rsidRDefault="00530E16"/>
    <w:p w14:paraId="499EC708" w14:textId="77777777" w:rsidR="00530E16" w:rsidRDefault="00625B83">
      <w:r>
        <w:t>The data extraction was performed using pgAdmin4 and all statistical analyses were performed with customized scripts using R 3.4.3.</w:t>
      </w:r>
    </w:p>
    <w:p w14:paraId="6B46484F" w14:textId="77777777" w:rsidR="00530E16" w:rsidRDefault="00530E16"/>
    <w:p w14:paraId="0250E6B4" w14:textId="77777777" w:rsidR="00530E16" w:rsidRDefault="00625B83">
      <w:pPr>
        <w:rPr>
          <w:b/>
          <w:sz w:val="32"/>
        </w:rPr>
      </w:pPr>
      <w:r>
        <w:rPr>
          <w:b/>
          <w:sz w:val="32"/>
        </w:rPr>
        <w:t>Results</w:t>
      </w:r>
    </w:p>
    <w:p w14:paraId="74AF3F5C" w14:textId="77777777" w:rsidR="00530E16" w:rsidRDefault="00625B83">
      <w:r>
        <w:t xml:space="preserve">The variable characteristics of the two population were summarized in </w:t>
      </w:r>
      <w:r>
        <w:rPr>
          <w:b/>
        </w:rPr>
        <w:t>Table 1</w:t>
      </w:r>
      <w:r>
        <w:t xml:space="preserve">. For severe hypoxemia patients, median CVP measured before and after hypoxemia were 14(IQR, 10.82-18) and 14.48(IQR, 11.5-18.89) respectively. </w:t>
      </w:r>
      <w:proofErr w:type="spellStart"/>
      <w:r>
        <w:t>Kruskal</w:t>
      </w:r>
      <w:proofErr w:type="spellEnd"/>
      <w:r>
        <w:t xml:space="preserve">-Wallis test showed a significant difference in </w:t>
      </w:r>
      <w:proofErr w:type="gramStart"/>
      <w:r>
        <w:t>CVP(</w:t>
      </w:r>
      <w:proofErr w:type="gramEnd"/>
      <w:r>
        <w:t>p = 0.028) and PEEP(p &lt; 0.001).</w:t>
      </w:r>
    </w:p>
    <w:p w14:paraId="021EA091" w14:textId="77777777" w:rsidR="00530E16" w:rsidRDefault="00625B83">
      <w:r>
        <w:t xml:space="preserve">Results of multivariable linear regression model for severe hypoxemia patients were shown in </w:t>
      </w:r>
      <w:r>
        <w:rPr>
          <w:b/>
        </w:rPr>
        <w:t>Table 2</w:t>
      </w:r>
      <w:r>
        <w:t xml:space="preserve"> and </w:t>
      </w:r>
      <w:r>
        <w:rPr>
          <w:b/>
        </w:rPr>
        <w:t xml:space="preserve">Table 3. </w:t>
      </w:r>
      <w:r>
        <w:t xml:space="preserve">In Table 2, model for CVP showed a significant change in CVP (p = 0.015) after adjusting for PEEP and heart rate. While in Table 3, the result indicated no significant difference in DBP before and after hypoxemia. </w:t>
      </w:r>
      <w:r>
        <w:rPr>
          <w:b/>
        </w:rPr>
        <w:t>Table 4</w:t>
      </w:r>
      <w:r>
        <w:t xml:space="preserve"> and</w:t>
      </w:r>
      <w:r>
        <w:rPr>
          <w:b/>
        </w:rPr>
        <w:t xml:space="preserve"> Table 5 </w:t>
      </w:r>
      <w:r>
        <w:t>showed results for moderate hypoxemia patients that indicated no significant difference in CVP and DBP.</w:t>
      </w:r>
    </w:p>
    <w:p w14:paraId="6C0293B2" w14:textId="77777777" w:rsidR="00530E16" w:rsidRDefault="00530E16"/>
    <w:p w14:paraId="39E8F646" w14:textId="77777777" w:rsidR="00530E16" w:rsidRDefault="00625B83">
      <w:pPr>
        <w:jc w:val="center"/>
        <w:rPr>
          <w:b/>
          <w:sz w:val="22"/>
        </w:rPr>
      </w:pPr>
      <w:r>
        <w:rPr>
          <w:b/>
          <w:sz w:val="22"/>
        </w:rPr>
        <w:t xml:space="preserve">Table 1. variable characteristics of hypoxemia patients </w:t>
      </w:r>
    </w:p>
    <w:p w14:paraId="393CA77C" w14:textId="77777777" w:rsidR="00530E16" w:rsidRDefault="00530E16">
      <w:pPr>
        <w:jc w:val="center"/>
        <w:rPr>
          <w:b/>
          <w:sz w:val="22"/>
        </w:rPr>
      </w:pPr>
    </w:p>
    <w:tbl>
      <w:tblPr>
        <w:tblStyle w:val="PlainTable1"/>
        <w:tblW w:w="10351" w:type="dxa"/>
        <w:jc w:val="center"/>
        <w:tblLook w:val="04A0" w:firstRow="1" w:lastRow="0" w:firstColumn="1" w:lastColumn="0" w:noHBand="0" w:noVBand="1"/>
      </w:tblPr>
      <w:tblGrid>
        <w:gridCol w:w="1900"/>
        <w:gridCol w:w="1506"/>
        <w:gridCol w:w="1560"/>
        <w:gridCol w:w="992"/>
        <w:gridCol w:w="1700"/>
        <w:gridCol w:w="1559"/>
        <w:gridCol w:w="1134"/>
      </w:tblGrid>
      <w:tr w:rsidR="00530E16" w14:paraId="47584322" w14:textId="77777777" w:rsidTr="00530E16">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99" w:type="dxa"/>
            <w:shd w:val="clear" w:color="auto" w:fill="auto"/>
          </w:tcPr>
          <w:p w14:paraId="66F20188" w14:textId="77777777" w:rsidR="00530E16" w:rsidRDefault="00530E16">
            <w:pPr>
              <w:rPr>
                <w:sz w:val="22"/>
                <w:szCs w:val="20"/>
              </w:rPr>
            </w:pPr>
          </w:p>
        </w:tc>
        <w:tc>
          <w:tcPr>
            <w:tcW w:w="4058" w:type="dxa"/>
            <w:gridSpan w:val="3"/>
            <w:shd w:val="clear" w:color="auto" w:fill="auto"/>
          </w:tcPr>
          <w:p w14:paraId="6D31B52A"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Severe hypoxemia patients</w:t>
            </w:r>
            <w:r>
              <w:rPr>
                <w:rFonts w:ascii="MS Mincho" w:eastAsia="MS Mincho" w:hAnsi="MS Mincho" w:cs="MS Mincho"/>
                <w:color w:val="000000"/>
                <w:sz w:val="22"/>
              </w:rPr>
              <w:t>（n = 615）</w:t>
            </w:r>
          </w:p>
        </w:tc>
        <w:tc>
          <w:tcPr>
            <w:tcW w:w="4393" w:type="dxa"/>
            <w:gridSpan w:val="3"/>
            <w:shd w:val="clear" w:color="auto" w:fill="auto"/>
          </w:tcPr>
          <w:p w14:paraId="270008A4"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Pr>
                <w:rFonts w:ascii="Calibri" w:eastAsia="Times New Roman" w:hAnsi="Calibri"/>
                <w:color w:val="000000"/>
                <w:sz w:val="22"/>
              </w:rPr>
              <w:t>Moderate hypoxemia patients</w:t>
            </w:r>
            <w:r>
              <w:rPr>
                <w:rFonts w:ascii="MS Mincho" w:eastAsia="MS Mincho" w:hAnsi="MS Mincho" w:cs="MS Mincho"/>
                <w:color w:val="000000"/>
                <w:sz w:val="22"/>
              </w:rPr>
              <w:t>（n = 1301）</w:t>
            </w:r>
          </w:p>
        </w:tc>
      </w:tr>
      <w:tr w:rsidR="00530E16" w14:paraId="4352C983" w14:textId="77777777" w:rsidTr="00530E1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99" w:type="dxa"/>
          </w:tcPr>
          <w:p w14:paraId="20145B1A" w14:textId="77777777" w:rsidR="00530E16" w:rsidRDefault="00530E16">
            <w:pPr>
              <w:rPr>
                <w:sz w:val="20"/>
                <w:szCs w:val="20"/>
              </w:rPr>
            </w:pPr>
          </w:p>
        </w:tc>
        <w:tc>
          <w:tcPr>
            <w:tcW w:w="1506" w:type="dxa"/>
          </w:tcPr>
          <w:p w14:paraId="47F7AF90"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pre</w:t>
            </w:r>
          </w:p>
        </w:tc>
        <w:tc>
          <w:tcPr>
            <w:tcW w:w="1560" w:type="dxa"/>
          </w:tcPr>
          <w:p w14:paraId="04170D38"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post</w:t>
            </w:r>
          </w:p>
        </w:tc>
        <w:tc>
          <w:tcPr>
            <w:tcW w:w="992" w:type="dxa"/>
          </w:tcPr>
          <w:p w14:paraId="0362D206"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P value</w:t>
            </w:r>
          </w:p>
        </w:tc>
        <w:tc>
          <w:tcPr>
            <w:tcW w:w="1700" w:type="dxa"/>
          </w:tcPr>
          <w:p w14:paraId="011FD7E5"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ascii="Calibri" w:eastAsia="Times New Roman" w:hAnsi="Calibri"/>
                <w:color w:val="000000"/>
                <w:sz w:val="20"/>
              </w:rPr>
              <w:t>pre</w:t>
            </w:r>
          </w:p>
        </w:tc>
        <w:tc>
          <w:tcPr>
            <w:tcW w:w="1559" w:type="dxa"/>
          </w:tcPr>
          <w:p w14:paraId="3DAA2A02"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ascii="Calibri" w:eastAsia="Times New Roman" w:hAnsi="Calibri"/>
                <w:color w:val="000000"/>
                <w:sz w:val="20"/>
              </w:rPr>
              <w:t>post</w:t>
            </w:r>
          </w:p>
        </w:tc>
        <w:tc>
          <w:tcPr>
            <w:tcW w:w="1134" w:type="dxa"/>
          </w:tcPr>
          <w:p w14:paraId="441A62F2"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ascii="Calibri" w:eastAsia="Times New Roman" w:hAnsi="Calibri"/>
                <w:color w:val="000000"/>
                <w:sz w:val="20"/>
              </w:rPr>
              <w:t>P value</w:t>
            </w:r>
          </w:p>
        </w:tc>
      </w:tr>
      <w:tr w:rsidR="00530E16" w14:paraId="4238BEC1" w14:textId="77777777" w:rsidTr="00530E16">
        <w:trPr>
          <w:trHeight w:val="320"/>
          <w:jc w:val="center"/>
        </w:trPr>
        <w:tc>
          <w:tcPr>
            <w:cnfStyle w:val="001000000000" w:firstRow="0" w:lastRow="0" w:firstColumn="1" w:lastColumn="0" w:oddVBand="0" w:evenVBand="0" w:oddHBand="0" w:evenHBand="0" w:firstRowFirstColumn="0" w:firstRowLastColumn="0" w:lastRowFirstColumn="0" w:lastRowLastColumn="0"/>
            <w:tcW w:w="1899" w:type="dxa"/>
            <w:shd w:val="clear" w:color="auto" w:fill="auto"/>
          </w:tcPr>
          <w:p w14:paraId="5A097A22" w14:textId="77777777" w:rsidR="00530E16" w:rsidRDefault="00625B83">
            <w:pPr>
              <w:rPr>
                <w:rFonts w:ascii="Calibri" w:eastAsia="Times New Roman" w:hAnsi="Calibri"/>
                <w:color w:val="000000"/>
                <w:sz w:val="20"/>
              </w:rPr>
            </w:pPr>
            <w:r>
              <w:rPr>
                <w:rFonts w:ascii="Calibri" w:eastAsia="Times New Roman" w:hAnsi="Calibri"/>
                <w:color w:val="000000"/>
                <w:sz w:val="20"/>
              </w:rPr>
              <w:t>CVP (median [IQR])</w:t>
            </w:r>
          </w:p>
        </w:tc>
        <w:tc>
          <w:tcPr>
            <w:tcW w:w="1506" w:type="dxa"/>
            <w:shd w:val="clear" w:color="auto" w:fill="auto"/>
          </w:tcPr>
          <w:p w14:paraId="389F587F"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14.00</w:t>
            </w:r>
          </w:p>
          <w:p w14:paraId="5412DA6D"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[10.82, 18.00]</w:t>
            </w:r>
          </w:p>
        </w:tc>
        <w:tc>
          <w:tcPr>
            <w:tcW w:w="1560" w:type="dxa"/>
            <w:shd w:val="clear" w:color="auto" w:fill="auto"/>
          </w:tcPr>
          <w:p w14:paraId="72525CB7"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14.48</w:t>
            </w:r>
          </w:p>
          <w:p w14:paraId="5CBBBF81"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[11.50, 18.89]</w:t>
            </w:r>
          </w:p>
        </w:tc>
        <w:tc>
          <w:tcPr>
            <w:tcW w:w="992" w:type="dxa"/>
            <w:shd w:val="clear" w:color="auto" w:fill="auto"/>
          </w:tcPr>
          <w:p w14:paraId="29AEAEC7"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0.028</w:t>
            </w:r>
          </w:p>
        </w:tc>
        <w:tc>
          <w:tcPr>
            <w:tcW w:w="1700" w:type="dxa"/>
            <w:shd w:val="clear" w:color="auto" w:fill="auto"/>
            <w:vAlign w:val="bottom"/>
          </w:tcPr>
          <w:p w14:paraId="2D73C5E3"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13.00</w:t>
            </w:r>
          </w:p>
          <w:p w14:paraId="4D7B54C7"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[10.00, 16.67]</w:t>
            </w:r>
          </w:p>
        </w:tc>
        <w:tc>
          <w:tcPr>
            <w:tcW w:w="1559" w:type="dxa"/>
            <w:shd w:val="clear" w:color="auto" w:fill="auto"/>
            <w:vAlign w:val="bottom"/>
          </w:tcPr>
          <w:p w14:paraId="0F7042CB"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13.23</w:t>
            </w:r>
          </w:p>
          <w:p w14:paraId="60BF19D2"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[10.11, 16.80]</w:t>
            </w:r>
          </w:p>
        </w:tc>
        <w:tc>
          <w:tcPr>
            <w:tcW w:w="1134" w:type="dxa"/>
            <w:shd w:val="clear" w:color="auto" w:fill="auto"/>
            <w:vAlign w:val="bottom"/>
          </w:tcPr>
          <w:p w14:paraId="1E4E7059"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0.417</w:t>
            </w:r>
          </w:p>
        </w:tc>
      </w:tr>
      <w:tr w:rsidR="00530E16" w14:paraId="7A7F90DD" w14:textId="77777777" w:rsidTr="00530E1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99" w:type="dxa"/>
          </w:tcPr>
          <w:p w14:paraId="15FAC357" w14:textId="77777777" w:rsidR="00530E16" w:rsidRDefault="00625B83">
            <w:pPr>
              <w:rPr>
                <w:rFonts w:ascii="Calibri" w:eastAsia="Times New Roman" w:hAnsi="Calibri"/>
                <w:color w:val="000000"/>
                <w:sz w:val="20"/>
              </w:rPr>
            </w:pPr>
            <w:r>
              <w:rPr>
                <w:rFonts w:ascii="Calibri" w:eastAsia="Times New Roman" w:hAnsi="Calibri"/>
                <w:color w:val="000000"/>
                <w:sz w:val="20"/>
              </w:rPr>
              <w:t>DBP (median [IQR])</w:t>
            </w:r>
          </w:p>
        </w:tc>
        <w:tc>
          <w:tcPr>
            <w:tcW w:w="1506" w:type="dxa"/>
          </w:tcPr>
          <w:p w14:paraId="5024902F"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56.20</w:t>
            </w:r>
          </w:p>
          <w:p w14:paraId="25BC4207"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[49.62, 62.52]</w:t>
            </w:r>
          </w:p>
        </w:tc>
        <w:tc>
          <w:tcPr>
            <w:tcW w:w="1560" w:type="dxa"/>
          </w:tcPr>
          <w:p w14:paraId="423DD00C"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56.39 </w:t>
            </w:r>
          </w:p>
          <w:p w14:paraId="58633D77"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[49.51, 63.18]</w:t>
            </w:r>
          </w:p>
        </w:tc>
        <w:tc>
          <w:tcPr>
            <w:tcW w:w="992" w:type="dxa"/>
          </w:tcPr>
          <w:p w14:paraId="7239E7A7"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0.669</w:t>
            </w:r>
          </w:p>
        </w:tc>
        <w:tc>
          <w:tcPr>
            <w:tcW w:w="1700" w:type="dxa"/>
            <w:vAlign w:val="bottom"/>
          </w:tcPr>
          <w:p w14:paraId="3278E150"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56.28 </w:t>
            </w:r>
          </w:p>
          <w:p w14:paraId="6268866A"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[50.47, 62.88]</w:t>
            </w:r>
          </w:p>
        </w:tc>
        <w:tc>
          <w:tcPr>
            <w:tcW w:w="1559" w:type="dxa"/>
            <w:vAlign w:val="bottom"/>
          </w:tcPr>
          <w:p w14:paraId="5EF96DDE"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56.33</w:t>
            </w:r>
          </w:p>
          <w:p w14:paraId="21F8C3ED"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[50.50, 62.42]</w:t>
            </w:r>
          </w:p>
        </w:tc>
        <w:tc>
          <w:tcPr>
            <w:tcW w:w="1134" w:type="dxa"/>
            <w:vAlign w:val="bottom"/>
          </w:tcPr>
          <w:p w14:paraId="5F81329D"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0.991</w:t>
            </w:r>
          </w:p>
        </w:tc>
      </w:tr>
      <w:tr w:rsidR="00530E16" w14:paraId="609540E2" w14:textId="77777777" w:rsidTr="00530E16">
        <w:trPr>
          <w:trHeight w:val="320"/>
          <w:jc w:val="center"/>
        </w:trPr>
        <w:tc>
          <w:tcPr>
            <w:cnfStyle w:val="001000000000" w:firstRow="0" w:lastRow="0" w:firstColumn="1" w:lastColumn="0" w:oddVBand="0" w:evenVBand="0" w:oddHBand="0" w:evenHBand="0" w:firstRowFirstColumn="0" w:firstRowLastColumn="0" w:lastRowFirstColumn="0" w:lastRowLastColumn="0"/>
            <w:tcW w:w="1899" w:type="dxa"/>
            <w:shd w:val="clear" w:color="auto" w:fill="auto"/>
          </w:tcPr>
          <w:p w14:paraId="0AE57AB4" w14:textId="77777777" w:rsidR="00530E16" w:rsidRDefault="00625B83">
            <w:pPr>
              <w:rPr>
                <w:rFonts w:ascii="Calibri" w:eastAsia="Times New Roman" w:hAnsi="Calibri"/>
                <w:color w:val="000000"/>
                <w:sz w:val="20"/>
              </w:rPr>
            </w:pPr>
            <w:r>
              <w:rPr>
                <w:rFonts w:ascii="Calibri" w:eastAsia="Times New Roman" w:hAnsi="Calibri"/>
                <w:color w:val="000000"/>
                <w:sz w:val="20"/>
              </w:rPr>
              <w:t>PEEP (median [IQR])</w:t>
            </w:r>
          </w:p>
        </w:tc>
        <w:tc>
          <w:tcPr>
            <w:tcW w:w="1506" w:type="dxa"/>
            <w:shd w:val="clear" w:color="auto" w:fill="auto"/>
          </w:tcPr>
          <w:p w14:paraId="20A10E27"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7.67</w:t>
            </w:r>
          </w:p>
          <w:p w14:paraId="5DA8C1F0"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[5.00, 10.00]</w:t>
            </w:r>
          </w:p>
        </w:tc>
        <w:tc>
          <w:tcPr>
            <w:tcW w:w="1560" w:type="dxa"/>
            <w:shd w:val="clear" w:color="auto" w:fill="auto"/>
          </w:tcPr>
          <w:p w14:paraId="2E24F0E0"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8.33</w:t>
            </w:r>
          </w:p>
          <w:p w14:paraId="5A398F4D"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[5.00, 12.00]</w:t>
            </w:r>
          </w:p>
        </w:tc>
        <w:tc>
          <w:tcPr>
            <w:tcW w:w="992" w:type="dxa"/>
            <w:shd w:val="clear" w:color="auto" w:fill="auto"/>
          </w:tcPr>
          <w:p w14:paraId="6D3B5336"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&lt;0.001</w:t>
            </w:r>
          </w:p>
        </w:tc>
        <w:tc>
          <w:tcPr>
            <w:tcW w:w="1700" w:type="dxa"/>
            <w:shd w:val="clear" w:color="auto" w:fill="auto"/>
            <w:vAlign w:val="bottom"/>
          </w:tcPr>
          <w:p w14:paraId="17F44172"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5.00</w:t>
            </w:r>
          </w:p>
          <w:p w14:paraId="107F6B96"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[5.00, 8.75]</w:t>
            </w:r>
          </w:p>
        </w:tc>
        <w:tc>
          <w:tcPr>
            <w:tcW w:w="1559" w:type="dxa"/>
            <w:shd w:val="clear" w:color="auto" w:fill="auto"/>
            <w:vAlign w:val="bottom"/>
          </w:tcPr>
          <w:p w14:paraId="034F23AD"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6.50</w:t>
            </w:r>
          </w:p>
          <w:p w14:paraId="0E185095"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[5.00, 10.00]</w:t>
            </w:r>
          </w:p>
        </w:tc>
        <w:tc>
          <w:tcPr>
            <w:tcW w:w="1134" w:type="dxa"/>
            <w:shd w:val="clear" w:color="auto" w:fill="auto"/>
            <w:vAlign w:val="bottom"/>
          </w:tcPr>
          <w:p w14:paraId="55D82877"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&lt;0.001</w:t>
            </w:r>
          </w:p>
        </w:tc>
      </w:tr>
      <w:tr w:rsidR="00530E16" w14:paraId="723BD1A8" w14:textId="77777777" w:rsidTr="00530E16">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99" w:type="dxa"/>
          </w:tcPr>
          <w:p w14:paraId="58E70E45" w14:textId="77777777" w:rsidR="00530E16" w:rsidRDefault="00625B83">
            <w:pPr>
              <w:rPr>
                <w:rFonts w:ascii="Calibri" w:eastAsia="Times New Roman" w:hAnsi="Calibri"/>
                <w:color w:val="000000"/>
                <w:sz w:val="20"/>
              </w:rPr>
            </w:pPr>
            <w:r>
              <w:rPr>
                <w:rFonts w:ascii="Calibri" w:eastAsia="Times New Roman" w:hAnsi="Calibri"/>
                <w:color w:val="000000"/>
                <w:sz w:val="20"/>
              </w:rPr>
              <w:t>Heart rate</w:t>
            </w:r>
          </w:p>
          <w:p w14:paraId="331B43AF" w14:textId="77777777" w:rsidR="00530E16" w:rsidRDefault="00625B83">
            <w:pPr>
              <w:rPr>
                <w:rFonts w:ascii="Calibri" w:eastAsia="Times New Roman" w:hAnsi="Calibri"/>
                <w:color w:val="000000"/>
                <w:sz w:val="20"/>
              </w:rPr>
            </w:pPr>
            <w:r>
              <w:rPr>
                <w:rFonts w:ascii="Calibri" w:eastAsia="Times New Roman" w:hAnsi="Calibri"/>
                <w:color w:val="000000"/>
                <w:sz w:val="20"/>
              </w:rPr>
              <w:t xml:space="preserve"> (median [IQR])</w:t>
            </w:r>
          </w:p>
        </w:tc>
        <w:tc>
          <w:tcPr>
            <w:tcW w:w="1506" w:type="dxa"/>
          </w:tcPr>
          <w:p w14:paraId="38006984"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95.67 </w:t>
            </w:r>
          </w:p>
          <w:p w14:paraId="02DCB7BC"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[81.73, 109.42]</w:t>
            </w:r>
          </w:p>
        </w:tc>
        <w:tc>
          <w:tcPr>
            <w:tcW w:w="1560" w:type="dxa"/>
          </w:tcPr>
          <w:p w14:paraId="68816569"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94.67 </w:t>
            </w:r>
          </w:p>
          <w:p w14:paraId="471C5D3D"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[81.50, 107.29]</w:t>
            </w:r>
          </w:p>
        </w:tc>
        <w:tc>
          <w:tcPr>
            <w:tcW w:w="992" w:type="dxa"/>
          </w:tcPr>
          <w:p w14:paraId="2631D3D0"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0.356</w:t>
            </w:r>
          </w:p>
        </w:tc>
        <w:tc>
          <w:tcPr>
            <w:tcW w:w="1700" w:type="dxa"/>
            <w:vAlign w:val="bottom"/>
          </w:tcPr>
          <w:p w14:paraId="6097A68E"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89.98</w:t>
            </w:r>
          </w:p>
          <w:p w14:paraId="34DD872E"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 [78.81, 103.17]</w:t>
            </w:r>
          </w:p>
        </w:tc>
        <w:tc>
          <w:tcPr>
            <w:tcW w:w="1559" w:type="dxa"/>
            <w:vAlign w:val="bottom"/>
          </w:tcPr>
          <w:p w14:paraId="3197B146"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 xml:space="preserve">89.17 </w:t>
            </w:r>
          </w:p>
          <w:p w14:paraId="2378A1CC"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[79.03, 102.50]</w:t>
            </w:r>
          </w:p>
        </w:tc>
        <w:tc>
          <w:tcPr>
            <w:tcW w:w="1134" w:type="dxa"/>
            <w:vAlign w:val="bottom"/>
          </w:tcPr>
          <w:p w14:paraId="65E3E101"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Pr>
                <w:rFonts w:ascii="Calibri" w:eastAsia="Times New Roman" w:hAnsi="Calibri"/>
                <w:color w:val="000000"/>
                <w:sz w:val="20"/>
              </w:rPr>
              <w:t>0.468</w:t>
            </w:r>
          </w:p>
        </w:tc>
      </w:tr>
    </w:tbl>
    <w:p w14:paraId="7BE70241" w14:textId="77777777" w:rsidR="00530E16" w:rsidRDefault="00530E16"/>
    <w:p w14:paraId="684E6AED" w14:textId="77777777" w:rsidR="00530E16" w:rsidRDefault="00625B83">
      <w:pPr>
        <w:jc w:val="center"/>
        <w:rPr>
          <w:rFonts w:ascii="Calibri" w:eastAsia="Times New Roman" w:hAnsi="Calibri"/>
          <w:b/>
          <w:bCs/>
          <w:color w:val="000000"/>
          <w:sz w:val="21"/>
        </w:rPr>
      </w:pPr>
      <w:r>
        <w:rPr>
          <w:rFonts w:ascii="Calibri" w:eastAsia="Times New Roman" w:hAnsi="Calibri"/>
          <w:b/>
          <w:bCs/>
          <w:color w:val="000000"/>
          <w:sz w:val="21"/>
        </w:rPr>
        <w:t>T</w:t>
      </w:r>
      <w:r>
        <w:rPr>
          <w:b/>
          <w:sz w:val="22"/>
        </w:rPr>
        <w:t>able 2. Multivariable linear regression model of CVP in severe hypoxemia patients, adjusted for PEEP and heartrate</w:t>
      </w:r>
    </w:p>
    <w:tbl>
      <w:tblPr>
        <w:tblStyle w:val="PlainTable1"/>
        <w:tblW w:w="8222" w:type="dxa"/>
        <w:tblInd w:w="421" w:type="dxa"/>
        <w:tblLook w:val="04A0" w:firstRow="1" w:lastRow="0" w:firstColumn="1" w:lastColumn="0" w:noHBand="0" w:noVBand="1"/>
      </w:tblPr>
      <w:tblGrid>
        <w:gridCol w:w="2834"/>
        <w:gridCol w:w="2751"/>
        <w:gridCol w:w="2637"/>
      </w:tblGrid>
      <w:tr w:rsidR="00530E16" w14:paraId="6474D40F" w14:textId="77777777" w:rsidTr="00530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2368F4EB" w14:textId="77777777" w:rsidR="00530E16" w:rsidRDefault="00530E16">
            <w:pPr>
              <w:rPr>
                <w:rFonts w:ascii="Calibri" w:eastAsia="Times New Roman" w:hAnsi="Calibri"/>
                <w:color w:val="000000"/>
                <w:sz w:val="22"/>
              </w:rPr>
            </w:pPr>
          </w:p>
        </w:tc>
        <w:tc>
          <w:tcPr>
            <w:tcW w:w="2751" w:type="dxa"/>
            <w:shd w:val="clear" w:color="auto" w:fill="auto"/>
          </w:tcPr>
          <w:p w14:paraId="0C88A7A7"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proofErr w:type="spellStart"/>
            <w:proofErr w:type="gramStart"/>
            <w:r>
              <w:rPr>
                <w:rFonts w:ascii="Calibri" w:eastAsia="Times New Roman" w:hAnsi="Calibri"/>
                <w:color w:val="000000"/>
                <w:sz w:val="22"/>
              </w:rPr>
              <w:t>Coef</w:t>
            </w:r>
            <w:proofErr w:type="spellEnd"/>
            <w:r>
              <w:rPr>
                <w:rFonts w:ascii="Calibri" w:eastAsia="Times New Roman" w:hAnsi="Calibri"/>
                <w:color w:val="000000"/>
                <w:sz w:val="22"/>
              </w:rPr>
              <w:t>(</w:t>
            </w:r>
            <w:proofErr w:type="gramEnd"/>
            <w:r>
              <w:rPr>
                <w:rFonts w:ascii="Calibri" w:eastAsia="Times New Roman" w:hAnsi="Calibri"/>
                <w:color w:val="000000"/>
                <w:sz w:val="22"/>
              </w:rPr>
              <w:t>95% CI)</w:t>
            </w:r>
          </w:p>
        </w:tc>
        <w:tc>
          <w:tcPr>
            <w:tcW w:w="2637" w:type="dxa"/>
            <w:shd w:val="clear" w:color="auto" w:fill="auto"/>
          </w:tcPr>
          <w:p w14:paraId="719461B2"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P value</w:t>
            </w:r>
          </w:p>
        </w:tc>
      </w:tr>
      <w:tr w:rsidR="00530E16" w14:paraId="1FD07E61" w14:textId="77777777" w:rsidTr="0053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14:paraId="70F840F4" w14:textId="77777777" w:rsidR="00530E16" w:rsidRDefault="00625B83">
            <w:pPr>
              <w:rPr>
                <w:rFonts w:ascii="Calibri" w:eastAsia="Times New Roman" w:hAnsi="Calibri"/>
                <w:color w:val="000000"/>
                <w:sz w:val="22"/>
              </w:rPr>
            </w:pPr>
            <w:r>
              <w:rPr>
                <w:rFonts w:ascii="Calibri" w:eastAsia="Times New Roman" w:hAnsi="Calibri"/>
                <w:color w:val="000000"/>
                <w:sz w:val="22"/>
              </w:rPr>
              <w:t xml:space="preserve">CVP measured </w:t>
            </w:r>
            <w:proofErr w:type="gramStart"/>
            <w:r>
              <w:rPr>
                <w:rFonts w:ascii="Calibri" w:eastAsia="Times New Roman" w:hAnsi="Calibri"/>
                <w:color w:val="000000"/>
                <w:sz w:val="22"/>
              </w:rPr>
              <w:t>Pre or</w:t>
            </w:r>
            <w:proofErr w:type="gramEnd"/>
            <w:r>
              <w:rPr>
                <w:rFonts w:ascii="Calibri" w:eastAsia="Times New Roman" w:hAnsi="Calibri"/>
                <w:color w:val="000000"/>
                <w:sz w:val="22"/>
              </w:rPr>
              <w:t xml:space="preserve"> Post </w:t>
            </w:r>
          </w:p>
        </w:tc>
        <w:tc>
          <w:tcPr>
            <w:tcW w:w="2751" w:type="dxa"/>
          </w:tcPr>
          <w:p w14:paraId="7EE0B3FE"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3.63(0.70, 6.56)</w:t>
            </w:r>
          </w:p>
        </w:tc>
        <w:tc>
          <w:tcPr>
            <w:tcW w:w="2637" w:type="dxa"/>
          </w:tcPr>
          <w:p w14:paraId="0D661216"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0.015</w:t>
            </w:r>
          </w:p>
        </w:tc>
      </w:tr>
      <w:tr w:rsidR="00530E16" w14:paraId="56E74F0E" w14:textId="77777777" w:rsidTr="00530E16">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1C8D2569" w14:textId="77777777" w:rsidR="00530E16" w:rsidRDefault="00625B83">
            <w:pPr>
              <w:rPr>
                <w:rFonts w:ascii="Calibri" w:eastAsia="Times New Roman" w:hAnsi="Calibri"/>
                <w:color w:val="000000"/>
                <w:sz w:val="22"/>
              </w:rPr>
            </w:pPr>
            <w:r>
              <w:rPr>
                <w:rFonts w:ascii="Calibri" w:eastAsia="Times New Roman" w:hAnsi="Calibri"/>
                <w:color w:val="000000"/>
                <w:sz w:val="22"/>
              </w:rPr>
              <w:t>PEEP</w:t>
            </w:r>
          </w:p>
        </w:tc>
        <w:tc>
          <w:tcPr>
            <w:tcW w:w="2751" w:type="dxa"/>
            <w:shd w:val="clear" w:color="auto" w:fill="auto"/>
          </w:tcPr>
          <w:p w14:paraId="6DE0DC46" w14:textId="77777777" w:rsidR="00530E16" w:rsidRDefault="00625B83">
            <w:pPr>
              <w:pStyle w:val="HTMLPreformatte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0.33(-0.02, 0.67)</w:t>
            </w:r>
          </w:p>
        </w:tc>
        <w:tc>
          <w:tcPr>
            <w:tcW w:w="2637" w:type="dxa"/>
            <w:shd w:val="clear" w:color="auto" w:fill="auto"/>
          </w:tcPr>
          <w:p w14:paraId="666F4CEF"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0.063</w:t>
            </w:r>
          </w:p>
        </w:tc>
      </w:tr>
      <w:tr w:rsidR="00530E16" w14:paraId="2131B5D2" w14:textId="77777777" w:rsidTr="00530E1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834" w:type="dxa"/>
          </w:tcPr>
          <w:p w14:paraId="02D0AAF3" w14:textId="77777777" w:rsidR="00530E16" w:rsidRDefault="00625B83">
            <w:pPr>
              <w:rPr>
                <w:rFonts w:ascii="Calibri" w:eastAsia="Times New Roman" w:hAnsi="Calibri"/>
                <w:color w:val="000000"/>
                <w:sz w:val="22"/>
              </w:rPr>
            </w:pPr>
            <w:r>
              <w:rPr>
                <w:rFonts w:ascii="Calibri" w:eastAsia="Times New Roman" w:hAnsi="Calibri"/>
                <w:color w:val="000000"/>
                <w:sz w:val="22"/>
              </w:rPr>
              <w:t>Heart rate</w:t>
            </w:r>
          </w:p>
        </w:tc>
        <w:tc>
          <w:tcPr>
            <w:tcW w:w="2751" w:type="dxa"/>
          </w:tcPr>
          <w:p w14:paraId="1A3ADE1B"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0.05(-0.03, 0.13)</w:t>
            </w:r>
          </w:p>
        </w:tc>
        <w:tc>
          <w:tcPr>
            <w:tcW w:w="2637" w:type="dxa"/>
          </w:tcPr>
          <w:p w14:paraId="5F6783A2"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0.202</w:t>
            </w:r>
          </w:p>
        </w:tc>
      </w:tr>
    </w:tbl>
    <w:p w14:paraId="0B18F636" w14:textId="77777777" w:rsidR="00530E16" w:rsidRDefault="00530E16"/>
    <w:p w14:paraId="57AA1C94" w14:textId="77777777" w:rsidR="00530E16" w:rsidRDefault="00530E16"/>
    <w:p w14:paraId="341744FD" w14:textId="77777777" w:rsidR="00530E16" w:rsidRDefault="00625B83">
      <w:pPr>
        <w:jc w:val="center"/>
        <w:rPr>
          <w:rFonts w:ascii="Calibri" w:eastAsia="Times New Roman" w:hAnsi="Calibri"/>
          <w:b/>
          <w:bCs/>
          <w:color w:val="000000"/>
          <w:sz w:val="21"/>
        </w:rPr>
      </w:pPr>
      <w:r>
        <w:rPr>
          <w:rFonts w:ascii="Calibri" w:eastAsia="Times New Roman" w:hAnsi="Calibri"/>
          <w:b/>
          <w:bCs/>
          <w:color w:val="000000"/>
          <w:sz w:val="21"/>
        </w:rPr>
        <w:t>T</w:t>
      </w:r>
      <w:r>
        <w:rPr>
          <w:b/>
          <w:sz w:val="22"/>
        </w:rPr>
        <w:t>able 3. Multivariable linear regression model of DBP in severe hypoxemia patients, adjusted for PEEP and heartrate</w:t>
      </w:r>
    </w:p>
    <w:tbl>
      <w:tblPr>
        <w:tblStyle w:val="PlainTable1"/>
        <w:tblW w:w="8222" w:type="dxa"/>
        <w:tblInd w:w="421" w:type="dxa"/>
        <w:tblLook w:val="04A0" w:firstRow="1" w:lastRow="0" w:firstColumn="1" w:lastColumn="0" w:noHBand="0" w:noVBand="1"/>
      </w:tblPr>
      <w:tblGrid>
        <w:gridCol w:w="2834"/>
        <w:gridCol w:w="2751"/>
        <w:gridCol w:w="2637"/>
      </w:tblGrid>
      <w:tr w:rsidR="00530E16" w14:paraId="47AEDAB8" w14:textId="77777777" w:rsidTr="00530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7BBE74F9" w14:textId="77777777" w:rsidR="00530E16" w:rsidRDefault="00530E16">
            <w:pPr>
              <w:rPr>
                <w:rFonts w:ascii="Calibri" w:eastAsia="Times New Roman" w:hAnsi="Calibri"/>
                <w:color w:val="000000"/>
                <w:sz w:val="22"/>
              </w:rPr>
            </w:pPr>
          </w:p>
        </w:tc>
        <w:tc>
          <w:tcPr>
            <w:tcW w:w="2751" w:type="dxa"/>
            <w:shd w:val="clear" w:color="auto" w:fill="auto"/>
          </w:tcPr>
          <w:p w14:paraId="549A7735"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proofErr w:type="spellStart"/>
            <w:proofErr w:type="gramStart"/>
            <w:r>
              <w:rPr>
                <w:rFonts w:ascii="Calibri" w:eastAsia="Times New Roman" w:hAnsi="Calibri"/>
                <w:color w:val="000000"/>
                <w:sz w:val="22"/>
              </w:rPr>
              <w:t>Coef</w:t>
            </w:r>
            <w:proofErr w:type="spellEnd"/>
            <w:r>
              <w:rPr>
                <w:rFonts w:ascii="Calibri" w:eastAsia="Times New Roman" w:hAnsi="Calibri"/>
                <w:color w:val="000000"/>
                <w:sz w:val="22"/>
              </w:rPr>
              <w:t>(</w:t>
            </w:r>
            <w:proofErr w:type="gramEnd"/>
            <w:r>
              <w:rPr>
                <w:rFonts w:ascii="Calibri" w:eastAsia="Times New Roman" w:hAnsi="Calibri"/>
                <w:color w:val="000000"/>
                <w:sz w:val="22"/>
              </w:rPr>
              <w:t>95% CI)</w:t>
            </w:r>
          </w:p>
        </w:tc>
        <w:tc>
          <w:tcPr>
            <w:tcW w:w="2637" w:type="dxa"/>
            <w:shd w:val="clear" w:color="auto" w:fill="auto"/>
          </w:tcPr>
          <w:p w14:paraId="44DC04BF"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P value</w:t>
            </w:r>
          </w:p>
        </w:tc>
      </w:tr>
      <w:tr w:rsidR="00530E16" w14:paraId="56A684FB" w14:textId="77777777" w:rsidTr="0053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14:paraId="1A099BB0" w14:textId="77777777" w:rsidR="00530E16" w:rsidRDefault="00625B83">
            <w:pPr>
              <w:rPr>
                <w:rFonts w:ascii="Calibri" w:eastAsia="Times New Roman" w:hAnsi="Calibri"/>
                <w:color w:val="000000"/>
                <w:sz w:val="22"/>
              </w:rPr>
            </w:pPr>
            <w:r>
              <w:rPr>
                <w:rFonts w:ascii="Calibri" w:eastAsia="Times New Roman" w:hAnsi="Calibri"/>
                <w:color w:val="000000"/>
                <w:sz w:val="22"/>
              </w:rPr>
              <w:t xml:space="preserve">DBP measured </w:t>
            </w:r>
            <w:proofErr w:type="gramStart"/>
            <w:r>
              <w:rPr>
                <w:rFonts w:ascii="Calibri" w:eastAsia="Times New Roman" w:hAnsi="Calibri"/>
                <w:color w:val="000000"/>
                <w:sz w:val="22"/>
              </w:rPr>
              <w:t>Pre or</w:t>
            </w:r>
            <w:proofErr w:type="gramEnd"/>
            <w:r>
              <w:rPr>
                <w:rFonts w:ascii="Calibri" w:eastAsia="Times New Roman" w:hAnsi="Calibri"/>
                <w:color w:val="000000"/>
                <w:sz w:val="22"/>
              </w:rPr>
              <w:t xml:space="preserve"> Post </w:t>
            </w:r>
          </w:p>
        </w:tc>
        <w:tc>
          <w:tcPr>
            <w:tcW w:w="2751" w:type="dxa"/>
          </w:tcPr>
          <w:p w14:paraId="7DA6766A"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0.32(-0.87, 1.51)</w:t>
            </w:r>
          </w:p>
        </w:tc>
        <w:tc>
          <w:tcPr>
            <w:tcW w:w="2637" w:type="dxa"/>
          </w:tcPr>
          <w:p w14:paraId="7619CBA6"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0.597</w:t>
            </w:r>
          </w:p>
        </w:tc>
      </w:tr>
      <w:tr w:rsidR="00530E16" w14:paraId="22AC557C" w14:textId="77777777" w:rsidTr="00530E16">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4D487DC1" w14:textId="77777777" w:rsidR="00530E16" w:rsidRDefault="00625B83">
            <w:pPr>
              <w:rPr>
                <w:rFonts w:ascii="Calibri" w:eastAsia="Times New Roman" w:hAnsi="Calibri"/>
                <w:color w:val="000000"/>
                <w:sz w:val="22"/>
              </w:rPr>
            </w:pPr>
            <w:r>
              <w:rPr>
                <w:rFonts w:ascii="Calibri" w:eastAsia="Times New Roman" w:hAnsi="Calibri"/>
                <w:color w:val="000000"/>
                <w:sz w:val="22"/>
              </w:rPr>
              <w:t>PEEP</w:t>
            </w:r>
          </w:p>
        </w:tc>
        <w:tc>
          <w:tcPr>
            <w:tcW w:w="2751" w:type="dxa"/>
            <w:shd w:val="clear" w:color="auto" w:fill="auto"/>
          </w:tcPr>
          <w:p w14:paraId="710D3684" w14:textId="77777777" w:rsidR="00530E16" w:rsidRDefault="00625B83">
            <w:pPr>
              <w:pStyle w:val="HTMLPreformatte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0.07(-0.07, 0.21)</w:t>
            </w:r>
          </w:p>
        </w:tc>
        <w:tc>
          <w:tcPr>
            <w:tcW w:w="2637" w:type="dxa"/>
            <w:shd w:val="clear" w:color="auto" w:fill="auto"/>
          </w:tcPr>
          <w:p w14:paraId="22F16B41"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0.314</w:t>
            </w:r>
          </w:p>
        </w:tc>
      </w:tr>
      <w:tr w:rsidR="00530E16" w14:paraId="56D7850B" w14:textId="77777777" w:rsidTr="00530E1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834" w:type="dxa"/>
          </w:tcPr>
          <w:p w14:paraId="48584AB7" w14:textId="77777777" w:rsidR="00530E16" w:rsidRDefault="00625B83">
            <w:pPr>
              <w:rPr>
                <w:rFonts w:ascii="Calibri" w:eastAsia="Times New Roman" w:hAnsi="Calibri"/>
                <w:color w:val="000000"/>
                <w:sz w:val="22"/>
              </w:rPr>
            </w:pPr>
            <w:r>
              <w:rPr>
                <w:rFonts w:ascii="Calibri" w:eastAsia="Times New Roman" w:hAnsi="Calibri"/>
                <w:color w:val="000000"/>
                <w:sz w:val="22"/>
              </w:rPr>
              <w:t>Heart rate</w:t>
            </w:r>
          </w:p>
        </w:tc>
        <w:tc>
          <w:tcPr>
            <w:tcW w:w="2751" w:type="dxa"/>
          </w:tcPr>
          <w:p w14:paraId="7E37320F"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0.10(0.06, 0.13)</w:t>
            </w:r>
          </w:p>
        </w:tc>
        <w:tc>
          <w:tcPr>
            <w:tcW w:w="2637" w:type="dxa"/>
          </w:tcPr>
          <w:p w14:paraId="268852A7"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&lt;0.001</w:t>
            </w:r>
          </w:p>
        </w:tc>
      </w:tr>
    </w:tbl>
    <w:p w14:paraId="2517CF90" w14:textId="77777777" w:rsidR="00530E16" w:rsidRDefault="00530E16"/>
    <w:p w14:paraId="1D82959D" w14:textId="77777777" w:rsidR="00530E16" w:rsidRDefault="00625B83">
      <w:pPr>
        <w:jc w:val="center"/>
        <w:rPr>
          <w:rFonts w:ascii="Calibri" w:eastAsia="Times New Roman" w:hAnsi="Calibri"/>
          <w:b/>
          <w:bCs/>
          <w:color w:val="000000"/>
          <w:sz w:val="21"/>
        </w:rPr>
      </w:pPr>
      <w:r>
        <w:rPr>
          <w:rFonts w:ascii="Calibri" w:eastAsia="Times New Roman" w:hAnsi="Calibri"/>
          <w:b/>
          <w:bCs/>
          <w:color w:val="000000"/>
          <w:sz w:val="21"/>
        </w:rPr>
        <w:t>T</w:t>
      </w:r>
      <w:r>
        <w:rPr>
          <w:b/>
          <w:sz w:val="22"/>
        </w:rPr>
        <w:t>able 4. Multivariable linear regression model of CVP in moderate hypoxemia patients, adjusted for PEEP and heartrate</w:t>
      </w:r>
    </w:p>
    <w:tbl>
      <w:tblPr>
        <w:tblStyle w:val="PlainTable1"/>
        <w:tblW w:w="8222" w:type="dxa"/>
        <w:tblInd w:w="421" w:type="dxa"/>
        <w:tblLook w:val="04A0" w:firstRow="1" w:lastRow="0" w:firstColumn="1" w:lastColumn="0" w:noHBand="0" w:noVBand="1"/>
      </w:tblPr>
      <w:tblGrid>
        <w:gridCol w:w="2834"/>
        <w:gridCol w:w="2751"/>
        <w:gridCol w:w="2637"/>
      </w:tblGrid>
      <w:tr w:rsidR="00530E16" w14:paraId="2A6F01B7" w14:textId="77777777" w:rsidTr="00530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35B27AC2" w14:textId="77777777" w:rsidR="00530E16" w:rsidRDefault="00530E16">
            <w:pPr>
              <w:rPr>
                <w:rFonts w:ascii="Calibri" w:eastAsia="Times New Roman" w:hAnsi="Calibri"/>
                <w:color w:val="000000"/>
                <w:sz w:val="22"/>
              </w:rPr>
            </w:pPr>
          </w:p>
        </w:tc>
        <w:tc>
          <w:tcPr>
            <w:tcW w:w="2751" w:type="dxa"/>
            <w:shd w:val="clear" w:color="auto" w:fill="auto"/>
          </w:tcPr>
          <w:p w14:paraId="1B1C2C56"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proofErr w:type="spellStart"/>
            <w:proofErr w:type="gramStart"/>
            <w:r>
              <w:rPr>
                <w:rFonts w:ascii="Calibri" w:eastAsia="Times New Roman" w:hAnsi="Calibri"/>
                <w:color w:val="000000"/>
                <w:sz w:val="22"/>
              </w:rPr>
              <w:t>Coef</w:t>
            </w:r>
            <w:proofErr w:type="spellEnd"/>
            <w:r>
              <w:rPr>
                <w:rFonts w:ascii="Calibri" w:eastAsia="Times New Roman" w:hAnsi="Calibri"/>
                <w:color w:val="000000"/>
                <w:sz w:val="22"/>
              </w:rPr>
              <w:t>(</w:t>
            </w:r>
            <w:proofErr w:type="gramEnd"/>
            <w:r>
              <w:rPr>
                <w:rFonts w:ascii="Calibri" w:eastAsia="Times New Roman" w:hAnsi="Calibri"/>
                <w:color w:val="000000"/>
                <w:sz w:val="22"/>
              </w:rPr>
              <w:t>95% CI)</w:t>
            </w:r>
          </w:p>
        </w:tc>
        <w:tc>
          <w:tcPr>
            <w:tcW w:w="2637" w:type="dxa"/>
            <w:shd w:val="clear" w:color="auto" w:fill="auto"/>
          </w:tcPr>
          <w:p w14:paraId="22DD9A23"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P value</w:t>
            </w:r>
          </w:p>
        </w:tc>
      </w:tr>
      <w:tr w:rsidR="00530E16" w14:paraId="4CDAA908" w14:textId="77777777" w:rsidTr="00530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Pr>
          <w:p w14:paraId="7FA18A84" w14:textId="77777777" w:rsidR="00530E16" w:rsidRDefault="00625B83">
            <w:pPr>
              <w:rPr>
                <w:rFonts w:ascii="Calibri" w:eastAsia="Times New Roman" w:hAnsi="Calibri"/>
                <w:color w:val="000000"/>
                <w:sz w:val="22"/>
              </w:rPr>
            </w:pPr>
            <w:r>
              <w:rPr>
                <w:rFonts w:ascii="Calibri" w:eastAsia="Times New Roman" w:hAnsi="Calibri"/>
                <w:color w:val="000000"/>
                <w:sz w:val="22"/>
              </w:rPr>
              <w:t xml:space="preserve">CVP measured </w:t>
            </w:r>
            <w:proofErr w:type="gramStart"/>
            <w:r>
              <w:rPr>
                <w:rFonts w:ascii="Calibri" w:eastAsia="Times New Roman" w:hAnsi="Calibri"/>
                <w:color w:val="000000"/>
                <w:sz w:val="22"/>
              </w:rPr>
              <w:t>Pre or</w:t>
            </w:r>
            <w:proofErr w:type="gramEnd"/>
            <w:r>
              <w:rPr>
                <w:rFonts w:ascii="Calibri" w:eastAsia="Times New Roman" w:hAnsi="Calibri"/>
                <w:color w:val="000000"/>
                <w:sz w:val="22"/>
              </w:rPr>
              <w:t xml:space="preserve"> Post </w:t>
            </w:r>
          </w:p>
        </w:tc>
        <w:tc>
          <w:tcPr>
            <w:tcW w:w="2751" w:type="dxa"/>
          </w:tcPr>
          <w:p w14:paraId="734BDD44" w14:textId="77777777" w:rsidR="00530E16" w:rsidRDefault="00625B83">
            <w:pPr>
              <w:pStyle w:val="HTMLPreformatte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1.58 ( -0.</w:t>
            </w:r>
            <w:proofErr w:type="gramStart"/>
            <w:r>
              <w:rPr>
                <w:rFonts w:ascii="Calibri" w:eastAsia="Times New Roman" w:hAnsi="Calibri" w:cs="Times New Roman"/>
                <w:color w:val="000000"/>
                <w:sz w:val="22"/>
                <w:szCs w:val="24"/>
              </w:rPr>
              <w:t>01 ,</w:t>
            </w:r>
            <w:proofErr w:type="gramEnd"/>
            <w:r>
              <w:rPr>
                <w:rFonts w:ascii="Calibri" w:eastAsia="Times New Roman" w:hAnsi="Calibri" w:cs="Times New Roman"/>
                <w:color w:val="000000"/>
                <w:sz w:val="22"/>
                <w:szCs w:val="24"/>
              </w:rPr>
              <w:t xml:space="preserve"> 3.18 )</w:t>
            </w:r>
          </w:p>
        </w:tc>
        <w:tc>
          <w:tcPr>
            <w:tcW w:w="2637" w:type="dxa"/>
          </w:tcPr>
          <w:p w14:paraId="40746886"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0.05</w:t>
            </w:r>
          </w:p>
        </w:tc>
      </w:tr>
      <w:tr w:rsidR="00530E16" w14:paraId="405E45BB" w14:textId="77777777" w:rsidTr="00530E16">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7B937543" w14:textId="77777777" w:rsidR="00530E16" w:rsidRDefault="00625B83">
            <w:pPr>
              <w:rPr>
                <w:rFonts w:ascii="Calibri" w:eastAsia="Times New Roman" w:hAnsi="Calibri"/>
                <w:color w:val="000000"/>
                <w:sz w:val="22"/>
              </w:rPr>
            </w:pPr>
            <w:r>
              <w:rPr>
                <w:rFonts w:ascii="Calibri" w:eastAsia="Times New Roman" w:hAnsi="Calibri"/>
                <w:color w:val="000000"/>
                <w:sz w:val="22"/>
              </w:rPr>
              <w:t>PEEP</w:t>
            </w:r>
          </w:p>
        </w:tc>
        <w:tc>
          <w:tcPr>
            <w:tcW w:w="2751" w:type="dxa"/>
            <w:shd w:val="clear" w:color="auto" w:fill="auto"/>
          </w:tcPr>
          <w:p w14:paraId="630697FA" w14:textId="77777777" w:rsidR="00530E16" w:rsidRDefault="00625B83">
            <w:pPr>
              <w:pStyle w:val="HTMLPreformatte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 xml:space="preserve">0.42 </w:t>
            </w:r>
            <w:proofErr w:type="gramStart"/>
            <w:r>
              <w:rPr>
                <w:rFonts w:ascii="Calibri" w:eastAsia="Times New Roman" w:hAnsi="Calibri" w:cs="Times New Roman"/>
                <w:color w:val="000000"/>
                <w:sz w:val="22"/>
                <w:szCs w:val="24"/>
              </w:rPr>
              <w:t>( 0.18</w:t>
            </w:r>
            <w:proofErr w:type="gramEnd"/>
            <w:r>
              <w:rPr>
                <w:rFonts w:ascii="Calibri" w:eastAsia="Times New Roman" w:hAnsi="Calibri" w:cs="Times New Roman"/>
                <w:color w:val="000000"/>
                <w:sz w:val="22"/>
                <w:szCs w:val="24"/>
              </w:rPr>
              <w:t xml:space="preserve"> , 0.67 )</w:t>
            </w:r>
          </w:p>
        </w:tc>
        <w:tc>
          <w:tcPr>
            <w:tcW w:w="2637" w:type="dxa"/>
            <w:shd w:val="clear" w:color="auto" w:fill="auto"/>
          </w:tcPr>
          <w:p w14:paraId="0F014FC7"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0.001</w:t>
            </w:r>
          </w:p>
        </w:tc>
      </w:tr>
      <w:tr w:rsidR="00530E16" w14:paraId="03EF351D" w14:textId="77777777" w:rsidTr="00530E1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834" w:type="dxa"/>
          </w:tcPr>
          <w:p w14:paraId="7BA5F8DD" w14:textId="77777777" w:rsidR="00530E16" w:rsidRDefault="00625B83">
            <w:pPr>
              <w:rPr>
                <w:rFonts w:ascii="Calibri" w:eastAsia="Times New Roman" w:hAnsi="Calibri"/>
                <w:color w:val="000000"/>
                <w:sz w:val="22"/>
              </w:rPr>
            </w:pPr>
            <w:r>
              <w:rPr>
                <w:rFonts w:ascii="Calibri" w:eastAsia="Times New Roman" w:hAnsi="Calibri"/>
                <w:color w:val="000000"/>
                <w:sz w:val="22"/>
              </w:rPr>
              <w:t>Heart rate</w:t>
            </w:r>
          </w:p>
        </w:tc>
        <w:tc>
          <w:tcPr>
            <w:tcW w:w="2751" w:type="dxa"/>
          </w:tcPr>
          <w:p w14:paraId="29491FA3" w14:textId="77777777" w:rsidR="00530E16" w:rsidRDefault="00625B83">
            <w:pPr>
              <w:pStyle w:val="HTMLPreformatte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 xml:space="preserve">0.11 </w:t>
            </w:r>
            <w:proofErr w:type="gramStart"/>
            <w:r>
              <w:rPr>
                <w:rFonts w:ascii="Calibri" w:eastAsia="Times New Roman" w:hAnsi="Calibri" w:cs="Times New Roman"/>
                <w:color w:val="000000"/>
                <w:sz w:val="22"/>
                <w:szCs w:val="24"/>
              </w:rPr>
              <w:t>( 0.07</w:t>
            </w:r>
            <w:proofErr w:type="gramEnd"/>
            <w:r>
              <w:rPr>
                <w:rFonts w:ascii="Calibri" w:eastAsia="Times New Roman" w:hAnsi="Calibri" w:cs="Times New Roman"/>
                <w:color w:val="000000"/>
                <w:sz w:val="22"/>
                <w:szCs w:val="24"/>
              </w:rPr>
              <w:t xml:space="preserve"> , 0.16 )</w:t>
            </w:r>
          </w:p>
        </w:tc>
        <w:tc>
          <w:tcPr>
            <w:tcW w:w="2637" w:type="dxa"/>
          </w:tcPr>
          <w:p w14:paraId="754F72AC"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&lt; 0.001</w:t>
            </w:r>
          </w:p>
        </w:tc>
      </w:tr>
    </w:tbl>
    <w:p w14:paraId="0AD53A22" w14:textId="77777777" w:rsidR="00530E16" w:rsidRDefault="00530E16"/>
    <w:p w14:paraId="3123DE5A" w14:textId="77777777" w:rsidR="00530E16" w:rsidRDefault="00530E16"/>
    <w:p w14:paraId="4815FEC8" w14:textId="77777777" w:rsidR="00530E16" w:rsidRDefault="00625B83">
      <w:pPr>
        <w:jc w:val="center"/>
        <w:rPr>
          <w:rFonts w:ascii="Calibri" w:eastAsia="Times New Roman" w:hAnsi="Calibri"/>
          <w:b/>
          <w:bCs/>
          <w:color w:val="000000"/>
          <w:sz w:val="21"/>
        </w:rPr>
      </w:pPr>
      <w:r>
        <w:rPr>
          <w:rFonts w:ascii="Calibri" w:eastAsia="Times New Roman" w:hAnsi="Calibri"/>
          <w:b/>
          <w:bCs/>
          <w:color w:val="000000"/>
          <w:sz w:val="21"/>
        </w:rPr>
        <w:t>T</w:t>
      </w:r>
      <w:r>
        <w:rPr>
          <w:b/>
          <w:sz w:val="22"/>
        </w:rPr>
        <w:t>able 5. Multivariable linear regression model of DBP in moderate hypoxemia patients, adjusted for PEEP and heartrate</w:t>
      </w:r>
    </w:p>
    <w:tbl>
      <w:tblPr>
        <w:tblStyle w:val="PlainTable1"/>
        <w:tblW w:w="8222" w:type="dxa"/>
        <w:tblInd w:w="421" w:type="dxa"/>
        <w:tblLook w:val="04A0" w:firstRow="1" w:lastRow="0" w:firstColumn="1" w:lastColumn="0" w:noHBand="0" w:noVBand="1"/>
      </w:tblPr>
      <w:tblGrid>
        <w:gridCol w:w="2834"/>
        <w:gridCol w:w="2751"/>
        <w:gridCol w:w="2637"/>
      </w:tblGrid>
      <w:tr w:rsidR="00530E16" w14:paraId="475BD69D" w14:textId="77777777" w:rsidTr="00530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0EDC2191" w14:textId="77777777" w:rsidR="00530E16" w:rsidRDefault="00530E16">
            <w:pPr>
              <w:rPr>
                <w:rFonts w:ascii="Calibri" w:eastAsia="Times New Roman" w:hAnsi="Calibri"/>
                <w:color w:val="000000"/>
                <w:sz w:val="22"/>
              </w:rPr>
            </w:pPr>
          </w:p>
        </w:tc>
        <w:tc>
          <w:tcPr>
            <w:tcW w:w="2751" w:type="dxa"/>
            <w:shd w:val="clear" w:color="auto" w:fill="auto"/>
          </w:tcPr>
          <w:p w14:paraId="2E006229"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proofErr w:type="spellStart"/>
            <w:proofErr w:type="gramStart"/>
            <w:r>
              <w:rPr>
                <w:rFonts w:ascii="Calibri" w:eastAsia="Times New Roman" w:hAnsi="Calibri"/>
                <w:color w:val="000000"/>
                <w:sz w:val="22"/>
              </w:rPr>
              <w:t>Coef</w:t>
            </w:r>
            <w:proofErr w:type="spellEnd"/>
            <w:r>
              <w:rPr>
                <w:rFonts w:ascii="Calibri" w:eastAsia="Times New Roman" w:hAnsi="Calibri"/>
                <w:color w:val="000000"/>
                <w:sz w:val="22"/>
              </w:rPr>
              <w:t>(</w:t>
            </w:r>
            <w:proofErr w:type="gramEnd"/>
            <w:r>
              <w:rPr>
                <w:rFonts w:ascii="Calibri" w:eastAsia="Times New Roman" w:hAnsi="Calibri"/>
                <w:color w:val="000000"/>
                <w:sz w:val="22"/>
              </w:rPr>
              <w:t>95% CI)</w:t>
            </w:r>
          </w:p>
        </w:tc>
        <w:tc>
          <w:tcPr>
            <w:tcW w:w="2637" w:type="dxa"/>
            <w:shd w:val="clear" w:color="auto" w:fill="auto"/>
          </w:tcPr>
          <w:p w14:paraId="5FC2985B" w14:textId="77777777" w:rsidR="00530E16" w:rsidRDefault="00625B8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P value</w:t>
            </w:r>
          </w:p>
        </w:tc>
      </w:tr>
      <w:tr w:rsidR="00530E16" w14:paraId="0E761C86" w14:textId="77777777" w:rsidTr="00530E1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4" w:type="dxa"/>
          </w:tcPr>
          <w:p w14:paraId="29453308" w14:textId="77777777" w:rsidR="00530E16" w:rsidRDefault="00625B83">
            <w:pPr>
              <w:rPr>
                <w:rFonts w:ascii="Calibri" w:eastAsia="Times New Roman" w:hAnsi="Calibri"/>
                <w:color w:val="000000"/>
                <w:sz w:val="22"/>
              </w:rPr>
            </w:pPr>
            <w:r>
              <w:rPr>
                <w:rFonts w:ascii="Calibri" w:eastAsia="Times New Roman" w:hAnsi="Calibri"/>
                <w:color w:val="000000"/>
                <w:sz w:val="22"/>
              </w:rPr>
              <w:t xml:space="preserve">DBP measured </w:t>
            </w:r>
            <w:proofErr w:type="gramStart"/>
            <w:r>
              <w:rPr>
                <w:rFonts w:ascii="Calibri" w:eastAsia="Times New Roman" w:hAnsi="Calibri"/>
                <w:color w:val="000000"/>
                <w:sz w:val="22"/>
              </w:rPr>
              <w:t>Pre or</w:t>
            </w:r>
            <w:proofErr w:type="gramEnd"/>
            <w:r>
              <w:rPr>
                <w:rFonts w:ascii="Calibri" w:eastAsia="Times New Roman" w:hAnsi="Calibri"/>
                <w:color w:val="000000"/>
                <w:sz w:val="22"/>
              </w:rPr>
              <w:t xml:space="preserve"> Post </w:t>
            </w:r>
          </w:p>
        </w:tc>
        <w:tc>
          <w:tcPr>
            <w:tcW w:w="2751" w:type="dxa"/>
          </w:tcPr>
          <w:p w14:paraId="5EC38642" w14:textId="77777777" w:rsidR="00530E16" w:rsidRDefault="00625B83">
            <w:pPr>
              <w:pStyle w:val="HTMLPreformatte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-0.08 ( -0.</w:t>
            </w:r>
            <w:proofErr w:type="gramStart"/>
            <w:r>
              <w:rPr>
                <w:rFonts w:ascii="Calibri" w:eastAsia="Times New Roman" w:hAnsi="Calibri" w:cs="Times New Roman"/>
                <w:color w:val="000000"/>
                <w:sz w:val="22"/>
                <w:szCs w:val="24"/>
              </w:rPr>
              <w:t>84 ,</w:t>
            </w:r>
            <w:proofErr w:type="gramEnd"/>
            <w:r>
              <w:rPr>
                <w:rFonts w:ascii="Calibri" w:eastAsia="Times New Roman" w:hAnsi="Calibri" w:cs="Times New Roman"/>
                <w:color w:val="000000"/>
                <w:sz w:val="22"/>
                <w:szCs w:val="24"/>
              </w:rPr>
              <w:t xml:space="preserve"> 0.69 )</w:t>
            </w:r>
          </w:p>
        </w:tc>
        <w:tc>
          <w:tcPr>
            <w:tcW w:w="2637" w:type="dxa"/>
          </w:tcPr>
          <w:p w14:paraId="0E026F57"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0.844</w:t>
            </w:r>
          </w:p>
        </w:tc>
      </w:tr>
      <w:tr w:rsidR="00530E16" w14:paraId="409B8A19" w14:textId="77777777" w:rsidTr="00530E16">
        <w:tc>
          <w:tcPr>
            <w:cnfStyle w:val="001000000000" w:firstRow="0" w:lastRow="0" w:firstColumn="1" w:lastColumn="0" w:oddVBand="0" w:evenVBand="0" w:oddHBand="0" w:evenHBand="0" w:firstRowFirstColumn="0" w:firstRowLastColumn="0" w:lastRowFirstColumn="0" w:lastRowLastColumn="0"/>
            <w:tcW w:w="2834" w:type="dxa"/>
            <w:shd w:val="clear" w:color="auto" w:fill="auto"/>
          </w:tcPr>
          <w:p w14:paraId="6430F1D5" w14:textId="77777777" w:rsidR="00530E16" w:rsidRDefault="00625B83">
            <w:pPr>
              <w:rPr>
                <w:rFonts w:ascii="Calibri" w:eastAsia="Times New Roman" w:hAnsi="Calibri"/>
                <w:color w:val="000000"/>
                <w:sz w:val="22"/>
              </w:rPr>
            </w:pPr>
            <w:r>
              <w:rPr>
                <w:rFonts w:ascii="Calibri" w:eastAsia="Times New Roman" w:hAnsi="Calibri"/>
                <w:color w:val="000000"/>
                <w:sz w:val="22"/>
              </w:rPr>
              <w:t>PEEP</w:t>
            </w:r>
          </w:p>
        </w:tc>
        <w:tc>
          <w:tcPr>
            <w:tcW w:w="2751" w:type="dxa"/>
            <w:shd w:val="clear" w:color="auto" w:fill="auto"/>
          </w:tcPr>
          <w:p w14:paraId="44BA5836" w14:textId="77777777" w:rsidR="00530E16" w:rsidRDefault="00625B83">
            <w:pPr>
              <w:pStyle w:val="HTMLPreformatted"/>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 xml:space="preserve">0.12 </w:t>
            </w:r>
            <w:proofErr w:type="gramStart"/>
            <w:r>
              <w:rPr>
                <w:rFonts w:ascii="Calibri" w:eastAsia="Times New Roman" w:hAnsi="Calibri" w:cs="Times New Roman"/>
                <w:color w:val="000000"/>
                <w:sz w:val="22"/>
                <w:szCs w:val="24"/>
              </w:rPr>
              <w:t>( 0</w:t>
            </w:r>
            <w:proofErr w:type="gramEnd"/>
            <w:r>
              <w:rPr>
                <w:rFonts w:ascii="Calibri" w:eastAsia="Times New Roman" w:hAnsi="Calibri" w:cs="Times New Roman"/>
                <w:color w:val="000000"/>
                <w:sz w:val="22"/>
                <w:szCs w:val="24"/>
              </w:rPr>
              <w:t xml:space="preserve"> , 0.24 )</w:t>
            </w:r>
          </w:p>
        </w:tc>
        <w:tc>
          <w:tcPr>
            <w:tcW w:w="2637" w:type="dxa"/>
            <w:shd w:val="clear" w:color="auto" w:fill="auto"/>
          </w:tcPr>
          <w:p w14:paraId="3BD6F5AC" w14:textId="77777777" w:rsidR="00530E16" w:rsidRDefault="00625B8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0.041</w:t>
            </w:r>
          </w:p>
        </w:tc>
      </w:tr>
      <w:tr w:rsidR="00530E16" w14:paraId="12669C13" w14:textId="77777777" w:rsidTr="00530E1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834" w:type="dxa"/>
          </w:tcPr>
          <w:p w14:paraId="2A0DA6EB" w14:textId="77777777" w:rsidR="00530E16" w:rsidRDefault="00625B83">
            <w:pPr>
              <w:rPr>
                <w:rFonts w:ascii="Calibri" w:eastAsia="Times New Roman" w:hAnsi="Calibri"/>
                <w:color w:val="000000"/>
                <w:sz w:val="22"/>
              </w:rPr>
            </w:pPr>
            <w:r>
              <w:rPr>
                <w:rFonts w:ascii="Calibri" w:eastAsia="Times New Roman" w:hAnsi="Calibri"/>
                <w:color w:val="000000"/>
                <w:sz w:val="22"/>
              </w:rPr>
              <w:t>Heart rate</w:t>
            </w:r>
          </w:p>
        </w:tc>
        <w:tc>
          <w:tcPr>
            <w:tcW w:w="2751" w:type="dxa"/>
          </w:tcPr>
          <w:p w14:paraId="68C943EF" w14:textId="77777777" w:rsidR="00530E16" w:rsidRDefault="00625B83">
            <w:pPr>
              <w:pStyle w:val="HTMLPreformatted"/>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rPr>
            </w:pPr>
            <w:r>
              <w:rPr>
                <w:rFonts w:ascii="Calibri" w:eastAsia="Times New Roman" w:hAnsi="Calibri" w:cs="Times New Roman"/>
                <w:color w:val="000000"/>
                <w:sz w:val="22"/>
                <w:szCs w:val="24"/>
              </w:rPr>
              <w:t xml:space="preserve">0.09 </w:t>
            </w:r>
            <w:proofErr w:type="gramStart"/>
            <w:r>
              <w:rPr>
                <w:rFonts w:ascii="Calibri" w:eastAsia="Times New Roman" w:hAnsi="Calibri" w:cs="Times New Roman"/>
                <w:color w:val="000000"/>
                <w:sz w:val="22"/>
                <w:szCs w:val="24"/>
              </w:rPr>
              <w:t>( 0.07</w:t>
            </w:r>
            <w:proofErr w:type="gramEnd"/>
            <w:r>
              <w:rPr>
                <w:rFonts w:ascii="Calibri" w:eastAsia="Times New Roman" w:hAnsi="Calibri" w:cs="Times New Roman"/>
                <w:color w:val="000000"/>
                <w:sz w:val="22"/>
                <w:szCs w:val="24"/>
              </w:rPr>
              <w:t xml:space="preserve"> , 0.11 )</w:t>
            </w:r>
          </w:p>
        </w:tc>
        <w:tc>
          <w:tcPr>
            <w:tcW w:w="2637" w:type="dxa"/>
          </w:tcPr>
          <w:p w14:paraId="0C401B5E" w14:textId="77777777" w:rsidR="00530E16" w:rsidRDefault="00625B8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&lt;0.001</w:t>
            </w:r>
          </w:p>
        </w:tc>
      </w:tr>
    </w:tbl>
    <w:p w14:paraId="057E3DDA" w14:textId="77777777" w:rsidR="00530E16" w:rsidRDefault="00530E16"/>
    <w:p w14:paraId="57178978" w14:textId="77777777" w:rsidR="00530E16" w:rsidRDefault="00625B83">
      <w:pPr>
        <w:tabs>
          <w:tab w:val="left" w:pos="3026"/>
        </w:tabs>
      </w:pPr>
      <w:r>
        <w:tab/>
      </w:r>
    </w:p>
    <w:p w14:paraId="3D01A00E" w14:textId="77777777" w:rsidR="00530E16" w:rsidRDefault="00530E16">
      <w:pPr>
        <w:tabs>
          <w:tab w:val="left" w:pos="3026"/>
        </w:tabs>
      </w:pPr>
    </w:p>
    <w:p w14:paraId="0265FC4D" w14:textId="77777777" w:rsidR="00530E16" w:rsidRDefault="00625B83">
      <w:pPr>
        <w:pStyle w:val="ListParagraph"/>
        <w:numPr>
          <w:ilvl w:val="0"/>
          <w:numId w:val="1"/>
        </w:numPr>
      </w:pPr>
      <w:r>
        <w:t xml:space="preserve">MIMIC-III, a freely accessible critical care database. Johnson AEW, Pollard TJ, Shen L, Lehman L, Feng M, </w:t>
      </w:r>
      <w:proofErr w:type="spellStart"/>
      <w:r>
        <w:t>Ghassemi</w:t>
      </w:r>
      <w:proofErr w:type="spellEnd"/>
      <w:r>
        <w:t xml:space="preserve"> M, Moody B, </w:t>
      </w:r>
      <w:proofErr w:type="spellStart"/>
      <w:r>
        <w:t>Szolovits</w:t>
      </w:r>
      <w:proofErr w:type="spellEnd"/>
      <w:r>
        <w:t xml:space="preserve"> P, </w:t>
      </w:r>
      <w:proofErr w:type="spellStart"/>
      <w:r>
        <w:t>Celi</w:t>
      </w:r>
      <w:proofErr w:type="spellEnd"/>
      <w:r>
        <w:t xml:space="preserve"> LA, and Mark RG. Scientific Data (2016). DOI: </w:t>
      </w:r>
      <w:hyperlink r:id="rId5">
        <w:r>
          <w:rPr>
            <w:rStyle w:val="ListLabel1"/>
          </w:rPr>
          <w:t>10.1038/sdata.2016.35</w:t>
        </w:r>
      </w:hyperlink>
      <w:r>
        <w:t>. Available at: </w:t>
      </w:r>
      <w:hyperlink r:id="rId6">
        <w:r>
          <w:rPr>
            <w:rStyle w:val="ListLabel1"/>
          </w:rPr>
          <w:t>http://www.nature.com/articles/sdata201635</w:t>
        </w:r>
      </w:hyperlink>
    </w:p>
    <w:p w14:paraId="1D8CC6D4" w14:textId="77777777" w:rsidR="00530E16" w:rsidRDefault="00625B83">
      <w:pPr>
        <w:pStyle w:val="ListParagraph"/>
        <w:numPr>
          <w:ilvl w:val="0"/>
          <w:numId w:val="1"/>
        </w:numPr>
      </w:pPr>
      <w:r>
        <w:t>Pollard, T. J. &amp; Johnson, A. E. W. The MIMIC-III Clinical Database </w:t>
      </w:r>
      <w:hyperlink r:id="rId7">
        <w:r>
          <w:rPr>
            <w:rStyle w:val="ListLabel1"/>
          </w:rPr>
          <w:t>http://dx.doi.org/10.13026/C2XW26</w:t>
        </w:r>
      </w:hyperlink>
      <w:r>
        <w:t> (2016)</w:t>
      </w:r>
    </w:p>
    <w:p w14:paraId="3CB476FA" w14:textId="77777777" w:rsidR="00530E16" w:rsidRDefault="00625B83">
      <w:pPr>
        <w:pStyle w:val="ListParagraph"/>
        <w:numPr>
          <w:ilvl w:val="0"/>
          <w:numId w:val="1"/>
        </w:numPr>
      </w:pPr>
      <w:r>
        <w:rPr>
          <w:rFonts w:ascii="Arial" w:eastAsia="Times New Roman" w:hAnsi="Arial" w:cs="Arial"/>
          <w:color w:val="000000"/>
          <w:sz w:val="20"/>
          <w:szCs w:val="20"/>
          <w:shd w:val="clear" w:color="auto" w:fill="FFFFFF"/>
          <w:lang w:eastAsia="zh-CN"/>
        </w:rPr>
        <w:t xml:space="preserve">Ferguson N D, Fan E, </w:t>
      </w:r>
      <w:proofErr w:type="spellStart"/>
      <w:r>
        <w:rPr>
          <w:rFonts w:ascii="Arial" w:eastAsia="Times New Roman" w:hAnsi="Arial" w:cs="Arial"/>
          <w:color w:val="000000"/>
          <w:sz w:val="20"/>
          <w:szCs w:val="20"/>
          <w:shd w:val="clear" w:color="auto" w:fill="FFFFFF"/>
          <w:lang w:eastAsia="zh-CN"/>
        </w:rPr>
        <w:t>Camporota</w:t>
      </w:r>
      <w:proofErr w:type="spellEnd"/>
      <w:r>
        <w:rPr>
          <w:rFonts w:ascii="Arial" w:eastAsia="Times New Roman" w:hAnsi="Arial" w:cs="Arial"/>
          <w:color w:val="000000"/>
          <w:sz w:val="20"/>
          <w:szCs w:val="20"/>
          <w:shd w:val="clear" w:color="auto" w:fill="FFFFFF"/>
          <w:lang w:eastAsia="zh-CN"/>
        </w:rPr>
        <w:t xml:space="preserve"> L, et al. The Berlin definition of ARDS[J]. Intensive Care Medicine, 2012, 38(10):1573.</w:t>
      </w:r>
    </w:p>
    <w:sectPr w:rsidR="00530E1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314ED"/>
    <w:multiLevelType w:val="hybridMultilevel"/>
    <w:tmpl w:val="17963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B72100"/>
    <w:multiLevelType w:val="multilevel"/>
    <w:tmpl w:val="756A02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16326EE"/>
    <w:multiLevelType w:val="multilevel"/>
    <w:tmpl w:val="8564F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16"/>
    <w:rsid w:val="00237925"/>
    <w:rsid w:val="00530E16"/>
    <w:rsid w:val="005670E8"/>
    <w:rsid w:val="00625B83"/>
    <w:rsid w:val="00CD6CF4"/>
    <w:rsid w:val="00E933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95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3C43"/>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36CCF"/>
    <w:rPr>
      <w:color w:val="808080"/>
    </w:rPr>
  </w:style>
  <w:style w:type="character" w:customStyle="1" w:styleId="HTMLPreformattedChar">
    <w:name w:val="HTML Preformatted Char"/>
    <w:basedOn w:val="DefaultParagraphFont"/>
    <w:link w:val="HTMLPreformatted"/>
    <w:uiPriority w:val="99"/>
    <w:qFormat/>
    <w:rsid w:val="00F044F2"/>
    <w:rPr>
      <w:rFonts w:ascii="Courier New" w:hAnsi="Courier New" w:cs="Courier New"/>
      <w:sz w:val="20"/>
      <w:szCs w:val="20"/>
      <w:lang w:eastAsia="zh-CN"/>
    </w:rPr>
  </w:style>
  <w:style w:type="character" w:customStyle="1" w:styleId="ListLabel1">
    <w:name w:val="ListLabel 1"/>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015EF"/>
    <w:pPr>
      <w:ind w:left="720"/>
      <w:contextualSpacing/>
    </w:pPr>
    <w:rPr>
      <w:rFonts w:asciiTheme="minorHAnsi" w:hAnsiTheme="minorHAnsi" w:cstheme="minorBidi"/>
      <w:lang w:eastAsia="en-US"/>
    </w:rPr>
  </w:style>
  <w:style w:type="paragraph" w:styleId="NormalWeb">
    <w:name w:val="Normal (Web)"/>
    <w:basedOn w:val="Normal"/>
    <w:uiPriority w:val="99"/>
    <w:unhideWhenUsed/>
    <w:qFormat/>
    <w:rsid w:val="00810882"/>
    <w:pPr>
      <w:spacing w:beforeAutospacing="1" w:afterAutospacing="1"/>
    </w:pPr>
  </w:style>
  <w:style w:type="paragraph" w:styleId="HTMLPreformatted">
    <w:name w:val="HTML Preformatted"/>
    <w:basedOn w:val="Normal"/>
    <w:link w:val="HTMLPreformattedChar"/>
    <w:uiPriority w:val="99"/>
    <w:unhideWhenUsed/>
    <w:qFormat/>
    <w:rsid w:val="00F0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PlainTable1">
    <w:name w:val="Plain Table 1"/>
    <w:basedOn w:val="TableNormal"/>
    <w:uiPriority w:val="41"/>
    <w:rsid w:val="00044EA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D673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7925"/>
    <w:rPr>
      <w:sz w:val="18"/>
      <w:szCs w:val="18"/>
    </w:rPr>
  </w:style>
  <w:style w:type="character" w:customStyle="1" w:styleId="BalloonTextChar">
    <w:name w:val="Balloon Text Char"/>
    <w:basedOn w:val="DefaultParagraphFont"/>
    <w:link w:val="BalloonText"/>
    <w:uiPriority w:val="99"/>
    <w:semiHidden/>
    <w:rsid w:val="00237925"/>
    <w:rPr>
      <w:rFonts w:ascii="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038/sdata.2016.35" TargetMode="External"/><Relationship Id="rId6" Type="http://schemas.openxmlformats.org/officeDocument/2006/relationships/hyperlink" Target="http://www.nature.com/articles/sdata201635" TargetMode="External"/><Relationship Id="rId7" Type="http://schemas.openxmlformats.org/officeDocument/2006/relationships/hyperlink" Target="http://dx.doi.org/10.13026/C2XW2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987</Words>
  <Characters>5629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38</cp:revision>
  <dcterms:created xsi:type="dcterms:W3CDTF">2018-01-24T06:48:00Z</dcterms:created>
  <dcterms:modified xsi:type="dcterms:W3CDTF">2018-03-05T15:54:00Z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