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B2489" w14:textId="77777777" w:rsidR="00255F35" w:rsidRDefault="00255F35">
      <w:pPr>
        <w:rPr>
          <w:b/>
        </w:rPr>
      </w:pPr>
      <w:r>
        <w:rPr>
          <w:b/>
        </w:rPr>
        <w:t>ABSTRACT</w:t>
      </w:r>
    </w:p>
    <w:p w14:paraId="73454AD2" w14:textId="77777777" w:rsidR="009E3012" w:rsidRPr="009668F1" w:rsidRDefault="009E3012">
      <w:pPr>
        <w:rPr>
          <w:b/>
        </w:rPr>
      </w:pPr>
      <w:r w:rsidRPr="009668F1">
        <w:rPr>
          <w:b/>
        </w:rPr>
        <w:t>METHODS:</w:t>
      </w:r>
    </w:p>
    <w:p w14:paraId="44545D30" w14:textId="0F5FC582" w:rsidR="009668F1" w:rsidRPr="009668F1" w:rsidRDefault="009E3012" w:rsidP="009668F1">
      <w:pPr>
        <w:rPr>
          <w:rFonts w:asciiTheme="minorHAnsi" w:hAnsiTheme="minorHAnsi" w:cstheme="minorBidi"/>
          <w:lang w:eastAsia="en-US"/>
        </w:rPr>
      </w:pPr>
      <w:r>
        <w:t xml:space="preserve">We </w:t>
      </w:r>
      <w:r>
        <w:rPr>
          <w:rFonts w:hint="eastAsia"/>
        </w:rPr>
        <w:t>r</w:t>
      </w:r>
      <w:r w:rsidRPr="009E3012">
        <w:t>etrospective</w:t>
      </w:r>
      <w:r>
        <w:t xml:space="preserve">ly studied </w:t>
      </w:r>
      <w:r w:rsidR="00F45AB4">
        <w:t xml:space="preserve">net fluid balance in 10387 </w:t>
      </w:r>
      <w:r>
        <w:t>patients</w:t>
      </w:r>
      <w:r w:rsidR="00EE6318">
        <w:t xml:space="preserve"> with sepsis</w:t>
      </w:r>
      <w:r>
        <w:t xml:space="preserve"> in </w:t>
      </w:r>
      <w:r w:rsidR="009668F1" w:rsidRPr="009668F1">
        <w:rPr>
          <w:rFonts w:asciiTheme="minorHAnsi" w:hAnsiTheme="minorHAnsi" w:cstheme="minorBidi"/>
          <w:lang w:eastAsia="en-US"/>
        </w:rPr>
        <w:t>MIMIC-III (Medical Information Mart for Intensive Care III)</w:t>
      </w:r>
      <w:r w:rsidR="009668F1">
        <w:t xml:space="preserve"> database.</w:t>
      </w:r>
      <w:r w:rsidR="00EE6318">
        <w:t xml:space="preserve"> </w:t>
      </w:r>
      <w:r w:rsidR="00255F35">
        <w:t>Based on 24 hours fluid balance, w</w:t>
      </w:r>
      <w:r w:rsidR="00F45AB4">
        <w:t xml:space="preserve">e examined the result of increase in fluid balance on the risk of </w:t>
      </w:r>
      <w:r w:rsidR="003777F4">
        <w:t xml:space="preserve">28-day mortality, </w:t>
      </w:r>
      <w:r w:rsidR="00F45AB4">
        <w:t>hospital morta</w:t>
      </w:r>
      <w:r w:rsidR="00054E23">
        <w:t>lity,</w:t>
      </w:r>
      <w:r w:rsidR="003777F4">
        <w:t xml:space="preserve"> ICU mortality</w:t>
      </w:r>
      <w:r w:rsidR="00054E23">
        <w:t xml:space="preserve"> and length of ICU stay</w:t>
      </w:r>
      <w:r w:rsidR="00F45AB4">
        <w:t>. Patients were divided into 4 groups based on quartile of fluid balance.</w:t>
      </w:r>
    </w:p>
    <w:p w14:paraId="7387E0DD" w14:textId="77777777" w:rsidR="009E3012" w:rsidRDefault="009E3012"/>
    <w:p w14:paraId="3ECA63BD" w14:textId="77777777" w:rsidR="00255F35" w:rsidRPr="00F15726" w:rsidRDefault="00255F35">
      <w:pPr>
        <w:rPr>
          <w:b/>
        </w:rPr>
      </w:pPr>
      <w:r w:rsidRPr="00F15726">
        <w:rPr>
          <w:b/>
        </w:rPr>
        <w:t>CONTENT</w:t>
      </w:r>
    </w:p>
    <w:p w14:paraId="75612166" w14:textId="77777777" w:rsidR="00E713D5" w:rsidRDefault="00255F35">
      <w:pPr>
        <w:rPr>
          <w:b/>
        </w:rPr>
      </w:pPr>
      <w:r w:rsidRPr="00F15726">
        <w:rPr>
          <w:b/>
        </w:rPr>
        <w:t>METHODS:</w:t>
      </w:r>
    </w:p>
    <w:p w14:paraId="44117B82" w14:textId="77777777" w:rsidR="003777F4" w:rsidRPr="00F15726" w:rsidRDefault="003777F4">
      <w:pPr>
        <w:rPr>
          <w:b/>
        </w:rPr>
      </w:pPr>
    </w:p>
    <w:p w14:paraId="2A4B3ACB" w14:textId="518E9C44" w:rsidR="00C13B59" w:rsidRPr="00955E3A" w:rsidRDefault="001223BA">
      <w:pPr>
        <w:rPr>
          <w:i/>
        </w:rPr>
      </w:pPr>
      <w:r w:rsidRPr="00955E3A">
        <w:rPr>
          <w:i/>
        </w:rPr>
        <w:t>Study population</w:t>
      </w:r>
    </w:p>
    <w:p w14:paraId="7208B0A3" w14:textId="1E352144" w:rsidR="002F768B" w:rsidRDefault="00F55216">
      <w:r>
        <w:t xml:space="preserve">We used the </w:t>
      </w:r>
      <w:r w:rsidRPr="009668F1">
        <w:rPr>
          <w:rFonts w:asciiTheme="minorHAnsi" w:hAnsiTheme="minorHAnsi" w:cstheme="minorBidi"/>
          <w:lang w:eastAsia="en-US"/>
        </w:rPr>
        <w:t>Medical Information Mart for Intensive Care</w:t>
      </w:r>
      <w:r>
        <w:t xml:space="preserve"> III(MIMIC-III) research database</w:t>
      </w:r>
      <w:r w:rsidR="003747F7">
        <w:t>, a large, single-center database comprising information relating to patients admitted to Beth Israel Deaconess Medical Center(BIDMC)</w:t>
      </w:r>
      <w:r w:rsidR="00E0051F">
        <w:rPr>
          <w:rFonts w:hint="eastAsia"/>
        </w:rPr>
        <w:t xml:space="preserve"> </w:t>
      </w:r>
      <w:r w:rsidR="0036281D">
        <w:t>[1,2]</w:t>
      </w:r>
      <w:r w:rsidR="00E74956">
        <w:t>. The database contains data of high temporal resolution</w:t>
      </w:r>
      <w:r w:rsidR="003747F7">
        <w:t xml:space="preserve"> including vital signs, medications, laboratory measurements, observations and electronic documentations</w:t>
      </w:r>
      <w:r w:rsidR="00921813">
        <w:t xml:space="preserve"> for all patients admitted to </w:t>
      </w:r>
      <w:r w:rsidR="00B21C85">
        <w:t>BIDMC ICUs between 2001 and 2012</w:t>
      </w:r>
      <w:r w:rsidR="003747F7">
        <w:t xml:space="preserve">. </w:t>
      </w:r>
      <w:r w:rsidR="00F55FC7">
        <w:t>Use of the MIMIC-III database has been approved by the institutional review boards of BIDMC and the MIT.</w:t>
      </w:r>
    </w:p>
    <w:p w14:paraId="0A2BD11D" w14:textId="1340C725" w:rsidR="00E74956" w:rsidRDefault="00F55FC7">
      <w:r>
        <w:t>Of</w:t>
      </w:r>
      <w:r w:rsidR="00844467">
        <w:t xml:space="preserve"> all</w:t>
      </w:r>
      <w:r>
        <w:t xml:space="preserve"> 46520 patients in MIMIC, </w:t>
      </w:r>
      <w:r w:rsidR="00844467">
        <w:t xml:space="preserve">12636 were </w:t>
      </w:r>
      <w:r w:rsidR="00E8342F">
        <w:t xml:space="preserve">identified sepsis according to </w:t>
      </w:r>
      <w:r w:rsidR="00E8342F" w:rsidRPr="00E8342F">
        <w:t>Angus criteria</w:t>
      </w:r>
      <w:r w:rsidR="00E0051F">
        <w:rPr>
          <w:rFonts w:hint="eastAsia"/>
        </w:rPr>
        <w:t xml:space="preserve"> </w:t>
      </w:r>
      <w:r w:rsidR="00E8342F">
        <w:t>[3].</w:t>
      </w:r>
      <w:r w:rsidR="00B30790">
        <w:t xml:space="preserve"> We excluded</w:t>
      </w:r>
      <w:r w:rsidR="00FA529E">
        <w:t xml:space="preserve"> 188 patients under 16 years old, 1836 who </w:t>
      </w:r>
      <w:r w:rsidR="00E0051F">
        <w:t>ha</w:t>
      </w:r>
      <w:r w:rsidR="00E0051F">
        <w:rPr>
          <w:rFonts w:hint="eastAsia"/>
        </w:rPr>
        <w:t>d</w:t>
      </w:r>
      <w:r w:rsidR="000437D8">
        <w:t xml:space="preserve"> readmission records, 21 for whom stayed in ICU less than 3 hours and 204 individuals for whom documentation of fluid balance was not available, leaving 10387 unique first admissions.</w:t>
      </w:r>
    </w:p>
    <w:p w14:paraId="24515835" w14:textId="77777777" w:rsidR="0036281D" w:rsidRDefault="0036281D"/>
    <w:p w14:paraId="513AA311" w14:textId="76981C17" w:rsidR="001223BA" w:rsidRPr="007062F1" w:rsidRDefault="00F15726">
      <w:pPr>
        <w:rPr>
          <w:i/>
        </w:rPr>
      </w:pPr>
      <w:r w:rsidRPr="007062F1">
        <w:rPr>
          <w:i/>
        </w:rPr>
        <w:t>Exposure</w:t>
      </w:r>
    </w:p>
    <w:p w14:paraId="2A1C4CE0" w14:textId="26F4BD1A" w:rsidR="00955E3A" w:rsidRDefault="00DC7053">
      <w:r>
        <w:t>The prima</w:t>
      </w:r>
      <w:r w:rsidR="007062F1">
        <w:t xml:space="preserve">ry exposure was fluid balance in the first 24 hours </w:t>
      </w:r>
      <w:r w:rsidR="00E0051F">
        <w:rPr>
          <w:rFonts w:hint="eastAsia"/>
        </w:rPr>
        <w:t xml:space="preserve">after </w:t>
      </w:r>
      <w:r w:rsidR="007062F1">
        <w:t>ICU</w:t>
      </w:r>
      <w:r w:rsidR="00E0051F">
        <w:t xml:space="preserve"> admission</w:t>
      </w:r>
      <w:r w:rsidR="007062F1">
        <w:t>. It was computed by the bedside electronic record, variables include oral fluid, blood products, medications(input), urine output and other body fluids(output).</w:t>
      </w:r>
      <w:r w:rsidR="00C2774C">
        <w:t xml:space="preserve"> </w:t>
      </w:r>
      <w:r w:rsidR="00C2774C" w:rsidRPr="00626238">
        <w:t xml:space="preserve">Total fluid balance was </w:t>
      </w:r>
      <w:proofErr w:type="spellStart"/>
      <w:r w:rsidR="00C2774C" w:rsidRPr="00626238">
        <w:t>winsorized</w:t>
      </w:r>
      <w:proofErr w:type="spellEnd"/>
      <w:r w:rsidR="00C2774C" w:rsidRPr="00626238">
        <w:t xml:space="preserve"> at the 0.5 and 99.5 percentile to limit the effect of outliers.</w:t>
      </w:r>
    </w:p>
    <w:p w14:paraId="6DC4BC45" w14:textId="77777777" w:rsidR="00DB5862" w:rsidRDefault="00DB5862"/>
    <w:p w14:paraId="026BA4A6" w14:textId="2BFA010B" w:rsidR="00F15726" w:rsidRPr="003777F4" w:rsidRDefault="00F15726">
      <w:pPr>
        <w:rPr>
          <w:i/>
        </w:rPr>
      </w:pPr>
      <w:r w:rsidRPr="003777F4">
        <w:rPr>
          <w:i/>
        </w:rPr>
        <w:t>Outcome</w:t>
      </w:r>
    </w:p>
    <w:p w14:paraId="2F778885" w14:textId="02E47C78" w:rsidR="00DB5862" w:rsidRDefault="003777F4">
      <w:r>
        <w:t xml:space="preserve">The primary outcome was 28-day mortality </w:t>
      </w:r>
      <w:r w:rsidR="00E0051F">
        <w:t>after admission. S</w:t>
      </w:r>
      <w:r>
        <w:t>econdary outcome</w:t>
      </w:r>
      <w:r w:rsidR="00E0051F">
        <w:t xml:space="preserve">s were </w:t>
      </w:r>
      <w:r>
        <w:t>hospital</w:t>
      </w:r>
      <w:r w:rsidR="00054E23">
        <w:t xml:space="preserve"> mortality,</w:t>
      </w:r>
      <w:r>
        <w:t xml:space="preserve"> ICU mortality</w:t>
      </w:r>
      <w:r w:rsidR="00054E23">
        <w:t xml:space="preserve"> and length of ICU stay</w:t>
      </w:r>
      <w:r w:rsidR="00E0051F">
        <w:t xml:space="preserve"> </w:t>
      </w:r>
      <w:r w:rsidR="00054E23">
        <w:t>(LOS ICU)</w:t>
      </w:r>
      <w:r>
        <w:t>. Death were identified from the Social Security Death Index.</w:t>
      </w:r>
    </w:p>
    <w:p w14:paraId="2F35F083" w14:textId="77777777" w:rsidR="003777F4" w:rsidRDefault="003777F4"/>
    <w:p w14:paraId="447A8981" w14:textId="6A4269BD" w:rsidR="00F15726" w:rsidRPr="00DE7173" w:rsidRDefault="00F15726">
      <w:pPr>
        <w:rPr>
          <w:i/>
        </w:rPr>
      </w:pPr>
      <w:r w:rsidRPr="00DE7173">
        <w:rPr>
          <w:i/>
        </w:rPr>
        <w:t>Covariates</w:t>
      </w:r>
    </w:p>
    <w:p w14:paraId="17BD2E0F" w14:textId="634012DF" w:rsidR="00DB5862" w:rsidRDefault="005D5A16">
      <w:r>
        <w:t xml:space="preserve">Baseline characteristics including </w:t>
      </w:r>
      <w:r w:rsidR="00E0051F">
        <w:t>age, sex, weight</w:t>
      </w:r>
      <w:r>
        <w:t xml:space="preserve">, </w:t>
      </w:r>
      <w:r w:rsidR="00E0051F">
        <w:t>l</w:t>
      </w:r>
      <w:r w:rsidR="00FA22D1">
        <w:t xml:space="preserve">ength of ICU stay and length of hospital stay. Mechanical ventilation </w:t>
      </w:r>
      <w:r w:rsidR="00FA22D1">
        <w:rPr>
          <w:rFonts w:hint="eastAsia"/>
        </w:rPr>
        <w:t xml:space="preserve">duration </w:t>
      </w:r>
      <w:r>
        <w:t>was</w:t>
      </w:r>
      <w:r w:rsidR="00DE79A9">
        <w:t xml:space="preserve"> calculated in first 24 </w:t>
      </w:r>
      <w:r w:rsidR="003B15DB">
        <w:t xml:space="preserve">hours. </w:t>
      </w:r>
      <w:r w:rsidR="00CD3292">
        <w:t xml:space="preserve">Medical comorbidities were determined using </w:t>
      </w:r>
      <w:proofErr w:type="spellStart"/>
      <w:r w:rsidR="00CD3292">
        <w:t>Elixhauser</w:t>
      </w:r>
      <w:proofErr w:type="spellEnd"/>
      <w:r w:rsidR="00CD3292">
        <w:t xml:space="preserve"> codes at discharge</w:t>
      </w:r>
      <w:r>
        <w:t xml:space="preserve"> </w:t>
      </w:r>
      <w:r w:rsidR="00FB095F">
        <w:t>[</w:t>
      </w:r>
      <w:r w:rsidR="004452A7">
        <w:t>4</w:t>
      </w:r>
      <w:r w:rsidR="00FB095F">
        <w:t>].</w:t>
      </w:r>
      <w:r w:rsidR="00DE79A9">
        <w:t xml:space="preserve"> We also noted </w:t>
      </w:r>
      <w:r w:rsidR="004E44EF">
        <w:t xml:space="preserve">predictors of illness severity including </w:t>
      </w:r>
      <w:r>
        <w:t xml:space="preserve">Sepsis-related organ failure </w:t>
      </w:r>
      <w:r w:rsidR="0048794E" w:rsidRPr="00A57BC2">
        <w:t>assessment score</w:t>
      </w:r>
      <w:r>
        <w:t xml:space="preserve"> </w:t>
      </w:r>
      <w:r w:rsidR="0048794E">
        <w:t>(</w:t>
      </w:r>
      <w:r w:rsidR="004E44EF">
        <w:t>SOFA</w:t>
      </w:r>
      <w:r w:rsidR="0048794E">
        <w:t>)</w:t>
      </w:r>
      <w:r w:rsidR="004E44EF">
        <w:t xml:space="preserve">, </w:t>
      </w:r>
      <w:r w:rsidR="00A57BC2" w:rsidRPr="00A57BC2">
        <w:t>Oxford Acute Severity of Illness Score</w:t>
      </w:r>
      <w:r w:rsidR="00A57BC2">
        <w:t>(</w:t>
      </w:r>
      <w:r w:rsidR="004E44EF">
        <w:t>OASIS</w:t>
      </w:r>
      <w:r w:rsidR="00A57BC2">
        <w:t>)</w:t>
      </w:r>
      <w:r>
        <w:t xml:space="preserve"> </w:t>
      </w:r>
      <w:r w:rsidR="004452A7">
        <w:t>[5]</w:t>
      </w:r>
      <w:r w:rsidR="004E44EF">
        <w:t xml:space="preserve"> and </w:t>
      </w:r>
      <w:r w:rsidR="0048794E" w:rsidRPr="00A57BC2">
        <w:t>Glasgow Coma Scale</w:t>
      </w:r>
      <w:r>
        <w:t xml:space="preserve"> </w:t>
      </w:r>
      <w:r w:rsidR="0048794E">
        <w:t>(</w:t>
      </w:r>
      <w:r w:rsidR="004E44EF">
        <w:t>GCS</w:t>
      </w:r>
      <w:r w:rsidR="0048794E">
        <w:t>)</w:t>
      </w:r>
      <w:r w:rsidR="004E44EF">
        <w:t xml:space="preserve"> at admission.</w:t>
      </w:r>
      <w:r w:rsidR="006324F9">
        <w:t xml:space="preserve"> </w:t>
      </w:r>
      <w:r w:rsidR="00885672">
        <w:t>Values of hemoglobin, creatinine, white blood count(WBC), temperature, respiratory rate, heart rate and mean blood pressure(MBP)</w:t>
      </w:r>
      <w:r w:rsidR="00B05B45">
        <w:t xml:space="preserve"> at admission were also collected</w:t>
      </w:r>
      <w:r w:rsidR="00885672">
        <w:t>.</w:t>
      </w:r>
    </w:p>
    <w:p w14:paraId="70B43EA6" w14:textId="77777777" w:rsidR="00D450B5" w:rsidRDefault="00D450B5"/>
    <w:p w14:paraId="3106BB0B" w14:textId="10DF6236" w:rsidR="00F15726" w:rsidRPr="00185169" w:rsidRDefault="00F15726">
      <w:pPr>
        <w:rPr>
          <w:i/>
        </w:rPr>
      </w:pPr>
      <w:r w:rsidRPr="00185169">
        <w:rPr>
          <w:i/>
        </w:rPr>
        <w:t>Statistical analysis</w:t>
      </w:r>
    </w:p>
    <w:p w14:paraId="1CBB4572" w14:textId="7E28C442" w:rsidR="00115D68" w:rsidRPr="0098173C" w:rsidRDefault="0072543A" w:rsidP="00115D68">
      <w:pPr>
        <w:rPr>
          <w:rFonts w:eastAsia="Times New Roman"/>
        </w:rPr>
      </w:pPr>
      <w:r>
        <w:t xml:space="preserve">Baseline characteristics were stratified by quartiles of fluid balance. Data are given as mean with standard deviation or median and interquartile ranges for continuous variables and as numbers and percentages for categorical variables. </w:t>
      </w:r>
      <w:proofErr w:type="spellStart"/>
      <w:r w:rsidR="004C3723" w:rsidRPr="00463F3E">
        <w:t>Kruskal</w:t>
      </w:r>
      <w:proofErr w:type="spellEnd"/>
      <w:r w:rsidR="004C3723" w:rsidRPr="00463F3E">
        <w:t>-Wallis</w:t>
      </w:r>
      <w:r w:rsidR="00626238">
        <w:t xml:space="preserve"> </w:t>
      </w:r>
      <w:proofErr w:type="gramStart"/>
      <w:r w:rsidR="00626238">
        <w:t xml:space="preserve">test, </w:t>
      </w:r>
      <w:r w:rsidR="004C3723">
        <w:t xml:space="preserve"> </w:t>
      </w:r>
      <w:r w:rsidR="0098173C" w:rsidRPr="0098173C">
        <w:t>Homogeneity</w:t>
      </w:r>
      <w:proofErr w:type="gramEnd"/>
      <w:r w:rsidR="0098173C" w:rsidRPr="0098173C">
        <w:t xml:space="preserve"> of variance test</w:t>
      </w:r>
      <w:bookmarkStart w:id="0" w:name="_GoBack"/>
      <w:bookmarkEnd w:id="0"/>
      <w:r w:rsidR="0098173C" w:rsidRPr="0098173C">
        <w:rPr>
          <w:rFonts w:hint="eastAsia"/>
        </w:rPr>
        <w:t xml:space="preserve"> </w:t>
      </w:r>
      <w:r w:rsidR="004C3723">
        <w:rPr>
          <w:rFonts w:hint="eastAsia"/>
        </w:rPr>
        <w:t>and</w:t>
      </w:r>
      <w:r w:rsidR="004C3723">
        <w:t xml:space="preserve"> fisher</w:t>
      </w:r>
      <w:r w:rsidR="00D417F1">
        <w:t xml:space="preserve"> test</w:t>
      </w:r>
      <w:r w:rsidR="004C3723">
        <w:t>s were employed to determine the significance among non-normal continuous variables</w:t>
      </w:r>
      <w:r w:rsidR="0098173C">
        <w:t>, normal continuous variables</w:t>
      </w:r>
      <w:r w:rsidR="004C3723">
        <w:t xml:space="preserve"> and categorical variables respectively. </w:t>
      </w:r>
      <w:r w:rsidR="004C3723">
        <w:lastRenderedPageBreak/>
        <w:t xml:space="preserve">Significance was considered at the P &lt; </w:t>
      </w:r>
      <w:r w:rsidR="004C3723">
        <w:rPr>
          <w:rFonts w:hint="eastAsia"/>
        </w:rPr>
        <w:t>0</w:t>
      </w:r>
      <w:r w:rsidR="004C3723">
        <w:t>.05 level.</w:t>
      </w:r>
      <w:r w:rsidR="00D417F1">
        <w:t xml:space="preserve"> </w:t>
      </w:r>
      <w:r w:rsidR="00971D8C">
        <w:t xml:space="preserve">Continuous variables include </w:t>
      </w:r>
      <w:r w:rsidR="00D417F1">
        <w:t xml:space="preserve">Age, weight, length of stay, mechanical ventilation duration, SOFA, </w:t>
      </w:r>
      <w:r w:rsidR="00971D8C">
        <w:t xml:space="preserve">vital signs, </w:t>
      </w:r>
      <w:r w:rsidR="00D417F1">
        <w:t>laboratory values</w:t>
      </w:r>
      <w:r w:rsidR="00971D8C">
        <w:t xml:space="preserve"> and fluid balance. Comorbidities were considered binary variables.</w:t>
      </w:r>
      <w:r w:rsidR="00A852DB">
        <w:t xml:space="preserve"> </w:t>
      </w:r>
      <w:r w:rsidR="00115D68">
        <w:t>Multivariate logistic regression models were created to defined the association between fluid balance and mortality, and multivariate linear regression model</w:t>
      </w:r>
      <w:r w:rsidR="003B153E">
        <w:t>s</w:t>
      </w:r>
      <w:r w:rsidR="00115D68">
        <w:t xml:space="preserve"> were </w:t>
      </w:r>
      <w:r w:rsidR="00401FED">
        <w:rPr>
          <w:rFonts w:hint="eastAsia"/>
        </w:rPr>
        <w:t>em</w:t>
      </w:r>
      <w:r w:rsidR="00115D68">
        <w:t>ployed for defined association between fluid balance and LOS ICU.</w:t>
      </w:r>
    </w:p>
    <w:p w14:paraId="3B87B2CB" w14:textId="312E5D83" w:rsidR="00115D68" w:rsidRDefault="00115D68" w:rsidP="00115D68">
      <w:pPr>
        <w:tabs>
          <w:tab w:val="left" w:pos="2461"/>
        </w:tabs>
      </w:pPr>
    </w:p>
    <w:p w14:paraId="3011887E" w14:textId="519B02F1" w:rsidR="00115D68" w:rsidRDefault="00A852DB" w:rsidP="00115D68">
      <w:r>
        <w:t xml:space="preserve">Fluid balance was examined </w:t>
      </w:r>
      <w:r w:rsidR="00115D68">
        <w:t>in quartiles; the lowest quartile was used as reference for all analyses.</w:t>
      </w:r>
      <w:r w:rsidR="00115D68" w:rsidRPr="00115D68">
        <w:t xml:space="preserve"> </w:t>
      </w:r>
      <w:r w:rsidR="003B153E">
        <w:t>D</w:t>
      </w:r>
      <w:r w:rsidR="00115D68">
        <w:t xml:space="preserve">uring the initial investigation of the data, we found that SOFA and OASIS were highly correlated. We chose to use SOFA </w:t>
      </w:r>
      <w:r w:rsidR="00115D68">
        <w:rPr>
          <w:rFonts w:hint="eastAsia"/>
        </w:rPr>
        <w:t>alone</w:t>
      </w:r>
      <w:r w:rsidR="00115D68">
        <w:t xml:space="preserve"> as not to overweight the addition of other </w:t>
      </w:r>
      <w:proofErr w:type="spellStart"/>
      <w:r w:rsidR="00115D68">
        <w:t>covariables</w:t>
      </w:r>
      <w:proofErr w:type="spellEnd"/>
      <w:r w:rsidR="00115D68">
        <w:t xml:space="preserve"> in the model.</w:t>
      </w:r>
    </w:p>
    <w:p w14:paraId="5AC63CEF" w14:textId="77777777" w:rsidR="00115D68" w:rsidRDefault="00115D68" w:rsidP="00115D68"/>
    <w:p w14:paraId="5A79A05C" w14:textId="409EA7EF" w:rsidR="001F567E" w:rsidRPr="001F567E" w:rsidRDefault="00115D68">
      <w:r>
        <w:t>In subgroup analyses</w:t>
      </w:r>
      <w:r w:rsidR="00944EDB">
        <w:t xml:space="preserve">, </w:t>
      </w:r>
      <w:r w:rsidR="00401FED">
        <w:t xml:space="preserve">we examined </w:t>
      </w:r>
      <w:r w:rsidR="001F567E">
        <w:t xml:space="preserve">whether under serval conditions would </w:t>
      </w:r>
      <w:r w:rsidR="003B153E">
        <w:rPr>
          <w:rFonts w:hint="eastAsia"/>
        </w:rPr>
        <w:t>modified</w:t>
      </w:r>
      <w:r w:rsidR="001F567E">
        <w:rPr>
          <w:rFonts w:hint="eastAsia"/>
        </w:rPr>
        <w:t xml:space="preserve"> the</w:t>
      </w:r>
      <w:r w:rsidR="001F567E">
        <w:t xml:space="preserve"> effect of fluid balance on mortality: (</w:t>
      </w:r>
      <w:proofErr w:type="spellStart"/>
      <w:r w:rsidR="001F567E">
        <w:t>i</w:t>
      </w:r>
      <w:proofErr w:type="spellEnd"/>
      <w:r w:rsidR="001F567E">
        <w:t xml:space="preserve">) patients with pulmonary infections; (ii) patients with chronic kidney disease(CKD); (iii) those with congestive heart </w:t>
      </w:r>
      <w:r w:rsidR="001F567E" w:rsidRPr="001F567E">
        <w:t>failure</w:t>
      </w:r>
      <w:r w:rsidR="001F567E">
        <w:t>(CHF); (</w:t>
      </w:r>
      <w:proofErr w:type="spellStart"/>
      <w:r w:rsidR="001F567E">
        <w:t>iiii</w:t>
      </w:r>
      <w:proofErr w:type="spellEnd"/>
      <w:r w:rsidR="001F567E">
        <w:t>) patients with hypertension.</w:t>
      </w:r>
    </w:p>
    <w:p w14:paraId="5FAD6BCD" w14:textId="77777777" w:rsidR="00065980" w:rsidRDefault="00065980"/>
    <w:p w14:paraId="29B5D222" w14:textId="097313A5" w:rsidR="00185169" w:rsidRPr="00C2774C" w:rsidRDefault="00AB75ED">
      <w:r>
        <w:t xml:space="preserve">All </w:t>
      </w:r>
      <w:r w:rsidR="0072543A">
        <w:t>statistical analyses were performed using R 3.4.3.</w:t>
      </w:r>
    </w:p>
    <w:p w14:paraId="231B5796" w14:textId="77777777" w:rsidR="00255F35" w:rsidRDefault="00255F35"/>
    <w:p w14:paraId="6AFBE729" w14:textId="77777777" w:rsidR="00255F35" w:rsidRDefault="00255F35"/>
    <w:p w14:paraId="1440FAFE" w14:textId="4D350B9C" w:rsidR="00183E7A" w:rsidRPr="00921813" w:rsidRDefault="00E713D5" w:rsidP="00E713D5">
      <w:pPr>
        <w:pStyle w:val="ListParagraph"/>
        <w:numPr>
          <w:ilvl w:val="0"/>
          <w:numId w:val="2"/>
        </w:numPr>
      </w:pPr>
      <w:r w:rsidRPr="00921813">
        <w:t xml:space="preserve">MIMIC-III, a freely accessible critical care database. Johnson AEW, Pollard TJ, Shen L, Lehman L, Feng M, </w:t>
      </w:r>
      <w:proofErr w:type="spellStart"/>
      <w:r w:rsidRPr="00921813">
        <w:t>Ghassemi</w:t>
      </w:r>
      <w:proofErr w:type="spellEnd"/>
      <w:r w:rsidRPr="00921813">
        <w:t xml:space="preserve"> M, Moody B, </w:t>
      </w:r>
      <w:proofErr w:type="spellStart"/>
      <w:r w:rsidRPr="00921813">
        <w:t>Szolovits</w:t>
      </w:r>
      <w:proofErr w:type="spellEnd"/>
      <w:r w:rsidRPr="00921813">
        <w:t xml:space="preserve"> P, </w:t>
      </w:r>
      <w:proofErr w:type="spellStart"/>
      <w:r w:rsidRPr="00921813">
        <w:t>Celi</w:t>
      </w:r>
      <w:proofErr w:type="spellEnd"/>
      <w:r w:rsidRPr="00921813">
        <w:t xml:space="preserve"> LA, and Mark RG. Scientific Data (2016). DOI: </w:t>
      </w:r>
      <w:hyperlink r:id="rId5" w:history="1">
        <w:r w:rsidRPr="00921813">
          <w:t>10.1038/sdata.2016.35</w:t>
        </w:r>
      </w:hyperlink>
      <w:r w:rsidRPr="00921813">
        <w:t>. Available at: </w:t>
      </w:r>
      <w:hyperlink r:id="rId6" w:history="1">
        <w:r w:rsidRPr="00921813">
          <w:t>http://www.nature.com/articles/sdata201635</w:t>
        </w:r>
      </w:hyperlink>
    </w:p>
    <w:p w14:paraId="7F3FD93E" w14:textId="3F09F3B2" w:rsidR="00E8342F" w:rsidRDefault="00183E7A" w:rsidP="00E8342F">
      <w:pPr>
        <w:pStyle w:val="ListParagraph"/>
        <w:numPr>
          <w:ilvl w:val="0"/>
          <w:numId w:val="2"/>
        </w:numPr>
      </w:pPr>
      <w:r w:rsidRPr="00921813">
        <w:t>Pollard, T. J. &amp; Johnson, A. E. W. The MIMIC-III Clinical Database </w:t>
      </w:r>
      <w:hyperlink r:id="rId7" w:history="1">
        <w:r w:rsidRPr="00921813">
          <w:t>http://dx.doi.org/10.13026/C2XW26</w:t>
        </w:r>
      </w:hyperlink>
      <w:r w:rsidRPr="00921813">
        <w:t> (2016)</w:t>
      </w:r>
    </w:p>
    <w:p w14:paraId="6B451C40" w14:textId="77777777" w:rsidR="00C3427D" w:rsidRDefault="00C3427D" w:rsidP="00C3427D">
      <w:pPr>
        <w:pStyle w:val="NormalWeb"/>
        <w:numPr>
          <w:ilvl w:val="0"/>
          <w:numId w:val="2"/>
        </w:numPr>
      </w:pPr>
      <w:r>
        <w:t>Angus, D C, W T Linde-</w:t>
      </w:r>
      <w:proofErr w:type="spellStart"/>
      <w:r>
        <w:t>Zwirble</w:t>
      </w:r>
      <w:proofErr w:type="spellEnd"/>
      <w:r>
        <w:t xml:space="preserve">, J </w:t>
      </w:r>
      <w:proofErr w:type="spellStart"/>
      <w:r>
        <w:t>Lidicker</w:t>
      </w:r>
      <w:proofErr w:type="spellEnd"/>
      <w:r>
        <w:t xml:space="preserve">, G Clermont, J </w:t>
      </w:r>
      <w:proofErr w:type="spellStart"/>
      <w:r>
        <w:t>Carcillo</w:t>
      </w:r>
      <w:proofErr w:type="spellEnd"/>
      <w:r>
        <w:t xml:space="preserve">, and M R Pinsky. “Epidemiology of Severe Sepsis in the United States: Analysis of Incidence, Outcome, and Associated Costs of Care.” </w:t>
      </w:r>
      <w:r>
        <w:rPr>
          <w:i/>
          <w:iCs/>
        </w:rPr>
        <w:t>Critical Care Medicine</w:t>
      </w:r>
      <w:r>
        <w:t xml:space="preserve"> 29, no. 7 (2001): 1303–10. https://doi.org/10.1097/00003246-200107000-00002.</w:t>
      </w:r>
    </w:p>
    <w:p w14:paraId="61A12470" w14:textId="77777777" w:rsidR="009F45BB" w:rsidRDefault="009F45BB" w:rsidP="009F45BB">
      <w:pPr>
        <w:pStyle w:val="NormalWeb"/>
        <w:numPr>
          <w:ilvl w:val="0"/>
          <w:numId w:val="2"/>
        </w:numPr>
      </w:pPr>
      <w:proofErr w:type="spellStart"/>
      <w:r>
        <w:t>Quan</w:t>
      </w:r>
      <w:proofErr w:type="spellEnd"/>
      <w:r>
        <w:t xml:space="preserve">, H, V Sundararajan, P </w:t>
      </w:r>
      <w:proofErr w:type="spellStart"/>
      <w:r>
        <w:t>Halfon</w:t>
      </w:r>
      <w:proofErr w:type="spellEnd"/>
      <w:r>
        <w:t xml:space="preserve">, and A Fong. “Coding Algorithms for Defining Comorbidities in.” </w:t>
      </w:r>
      <w:r>
        <w:rPr>
          <w:i/>
          <w:iCs/>
        </w:rPr>
        <w:t>Medical Care</w:t>
      </w:r>
      <w:r>
        <w:t xml:space="preserve"> 43, no. 11 (2005): 1130–1139.</w:t>
      </w:r>
    </w:p>
    <w:p w14:paraId="151BC14F" w14:textId="64D3B5DC" w:rsidR="004452A7" w:rsidRDefault="004452A7" w:rsidP="004452A7">
      <w:pPr>
        <w:pStyle w:val="NormalWeb"/>
        <w:numPr>
          <w:ilvl w:val="0"/>
          <w:numId w:val="2"/>
        </w:numPr>
      </w:pPr>
      <w:r>
        <w:t xml:space="preserve">Johnson, Alistair E W, Andrew A Kramer, and </w:t>
      </w:r>
      <w:proofErr w:type="spellStart"/>
      <w:r>
        <w:t>Gari</w:t>
      </w:r>
      <w:proofErr w:type="spellEnd"/>
      <w:r>
        <w:t xml:space="preserve"> D Clifford. “A New Severity of Illness Scale Using a Subset of Acute Physiology and Chronic Health Evaluation Data Elements Shows Comparable Predictive Accuracy*.” </w:t>
      </w:r>
      <w:r>
        <w:rPr>
          <w:i/>
          <w:iCs/>
        </w:rPr>
        <w:t>Critical Care Medicine</w:t>
      </w:r>
      <w:r>
        <w:t xml:space="preserve"> 41, no. 7 (2013). </w:t>
      </w:r>
    </w:p>
    <w:p w14:paraId="1973819B" w14:textId="77777777" w:rsidR="00E8342F" w:rsidRPr="00921813" w:rsidRDefault="00E8342F" w:rsidP="002E6201">
      <w:pPr>
        <w:pStyle w:val="ListParagraph"/>
      </w:pPr>
    </w:p>
    <w:p w14:paraId="1BE99933" w14:textId="77777777" w:rsidR="00183E7A" w:rsidRPr="00E713D5" w:rsidRDefault="00183E7A" w:rsidP="00E713D5">
      <w:pPr>
        <w:rPr>
          <w:rFonts w:eastAsia="Times New Roman"/>
        </w:rPr>
      </w:pPr>
    </w:p>
    <w:p w14:paraId="1AC5219B" w14:textId="77777777" w:rsidR="00E713D5" w:rsidRDefault="00E713D5"/>
    <w:sectPr w:rsidR="00E713D5" w:rsidSect="007835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BC6"/>
    <w:multiLevelType w:val="hybridMultilevel"/>
    <w:tmpl w:val="71C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7A7169"/>
    <w:multiLevelType w:val="hybridMultilevel"/>
    <w:tmpl w:val="4CF835F4"/>
    <w:lvl w:ilvl="0" w:tplc="7374840C">
      <w:start w:val="1"/>
      <w:numFmt w:val="decimal"/>
      <w:lvlText w:val="%1."/>
      <w:lvlJc w:val="left"/>
      <w:pPr>
        <w:ind w:left="720" w:hanging="360"/>
      </w:pPr>
      <w:rPr>
        <w:rFonts w:ascii="Helvetica Neue" w:hAnsi="Helvetica Neue" w:hint="default"/>
        <w:color w:val="2B2B2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12"/>
    <w:rsid w:val="00032C54"/>
    <w:rsid w:val="000429E5"/>
    <w:rsid w:val="000437D8"/>
    <w:rsid w:val="00054E23"/>
    <w:rsid w:val="00065980"/>
    <w:rsid w:val="000D3AFA"/>
    <w:rsid w:val="00115D68"/>
    <w:rsid w:val="001223BA"/>
    <w:rsid w:val="00183E7A"/>
    <w:rsid w:val="00185169"/>
    <w:rsid w:val="001D3F90"/>
    <w:rsid w:val="001E4050"/>
    <w:rsid w:val="001F567E"/>
    <w:rsid w:val="00251C89"/>
    <w:rsid w:val="00255F35"/>
    <w:rsid w:val="00295E17"/>
    <w:rsid w:val="002E6201"/>
    <w:rsid w:val="002F768B"/>
    <w:rsid w:val="0036281D"/>
    <w:rsid w:val="003747F7"/>
    <w:rsid w:val="003777F4"/>
    <w:rsid w:val="003B153E"/>
    <w:rsid w:val="003B15DB"/>
    <w:rsid w:val="00401FED"/>
    <w:rsid w:val="004452A7"/>
    <w:rsid w:val="00463F3E"/>
    <w:rsid w:val="0048794E"/>
    <w:rsid w:val="0049443E"/>
    <w:rsid w:val="004C3723"/>
    <w:rsid w:val="004E44EF"/>
    <w:rsid w:val="005D5A16"/>
    <w:rsid w:val="00626238"/>
    <w:rsid w:val="006324F9"/>
    <w:rsid w:val="0067395F"/>
    <w:rsid w:val="006D6E4B"/>
    <w:rsid w:val="007062F1"/>
    <w:rsid w:val="0072543A"/>
    <w:rsid w:val="007835E6"/>
    <w:rsid w:val="00787FC2"/>
    <w:rsid w:val="007A5A2C"/>
    <w:rsid w:val="007F5E29"/>
    <w:rsid w:val="00844467"/>
    <w:rsid w:val="00885672"/>
    <w:rsid w:val="00921813"/>
    <w:rsid w:val="00944EDB"/>
    <w:rsid w:val="00955E3A"/>
    <w:rsid w:val="009668F1"/>
    <w:rsid w:val="00971D8C"/>
    <w:rsid w:val="0098173C"/>
    <w:rsid w:val="00996865"/>
    <w:rsid w:val="009E3012"/>
    <w:rsid w:val="009F45BB"/>
    <w:rsid w:val="00A57BC2"/>
    <w:rsid w:val="00A852DB"/>
    <w:rsid w:val="00AB75ED"/>
    <w:rsid w:val="00B05B45"/>
    <w:rsid w:val="00B21C85"/>
    <w:rsid w:val="00B30790"/>
    <w:rsid w:val="00BA41D0"/>
    <w:rsid w:val="00C13B59"/>
    <w:rsid w:val="00C2774C"/>
    <w:rsid w:val="00C32522"/>
    <w:rsid w:val="00C3427D"/>
    <w:rsid w:val="00CD3292"/>
    <w:rsid w:val="00D417F1"/>
    <w:rsid w:val="00D450B5"/>
    <w:rsid w:val="00D473E2"/>
    <w:rsid w:val="00DB5862"/>
    <w:rsid w:val="00DC7053"/>
    <w:rsid w:val="00DE7173"/>
    <w:rsid w:val="00DE79A9"/>
    <w:rsid w:val="00E0051F"/>
    <w:rsid w:val="00E6786A"/>
    <w:rsid w:val="00E713D5"/>
    <w:rsid w:val="00E74956"/>
    <w:rsid w:val="00E8342F"/>
    <w:rsid w:val="00EE6318"/>
    <w:rsid w:val="00F15726"/>
    <w:rsid w:val="00F45AB4"/>
    <w:rsid w:val="00F55216"/>
    <w:rsid w:val="00F55FC7"/>
    <w:rsid w:val="00F630BA"/>
    <w:rsid w:val="00F7600A"/>
    <w:rsid w:val="00FA22D1"/>
    <w:rsid w:val="00FA529E"/>
    <w:rsid w:val="00FB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2DA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3E7A"/>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13D5"/>
  </w:style>
  <w:style w:type="character" w:styleId="Hyperlink">
    <w:name w:val="Hyperlink"/>
    <w:basedOn w:val="DefaultParagraphFont"/>
    <w:uiPriority w:val="99"/>
    <w:semiHidden/>
    <w:unhideWhenUsed/>
    <w:rsid w:val="00E713D5"/>
    <w:rPr>
      <w:color w:val="0000FF"/>
      <w:u w:val="single"/>
    </w:rPr>
  </w:style>
  <w:style w:type="character" w:styleId="Strong">
    <w:name w:val="Strong"/>
    <w:basedOn w:val="DefaultParagraphFont"/>
    <w:uiPriority w:val="22"/>
    <w:qFormat/>
    <w:rsid w:val="009668F1"/>
    <w:rPr>
      <w:b/>
      <w:bCs/>
    </w:rPr>
  </w:style>
  <w:style w:type="paragraph" w:styleId="ListParagraph">
    <w:name w:val="List Paragraph"/>
    <w:basedOn w:val="Normal"/>
    <w:uiPriority w:val="34"/>
    <w:qFormat/>
    <w:rsid w:val="00183E7A"/>
    <w:pPr>
      <w:ind w:left="720"/>
      <w:contextualSpacing/>
    </w:pPr>
  </w:style>
  <w:style w:type="paragraph" w:styleId="NormalWeb">
    <w:name w:val="Normal (Web)"/>
    <w:basedOn w:val="Normal"/>
    <w:uiPriority w:val="99"/>
    <w:semiHidden/>
    <w:unhideWhenUsed/>
    <w:rsid w:val="00C3427D"/>
    <w:pPr>
      <w:spacing w:before="100" w:beforeAutospacing="1" w:after="100" w:afterAutospacing="1"/>
    </w:pPr>
  </w:style>
  <w:style w:type="character" w:styleId="Emphasis">
    <w:name w:val="Emphasis"/>
    <w:basedOn w:val="DefaultParagraphFont"/>
    <w:uiPriority w:val="20"/>
    <w:qFormat/>
    <w:rsid w:val="004879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408">
      <w:bodyDiv w:val="1"/>
      <w:marLeft w:val="0"/>
      <w:marRight w:val="0"/>
      <w:marTop w:val="0"/>
      <w:marBottom w:val="0"/>
      <w:divBdr>
        <w:top w:val="none" w:sz="0" w:space="0" w:color="auto"/>
        <w:left w:val="none" w:sz="0" w:space="0" w:color="auto"/>
        <w:bottom w:val="none" w:sz="0" w:space="0" w:color="auto"/>
        <w:right w:val="none" w:sz="0" w:space="0" w:color="auto"/>
      </w:divBdr>
    </w:div>
    <w:div w:id="353457782">
      <w:bodyDiv w:val="1"/>
      <w:marLeft w:val="0"/>
      <w:marRight w:val="0"/>
      <w:marTop w:val="0"/>
      <w:marBottom w:val="0"/>
      <w:divBdr>
        <w:top w:val="none" w:sz="0" w:space="0" w:color="auto"/>
        <w:left w:val="none" w:sz="0" w:space="0" w:color="auto"/>
        <w:bottom w:val="none" w:sz="0" w:space="0" w:color="auto"/>
        <w:right w:val="none" w:sz="0" w:space="0" w:color="auto"/>
      </w:divBdr>
    </w:div>
    <w:div w:id="462893315">
      <w:bodyDiv w:val="1"/>
      <w:marLeft w:val="0"/>
      <w:marRight w:val="0"/>
      <w:marTop w:val="0"/>
      <w:marBottom w:val="0"/>
      <w:divBdr>
        <w:top w:val="none" w:sz="0" w:space="0" w:color="auto"/>
        <w:left w:val="none" w:sz="0" w:space="0" w:color="auto"/>
        <w:bottom w:val="none" w:sz="0" w:space="0" w:color="auto"/>
        <w:right w:val="none" w:sz="0" w:space="0" w:color="auto"/>
      </w:divBdr>
    </w:div>
    <w:div w:id="481699612">
      <w:bodyDiv w:val="1"/>
      <w:marLeft w:val="0"/>
      <w:marRight w:val="0"/>
      <w:marTop w:val="0"/>
      <w:marBottom w:val="0"/>
      <w:divBdr>
        <w:top w:val="none" w:sz="0" w:space="0" w:color="auto"/>
        <w:left w:val="none" w:sz="0" w:space="0" w:color="auto"/>
        <w:bottom w:val="none" w:sz="0" w:space="0" w:color="auto"/>
        <w:right w:val="none" w:sz="0" w:space="0" w:color="auto"/>
      </w:divBdr>
    </w:div>
    <w:div w:id="518592450">
      <w:bodyDiv w:val="1"/>
      <w:marLeft w:val="0"/>
      <w:marRight w:val="0"/>
      <w:marTop w:val="0"/>
      <w:marBottom w:val="0"/>
      <w:divBdr>
        <w:top w:val="none" w:sz="0" w:space="0" w:color="auto"/>
        <w:left w:val="none" w:sz="0" w:space="0" w:color="auto"/>
        <w:bottom w:val="none" w:sz="0" w:space="0" w:color="auto"/>
        <w:right w:val="none" w:sz="0" w:space="0" w:color="auto"/>
      </w:divBdr>
    </w:div>
    <w:div w:id="833912623">
      <w:bodyDiv w:val="1"/>
      <w:marLeft w:val="0"/>
      <w:marRight w:val="0"/>
      <w:marTop w:val="0"/>
      <w:marBottom w:val="0"/>
      <w:divBdr>
        <w:top w:val="none" w:sz="0" w:space="0" w:color="auto"/>
        <w:left w:val="none" w:sz="0" w:space="0" w:color="auto"/>
        <w:bottom w:val="none" w:sz="0" w:space="0" w:color="auto"/>
        <w:right w:val="none" w:sz="0" w:space="0" w:color="auto"/>
      </w:divBdr>
    </w:div>
    <w:div w:id="921916673">
      <w:bodyDiv w:val="1"/>
      <w:marLeft w:val="0"/>
      <w:marRight w:val="0"/>
      <w:marTop w:val="0"/>
      <w:marBottom w:val="0"/>
      <w:divBdr>
        <w:top w:val="none" w:sz="0" w:space="0" w:color="auto"/>
        <w:left w:val="none" w:sz="0" w:space="0" w:color="auto"/>
        <w:bottom w:val="none" w:sz="0" w:space="0" w:color="auto"/>
        <w:right w:val="none" w:sz="0" w:space="0" w:color="auto"/>
      </w:divBdr>
    </w:div>
    <w:div w:id="1063024525">
      <w:bodyDiv w:val="1"/>
      <w:marLeft w:val="0"/>
      <w:marRight w:val="0"/>
      <w:marTop w:val="0"/>
      <w:marBottom w:val="0"/>
      <w:divBdr>
        <w:top w:val="none" w:sz="0" w:space="0" w:color="auto"/>
        <w:left w:val="none" w:sz="0" w:space="0" w:color="auto"/>
        <w:bottom w:val="none" w:sz="0" w:space="0" w:color="auto"/>
        <w:right w:val="none" w:sz="0" w:space="0" w:color="auto"/>
      </w:divBdr>
    </w:div>
    <w:div w:id="1263032775">
      <w:bodyDiv w:val="1"/>
      <w:marLeft w:val="0"/>
      <w:marRight w:val="0"/>
      <w:marTop w:val="0"/>
      <w:marBottom w:val="0"/>
      <w:divBdr>
        <w:top w:val="none" w:sz="0" w:space="0" w:color="auto"/>
        <w:left w:val="none" w:sz="0" w:space="0" w:color="auto"/>
        <w:bottom w:val="none" w:sz="0" w:space="0" w:color="auto"/>
        <w:right w:val="none" w:sz="0" w:space="0" w:color="auto"/>
      </w:divBdr>
    </w:div>
    <w:div w:id="1310942558">
      <w:bodyDiv w:val="1"/>
      <w:marLeft w:val="0"/>
      <w:marRight w:val="0"/>
      <w:marTop w:val="0"/>
      <w:marBottom w:val="0"/>
      <w:divBdr>
        <w:top w:val="none" w:sz="0" w:space="0" w:color="auto"/>
        <w:left w:val="none" w:sz="0" w:space="0" w:color="auto"/>
        <w:bottom w:val="none" w:sz="0" w:space="0" w:color="auto"/>
        <w:right w:val="none" w:sz="0" w:space="0" w:color="auto"/>
      </w:divBdr>
    </w:div>
    <w:div w:id="1527137004">
      <w:bodyDiv w:val="1"/>
      <w:marLeft w:val="0"/>
      <w:marRight w:val="0"/>
      <w:marTop w:val="0"/>
      <w:marBottom w:val="0"/>
      <w:divBdr>
        <w:top w:val="none" w:sz="0" w:space="0" w:color="auto"/>
        <w:left w:val="none" w:sz="0" w:space="0" w:color="auto"/>
        <w:bottom w:val="none" w:sz="0" w:space="0" w:color="auto"/>
        <w:right w:val="none" w:sz="0" w:space="0" w:color="auto"/>
      </w:divBdr>
    </w:div>
    <w:div w:id="1527520065">
      <w:bodyDiv w:val="1"/>
      <w:marLeft w:val="0"/>
      <w:marRight w:val="0"/>
      <w:marTop w:val="0"/>
      <w:marBottom w:val="0"/>
      <w:divBdr>
        <w:top w:val="none" w:sz="0" w:space="0" w:color="auto"/>
        <w:left w:val="none" w:sz="0" w:space="0" w:color="auto"/>
        <w:bottom w:val="none" w:sz="0" w:space="0" w:color="auto"/>
        <w:right w:val="none" w:sz="0" w:space="0" w:color="auto"/>
      </w:divBdr>
    </w:div>
    <w:div w:id="1672490546">
      <w:bodyDiv w:val="1"/>
      <w:marLeft w:val="0"/>
      <w:marRight w:val="0"/>
      <w:marTop w:val="0"/>
      <w:marBottom w:val="0"/>
      <w:divBdr>
        <w:top w:val="none" w:sz="0" w:space="0" w:color="auto"/>
        <w:left w:val="none" w:sz="0" w:space="0" w:color="auto"/>
        <w:bottom w:val="none" w:sz="0" w:space="0" w:color="auto"/>
        <w:right w:val="none" w:sz="0" w:space="0" w:color="auto"/>
      </w:divBdr>
    </w:div>
    <w:div w:id="1689020560">
      <w:bodyDiv w:val="1"/>
      <w:marLeft w:val="0"/>
      <w:marRight w:val="0"/>
      <w:marTop w:val="0"/>
      <w:marBottom w:val="0"/>
      <w:divBdr>
        <w:top w:val="none" w:sz="0" w:space="0" w:color="auto"/>
        <w:left w:val="none" w:sz="0" w:space="0" w:color="auto"/>
        <w:bottom w:val="none" w:sz="0" w:space="0" w:color="auto"/>
        <w:right w:val="none" w:sz="0" w:space="0" w:color="auto"/>
      </w:divBdr>
    </w:div>
    <w:div w:id="1746341011">
      <w:bodyDiv w:val="1"/>
      <w:marLeft w:val="0"/>
      <w:marRight w:val="0"/>
      <w:marTop w:val="0"/>
      <w:marBottom w:val="0"/>
      <w:divBdr>
        <w:top w:val="none" w:sz="0" w:space="0" w:color="auto"/>
        <w:left w:val="none" w:sz="0" w:space="0" w:color="auto"/>
        <w:bottom w:val="none" w:sz="0" w:space="0" w:color="auto"/>
        <w:right w:val="none" w:sz="0" w:space="0" w:color="auto"/>
      </w:divBdr>
    </w:div>
    <w:div w:id="1783915903">
      <w:bodyDiv w:val="1"/>
      <w:marLeft w:val="0"/>
      <w:marRight w:val="0"/>
      <w:marTop w:val="0"/>
      <w:marBottom w:val="0"/>
      <w:divBdr>
        <w:top w:val="none" w:sz="0" w:space="0" w:color="auto"/>
        <w:left w:val="none" w:sz="0" w:space="0" w:color="auto"/>
        <w:bottom w:val="none" w:sz="0" w:space="0" w:color="auto"/>
        <w:right w:val="none" w:sz="0" w:space="0" w:color="auto"/>
      </w:divBdr>
    </w:div>
    <w:div w:id="1983731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38/sdata.2016.35" TargetMode="External"/><Relationship Id="rId6" Type="http://schemas.openxmlformats.org/officeDocument/2006/relationships/hyperlink" Target="http://www.nature.com/articles/sdata201635" TargetMode="External"/><Relationship Id="rId7" Type="http://schemas.openxmlformats.org/officeDocument/2006/relationships/hyperlink" Target="http://dx.doi.org/10.13026/C2XW2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803</Words>
  <Characters>4579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2018-02-02T01:13:00Z</dcterms:created>
  <dcterms:modified xsi:type="dcterms:W3CDTF">2018-02-03T08:18:00Z</dcterms:modified>
</cp:coreProperties>
</file>