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Procurement SOP - Source to Pay</w:t>
      </w:r>
    </w:p>
    <w:p>
      <w:r>
        <w:t>Procurement SOP and Source-to-Pay Process / إجراءات المشتريات وسير العمل من التوريد إلى الدفع.</w:t>
      </w:r>
    </w:p>
    <w:p>
      <w:r>
        <w:t>This SOP intentionally contains duplicated functions and orphan capabilities for MVP testing.</w:t>
      </w:r>
    </w:p>
    <w:p>
      <w:r>
        <w:t>Strategic Sourcing: Procurement prepares annual sourcing plans, category strategies, market sounding, tender calendars, and framework agreement recommendations.</w:t>
      </w:r>
    </w:p>
    <w:p>
      <w:r>
        <w:t>Purchase Requisition Management: Business units raise purchase requisitions in ERP Procurement. Finance validates budget availability and commitment accounting before approvals.</w:t>
      </w:r>
    </w:p>
    <w:p>
      <w:r>
        <w:t>Tender Management: Tender Management includes RFP publishing, bid clarification, technical evaluation, commercial evaluation, award recommendation, and audit trail retention.</w:t>
      </w:r>
    </w:p>
    <w:p>
      <w:r>
        <w:t>Supplier Onboarding / Vendor Registration: Supplier Portal and Vendor Registration System both collect supplier profile, tax certificate, bank account, classification, and onboarding workflow data.</w:t>
      </w:r>
    </w:p>
    <w:p>
      <w:r>
        <w:t>Purchase Order Management: Approved requisitions are converted into purchase orders. ERP Procurement and eProcurement Portal both support PO approvals, change orders, and receiving status.</w:t>
      </w:r>
    </w:p>
    <w:p>
      <w:r>
        <w:t>Contract Lifecycle Management: Contract templates, contract approval, digital signature, contract repository, contract renewal alerts, and contract compliance monitoring are handled across Contract Archive and Contract Lifecycle Portal.</w:t>
      </w:r>
    </w:p>
    <w:p>
      <w:r>
        <w:t>Supplier Performance Management: Vendor scorecards measure delivery timeliness, quality incidents, contract compliance, and SLA performance. The VMO and Procurement Department both maintain supplier performance records.</w:t>
      </w:r>
    </w:p>
    <w:p>
      <w:r>
        <w:t>Invoice Matching: Finance performs three-way match across purchase order, goods receipt, and supplier invoice. Invoice exceptions are routed to Shared Services.</w:t>
      </w:r>
    </w:p>
    <w:p>
      <w:r>
        <w:t>Spend Analytics: Spend Analytics consolidates ERP, Supplier Portal, and Contract Archive data to report category spend, supplier concentration, savings, and compliance leakage.</w:t>
      </w:r>
    </w:p>
    <w:p>
      <w:r>
        <w:t>Procurement Compliance: Internal Audit reviews procurement policy exceptions, evidence completeness, approval thresholds, segregation of duties, and emergency procurement.</w:t>
      </w:r>
    </w:p>
    <w:p>
      <w:r>
        <w:t>Data Governance: IT and Finance govern supplier master data, chart of accounts mapping, cost center mapping, and procurement KPI definitions.</w:t>
      </w:r>
    </w:p>
    <w:p>
      <w:r>
        <w:t>Integration Management: ERP Procurement integrates with Supplier Portal, Budget System, Identity Access Management, Contract Archive, and Data Warehouse.</w:t>
      </w:r>
    </w:p>
    <w:p>
      <w:r>
        <w:t>Service Catalog Management: Shared Services publishes procurement service catalog entries for vendor onboarding support, requisition support, tender support, PO support, and invoice exception support.</w:t>
      </w:r>
    </w:p>
    <w:p>
      <w:r>
        <w:t>Orphan Capability: Demand Forecasting for procurement categories is mentioned as required for future planning, but no department is currently assigned as owner.</w:t>
      </w:r>
    </w:p>
    <w:p>
      <w:r>
        <w:t>Orphan Capability Arabic: إدارة توقعات الطلب Demand Forecasting مطلوبة لتحسين التخطيط السنوي للمشتريات، ولا يوجد مالك واضح لها في الهيكل الحالي.</w:t>
      </w:r>
    </w:p>
    <w:sectPr>
      <w:pgSz w:w="12240" w:h="15840"/>
      <w:pgMar w:top="1440" w:right="1440" w:bottom="1440" w:left="1440"/>
    </w:sectPr>
  </w:body>
</w:document>
</file>