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BC83" w14:textId="77777777" w:rsidR="00B66CED" w:rsidRDefault="00B66CED" w:rsidP="00B66CED">
      <w:pPr>
        <w:ind w:firstLine="232"/>
        <w:jc w:val="center"/>
        <w:rPr>
          <w:b/>
        </w:rPr>
      </w:pPr>
      <w:r>
        <w:rPr>
          <w:b/>
        </w:rPr>
        <w:t>MIBO 4090/6090 Prokaryotic Biology</w:t>
      </w:r>
    </w:p>
    <w:p w14:paraId="326CD42B" w14:textId="1942FA4A" w:rsidR="00B66CED" w:rsidRDefault="00B66CED" w:rsidP="00B66CED">
      <w:pPr>
        <w:ind w:firstLine="232"/>
        <w:jc w:val="center"/>
        <w:rPr>
          <w:b/>
        </w:rPr>
      </w:pPr>
      <w:r>
        <w:rPr>
          <w:b/>
        </w:rPr>
        <w:t>Fall 20</w:t>
      </w:r>
      <w:r w:rsidR="0047051C">
        <w:rPr>
          <w:b/>
        </w:rPr>
        <w:t>20:</w:t>
      </w:r>
      <w:r>
        <w:rPr>
          <w:b/>
        </w:rPr>
        <w:t xml:space="preserve"> MF 11:</w:t>
      </w:r>
      <w:r w:rsidR="0047051C">
        <w:rPr>
          <w:b/>
        </w:rPr>
        <w:t>30</w:t>
      </w:r>
      <w:r>
        <w:rPr>
          <w:b/>
        </w:rPr>
        <w:t>am -12:</w:t>
      </w:r>
      <w:r w:rsidR="0047051C">
        <w:rPr>
          <w:b/>
        </w:rPr>
        <w:t>20</w:t>
      </w:r>
      <w:r>
        <w:rPr>
          <w:b/>
        </w:rPr>
        <w:t>pm</w:t>
      </w:r>
      <w:r w:rsidR="0047051C">
        <w:rPr>
          <w:b/>
        </w:rPr>
        <w:t>; W 11:30-1:10pm</w:t>
      </w:r>
    </w:p>
    <w:p w14:paraId="141442BA" w14:textId="77777777" w:rsidR="00B66CED" w:rsidRDefault="00B66CED" w:rsidP="00B66CED">
      <w:pPr>
        <w:ind w:firstLine="232"/>
        <w:jc w:val="center"/>
        <w:rPr>
          <w:b/>
        </w:rPr>
      </w:pPr>
      <w:r>
        <w:rPr>
          <w:b/>
        </w:rPr>
        <w:t>Room 326 Biological Sciences</w:t>
      </w:r>
    </w:p>
    <w:p w14:paraId="68508986" w14:textId="77777777" w:rsidR="00B66CED" w:rsidRDefault="00B66CED" w:rsidP="00B66CED">
      <w:pPr>
        <w:ind w:firstLine="232"/>
        <w:jc w:val="center"/>
        <w:rPr>
          <w:b/>
        </w:rPr>
      </w:pPr>
    </w:p>
    <w:p w14:paraId="74B8BD1B" w14:textId="4EF59709" w:rsidR="00B66CED" w:rsidRDefault="00546F90" w:rsidP="00B66CED">
      <w:r>
        <w:rPr>
          <w:b/>
        </w:rPr>
        <w:t>Instructor</w:t>
      </w:r>
      <w:r w:rsidR="00B66CED">
        <w:rPr>
          <w:b/>
        </w:rPr>
        <w:t>:</w:t>
      </w:r>
      <w:r w:rsidR="00B66CED">
        <w:tab/>
        <w:t>Dr.</w:t>
      </w:r>
      <w:r w:rsidR="00EF3A64">
        <w:t xml:space="preserve"> Vincent Starai</w:t>
      </w:r>
      <w:r w:rsidR="00EF3A64">
        <w:tab/>
      </w:r>
      <w:r w:rsidR="00EF3A64">
        <w:tab/>
      </w:r>
      <w:r w:rsidR="009647BC">
        <w:t xml:space="preserve">           </w:t>
      </w:r>
      <w:r w:rsidR="0047051C">
        <w:rPr>
          <w:b/>
          <w:bCs/>
        </w:rPr>
        <w:t>Teaching Assistant:</w:t>
      </w:r>
      <w:r w:rsidR="0047051C">
        <w:t xml:space="preserve">  </w:t>
      </w:r>
      <w:r w:rsidR="009647BC">
        <w:tab/>
        <w:t>Michael Mills</w:t>
      </w:r>
      <w:r w:rsidR="00EF3A64">
        <w:t xml:space="preserve">       </w:t>
      </w:r>
    </w:p>
    <w:p w14:paraId="6E3BB66F" w14:textId="4186B578" w:rsidR="00B66CED" w:rsidRDefault="00B66CED" w:rsidP="00B66CED">
      <w:pPr>
        <w:ind w:firstLine="232"/>
      </w:pPr>
      <w:r>
        <w:tab/>
      </w:r>
      <w:r>
        <w:tab/>
      </w:r>
      <w:r w:rsidR="00F47605">
        <w:t>828 Biological Sciences</w:t>
      </w:r>
      <w:r>
        <w:tab/>
      </w:r>
      <w:r w:rsidR="0047051C">
        <w:t xml:space="preserve">                   </w:t>
      </w:r>
      <w:r w:rsidR="009647BC">
        <w:tab/>
      </w:r>
      <w:r w:rsidR="009647BC">
        <w:tab/>
        <w:t xml:space="preserve">    </w:t>
      </w:r>
      <w:r w:rsidR="0047051C">
        <w:t xml:space="preserve"> </w:t>
      </w:r>
      <w:r w:rsidR="009647BC">
        <w:t>kobie93</w:t>
      </w:r>
      <w:r w:rsidR="0047051C">
        <w:t>@uga.edu</w:t>
      </w:r>
    </w:p>
    <w:p w14:paraId="03D2A375" w14:textId="77777777" w:rsidR="00B66CED" w:rsidRDefault="00B66CED" w:rsidP="00B66CED">
      <w:pPr>
        <w:ind w:firstLine="232"/>
      </w:pPr>
      <w:r>
        <w:tab/>
      </w:r>
      <w:r>
        <w:tab/>
        <w:t>(706) 542-5755</w:t>
      </w:r>
    </w:p>
    <w:p w14:paraId="42D57EF8" w14:textId="1CDB4F17" w:rsidR="00B66CED" w:rsidRDefault="00B66CED" w:rsidP="00B66CED">
      <w:pPr>
        <w:ind w:firstLine="232"/>
      </w:pPr>
      <w:r>
        <w:tab/>
      </w:r>
      <w:r>
        <w:tab/>
      </w:r>
      <w:hyperlink r:id="rId7" w:history="1">
        <w:r w:rsidRPr="00153799">
          <w:rPr>
            <w:rStyle w:val="Hyperlink"/>
          </w:rPr>
          <w:t>vjstarai@uga.edu</w:t>
        </w:r>
      </w:hyperlink>
      <w:r>
        <w:tab/>
      </w:r>
      <w:r>
        <w:tab/>
      </w:r>
      <w:r>
        <w:tab/>
      </w:r>
      <w:r>
        <w:tab/>
      </w:r>
      <w:r>
        <w:tab/>
        <w:t xml:space="preserve"> </w:t>
      </w:r>
    </w:p>
    <w:p w14:paraId="1374C42B" w14:textId="1E722AA9" w:rsidR="00B66CED" w:rsidRDefault="00B66CED" w:rsidP="00B66CED">
      <w:pPr>
        <w:ind w:firstLine="232"/>
      </w:pPr>
      <w:r>
        <w:tab/>
      </w:r>
      <w:r>
        <w:tab/>
      </w:r>
      <w:r>
        <w:tab/>
      </w:r>
      <w:r>
        <w:tab/>
      </w:r>
      <w:r>
        <w:tab/>
      </w:r>
      <w:r>
        <w:tab/>
      </w:r>
      <w:r>
        <w:tab/>
      </w:r>
      <w:r>
        <w:tab/>
      </w:r>
      <w:r>
        <w:tab/>
      </w:r>
    </w:p>
    <w:p w14:paraId="01965175" w14:textId="57B170E4" w:rsidR="00B66CED" w:rsidRDefault="008B1454" w:rsidP="008665F4">
      <w:pPr>
        <w:jc w:val="both"/>
        <w:rPr>
          <w:bCs/>
        </w:rPr>
      </w:pPr>
      <w:r>
        <w:rPr>
          <w:b/>
        </w:rPr>
        <w:t>Fall 202</w:t>
      </w:r>
      <w:r w:rsidR="009647BC">
        <w:rPr>
          <w:b/>
        </w:rPr>
        <w:t>1</w:t>
      </w:r>
      <w:r>
        <w:rPr>
          <w:b/>
        </w:rPr>
        <w:t xml:space="preserve"> Preface:</w:t>
      </w:r>
      <w:r>
        <w:rPr>
          <w:bCs/>
        </w:rPr>
        <w:t xml:space="preserve">  2020 brought a significant </w:t>
      </w:r>
      <w:r w:rsidR="009647BC">
        <w:rPr>
          <w:bCs/>
        </w:rPr>
        <w:t>number</w:t>
      </w:r>
      <w:r>
        <w:rPr>
          <w:bCs/>
        </w:rPr>
        <w:t xml:space="preserve"> of new challenges to not only the education process, but to life in general.  This pandemic has affected all of us in a number of ways, and I appreciate the fact that some will struggle more than others, either in life or in the classroom</w:t>
      </w:r>
      <w:r w:rsidR="009647BC">
        <w:rPr>
          <w:bCs/>
        </w:rPr>
        <w:t xml:space="preserve"> as we get back to something that resembles “normal” in the Fall of 2021</w:t>
      </w:r>
      <w:r>
        <w:rPr>
          <w:bCs/>
        </w:rPr>
        <w:t xml:space="preserve">.  </w:t>
      </w:r>
      <w:r w:rsidR="009647BC">
        <w:rPr>
          <w:bCs/>
        </w:rPr>
        <w:t>I also understand that we may face some new struggles as the semester proceeds due to new viral outbreaks, so it is my goal to try to be flexible with scheduling throughout the semester</w:t>
      </w:r>
      <w:r w:rsidR="008E35AE">
        <w:rPr>
          <w:bCs/>
        </w:rPr>
        <w:t xml:space="preserve">.  </w:t>
      </w:r>
      <w:r w:rsidR="001C0FF8">
        <w:rPr>
          <w:bCs/>
        </w:rPr>
        <w:t>Nevertheless, it is my intent to hold this class in-person for the duration of the semester</w:t>
      </w:r>
      <w:r w:rsidR="008A319B">
        <w:rPr>
          <w:bCs/>
        </w:rPr>
        <w:t>, with the ability to join a Zoom lecture when needed</w:t>
      </w:r>
      <w:r w:rsidR="001C0FF8">
        <w:rPr>
          <w:bCs/>
        </w:rPr>
        <w:t xml:space="preserve">. </w:t>
      </w:r>
      <w:r w:rsidR="008E35AE">
        <w:rPr>
          <w:bCs/>
        </w:rPr>
        <w:t xml:space="preserve">Never hesitate to contact me with </w:t>
      </w:r>
      <w:r w:rsidR="001C0FF8">
        <w:rPr>
          <w:bCs/>
        </w:rPr>
        <w:t xml:space="preserve">concerns, </w:t>
      </w:r>
      <w:r w:rsidR="008E35AE">
        <w:rPr>
          <w:bCs/>
        </w:rPr>
        <w:t>ideas, advice, or general feedback that could enhance your ability to learn from me; I’ll always be there to listen</w:t>
      </w:r>
      <w:r w:rsidR="001A0B4A">
        <w:rPr>
          <w:bCs/>
        </w:rPr>
        <w:t>: e</w:t>
      </w:r>
      <w:r w:rsidR="001A0B4A" w:rsidRPr="001A0B4A">
        <w:rPr>
          <w:bCs/>
        </w:rPr>
        <w:t>specially</w:t>
      </w:r>
      <w:r w:rsidR="001A0B4A">
        <w:rPr>
          <w:bCs/>
        </w:rPr>
        <w:t xml:space="preserve"> if it’s about food, video games, anime, or Chicago Cubs baseball!</w:t>
      </w:r>
    </w:p>
    <w:p w14:paraId="206C5DB9" w14:textId="78543FA5" w:rsidR="008665F4" w:rsidRDefault="008665F4" w:rsidP="00B66CED">
      <w:pPr>
        <w:rPr>
          <w:bCs/>
        </w:rPr>
      </w:pPr>
    </w:p>
    <w:p w14:paraId="2BEE7A95" w14:textId="77777777" w:rsidR="008665F4" w:rsidRPr="008665F4" w:rsidRDefault="008665F4" w:rsidP="008665F4">
      <w:pPr>
        <w:rPr>
          <w:rFonts w:cs="Arial"/>
          <w:b/>
        </w:rPr>
      </w:pPr>
      <w:r w:rsidRPr="008665F4">
        <w:rPr>
          <w:rFonts w:cs="Arial"/>
          <w:b/>
        </w:rPr>
        <w:t>MIBO 4090 Prokaryotic Biology Course Structure</w:t>
      </w:r>
    </w:p>
    <w:p w14:paraId="76E17121" w14:textId="77777777" w:rsidR="008665F4" w:rsidRPr="008665F4" w:rsidRDefault="008665F4" w:rsidP="008665F4">
      <w:pPr>
        <w:jc w:val="center"/>
        <w:rPr>
          <w:rFonts w:cs="Arial"/>
          <w:b/>
        </w:rPr>
      </w:pPr>
    </w:p>
    <w:p w14:paraId="41BDF85F" w14:textId="62042ACF" w:rsidR="008665F4" w:rsidRPr="008665F4" w:rsidRDefault="008665F4" w:rsidP="008665F4">
      <w:pPr>
        <w:jc w:val="both"/>
        <w:rPr>
          <w:rFonts w:cs="Arial"/>
        </w:rPr>
      </w:pPr>
      <w:r w:rsidRPr="008665F4">
        <w:rPr>
          <w:rFonts w:cs="Arial"/>
        </w:rPr>
        <w:t xml:space="preserve">In this course, I generally strive to teach things </w:t>
      </w:r>
      <w:r w:rsidRPr="008665F4">
        <w:rPr>
          <w:rFonts w:cs="Arial"/>
          <w:u w:val="single"/>
        </w:rPr>
        <w:t>at the molecular level</w:t>
      </w:r>
      <w:r w:rsidRPr="008665F4">
        <w:rPr>
          <w:rFonts w:cs="Arial"/>
        </w:rPr>
        <w:t xml:space="preserve">.  After presenting the classroom information, I expect students to be able to predict either molecular or phenotypic outcomes of a particular system when presented with a particular situation (for example, how might a cell lacking </w:t>
      </w:r>
      <w:proofErr w:type="spellStart"/>
      <w:r w:rsidRPr="008665F4">
        <w:rPr>
          <w:rFonts w:cs="Arial"/>
          <w:i/>
        </w:rPr>
        <w:t>cheY</w:t>
      </w:r>
      <w:proofErr w:type="spellEnd"/>
      <w:r w:rsidRPr="008665F4">
        <w:rPr>
          <w:rFonts w:cs="Arial"/>
        </w:rPr>
        <w:t xml:space="preserve"> be expected to move in a given environment). Questions on exams are typically multiple choice, but are generally not simple “recall” questions.  </w:t>
      </w:r>
      <w:r w:rsidR="001C0FF8">
        <w:rPr>
          <w:rFonts w:cs="Arial"/>
        </w:rPr>
        <w:t xml:space="preserve">Other sections will include short answer and longer answer sections. </w:t>
      </w:r>
      <w:r w:rsidRPr="008665F4">
        <w:rPr>
          <w:rFonts w:cs="Arial"/>
        </w:rPr>
        <w:t xml:space="preserve">Students find this exam format a bit difficult and tricky at first, but most students agree (I hope) that the exams are fair and force them to think quite a bit!  </w:t>
      </w:r>
      <w:r w:rsidR="001C0FF8">
        <w:rPr>
          <w:rFonts w:cs="Arial"/>
        </w:rPr>
        <w:t xml:space="preserve">At present, I am planning to hold all exams in a </w:t>
      </w:r>
      <w:r w:rsidR="001C0FF8" w:rsidRPr="001C0FF8">
        <w:rPr>
          <w:rFonts w:cs="Arial"/>
        </w:rPr>
        <w:t>written</w:t>
      </w:r>
      <w:r w:rsidR="001C0FF8">
        <w:rPr>
          <w:rFonts w:cs="Arial"/>
        </w:rPr>
        <w:t xml:space="preserve"> format, which could change as the semester </w:t>
      </w:r>
      <w:r w:rsidR="001C0FF8" w:rsidRPr="001C0FF8">
        <w:rPr>
          <w:rFonts w:cs="Arial"/>
          <w:strike/>
        </w:rPr>
        <w:t>drags</w:t>
      </w:r>
      <w:r w:rsidR="001C0FF8">
        <w:rPr>
          <w:rFonts w:cs="Arial"/>
        </w:rPr>
        <w:t xml:space="preserve"> moves on. </w:t>
      </w:r>
      <w:r w:rsidRPr="001C0FF8">
        <w:rPr>
          <w:rFonts w:cs="Arial"/>
        </w:rPr>
        <w:t>All</w:t>
      </w:r>
      <w:r w:rsidRPr="008665F4">
        <w:rPr>
          <w:rFonts w:cs="Arial"/>
        </w:rPr>
        <w:t xml:space="preserve"> classroom sessions </w:t>
      </w:r>
      <w:r w:rsidR="001C0FF8">
        <w:rPr>
          <w:rFonts w:cs="Arial"/>
        </w:rPr>
        <w:t>will be</w:t>
      </w:r>
      <w:r w:rsidRPr="008665F4">
        <w:rPr>
          <w:rFonts w:cs="Arial"/>
        </w:rPr>
        <w:t xml:space="preserve"> recorded and each lecture </w:t>
      </w:r>
      <w:r w:rsidR="001C0FF8">
        <w:rPr>
          <w:rFonts w:cs="Arial"/>
        </w:rPr>
        <w:t xml:space="preserve">should </w:t>
      </w:r>
      <w:r w:rsidR="000A6518">
        <w:rPr>
          <w:rFonts w:cs="Arial"/>
        </w:rPr>
        <w:t xml:space="preserve">(theoretically) </w:t>
      </w:r>
      <w:r w:rsidR="001C0FF8">
        <w:rPr>
          <w:rFonts w:cs="Arial"/>
        </w:rPr>
        <w:t>be</w:t>
      </w:r>
      <w:r w:rsidRPr="008665F4">
        <w:rPr>
          <w:rFonts w:cs="Arial"/>
        </w:rPr>
        <w:t xml:space="preserve"> made available to the class </w:t>
      </w:r>
      <w:r w:rsidR="001C0FF8">
        <w:rPr>
          <w:rFonts w:cs="Arial"/>
        </w:rPr>
        <w:t xml:space="preserve">via </w:t>
      </w:r>
      <w:proofErr w:type="spellStart"/>
      <w:r w:rsidR="001C0FF8">
        <w:rPr>
          <w:rFonts w:cs="Arial"/>
        </w:rPr>
        <w:t>eLC</w:t>
      </w:r>
      <w:proofErr w:type="spellEnd"/>
      <w:r w:rsidR="001C0FF8">
        <w:rPr>
          <w:rFonts w:cs="Arial"/>
        </w:rPr>
        <w:t>.</w:t>
      </w:r>
    </w:p>
    <w:p w14:paraId="2FEE383E" w14:textId="77777777" w:rsidR="008665F4" w:rsidRPr="008665F4" w:rsidRDefault="008665F4" w:rsidP="008665F4">
      <w:pPr>
        <w:jc w:val="center"/>
        <w:rPr>
          <w:rFonts w:cs="Arial"/>
          <w:b/>
        </w:rPr>
      </w:pPr>
    </w:p>
    <w:p w14:paraId="60F0734B" w14:textId="77777777" w:rsidR="008665F4" w:rsidRPr="008665F4" w:rsidRDefault="008665F4" w:rsidP="008665F4">
      <w:pPr>
        <w:rPr>
          <w:rFonts w:cs="Arial"/>
          <w:b/>
        </w:rPr>
      </w:pPr>
      <w:r w:rsidRPr="008665F4">
        <w:rPr>
          <w:rFonts w:cs="Arial"/>
          <w:b/>
        </w:rPr>
        <w:t>Unit I: Bacterial Structure and Growth</w:t>
      </w:r>
    </w:p>
    <w:p w14:paraId="0383FD1C" w14:textId="77777777" w:rsidR="008665F4" w:rsidRPr="008665F4" w:rsidRDefault="008665F4" w:rsidP="008665F4">
      <w:pPr>
        <w:rPr>
          <w:rFonts w:cs="Arial"/>
          <w:b/>
        </w:rPr>
      </w:pPr>
    </w:p>
    <w:p w14:paraId="7991CE1F" w14:textId="77777777" w:rsidR="008665F4" w:rsidRPr="008665F4" w:rsidRDefault="008665F4" w:rsidP="008665F4">
      <w:pPr>
        <w:rPr>
          <w:rFonts w:cs="Arial"/>
          <w:i/>
        </w:rPr>
      </w:pPr>
      <w:r w:rsidRPr="008665F4">
        <w:rPr>
          <w:rFonts w:cs="Arial"/>
          <w:i/>
        </w:rPr>
        <w:t>By the end of Unit I</w:t>
      </w:r>
      <w:r w:rsidRPr="008665F4">
        <w:rPr>
          <w:rFonts w:cs="Arial"/>
        </w:rPr>
        <w:t xml:space="preserve">, </w:t>
      </w:r>
      <w:r w:rsidRPr="008665F4">
        <w:rPr>
          <w:rFonts w:cs="Arial"/>
          <w:i/>
        </w:rPr>
        <w:t>students should show proficiency in understanding how prokaryotic cells generally grow, divide, and communicate: both intracellularly and with each other.</w:t>
      </w:r>
    </w:p>
    <w:p w14:paraId="699D68E1" w14:textId="77777777" w:rsidR="008665F4" w:rsidRPr="008665F4" w:rsidRDefault="008665F4" w:rsidP="008665F4">
      <w:pPr>
        <w:rPr>
          <w:rFonts w:cs="Arial"/>
          <w:b/>
        </w:rPr>
      </w:pPr>
    </w:p>
    <w:p w14:paraId="56CD760D" w14:textId="77777777" w:rsidR="008665F4" w:rsidRPr="008665F4" w:rsidRDefault="008665F4" w:rsidP="008665F4">
      <w:pPr>
        <w:rPr>
          <w:rFonts w:cs="Arial"/>
          <w:i/>
        </w:rPr>
      </w:pPr>
      <w:r w:rsidRPr="008665F4">
        <w:rPr>
          <w:rFonts w:cs="Arial"/>
          <w:i/>
        </w:rPr>
        <w:t>Students will learn the ultrastructural differences between Gram-negative, Gram-positive, and archaea at the molecular level.</w:t>
      </w:r>
    </w:p>
    <w:p w14:paraId="2336A34C" w14:textId="77777777" w:rsidR="008665F4" w:rsidRPr="008665F4" w:rsidRDefault="008665F4" w:rsidP="008665F4">
      <w:pPr>
        <w:rPr>
          <w:rFonts w:cs="Arial"/>
          <w:i/>
        </w:rPr>
      </w:pPr>
    </w:p>
    <w:p w14:paraId="02235488" w14:textId="77777777" w:rsidR="008665F4" w:rsidRPr="008665F4" w:rsidRDefault="008665F4" w:rsidP="008665F4">
      <w:pPr>
        <w:pStyle w:val="ListParagraph"/>
        <w:numPr>
          <w:ilvl w:val="0"/>
          <w:numId w:val="2"/>
        </w:numPr>
        <w:rPr>
          <w:rFonts w:cs="Arial"/>
        </w:rPr>
      </w:pPr>
      <w:r w:rsidRPr="008665F4">
        <w:rPr>
          <w:rFonts w:cs="Arial"/>
        </w:rPr>
        <w:t>Membrane structure and function</w:t>
      </w:r>
    </w:p>
    <w:p w14:paraId="206EA88B" w14:textId="77777777" w:rsidR="008665F4" w:rsidRPr="008665F4" w:rsidRDefault="008665F4" w:rsidP="008665F4">
      <w:pPr>
        <w:pStyle w:val="ListParagraph"/>
        <w:numPr>
          <w:ilvl w:val="0"/>
          <w:numId w:val="2"/>
        </w:numPr>
        <w:rPr>
          <w:rFonts w:cs="Arial"/>
        </w:rPr>
      </w:pPr>
      <w:r w:rsidRPr="008665F4">
        <w:rPr>
          <w:rFonts w:cs="Arial"/>
        </w:rPr>
        <w:lastRenderedPageBreak/>
        <w:t>Peptidoglycan synthesis</w:t>
      </w:r>
    </w:p>
    <w:p w14:paraId="5044ACBF" w14:textId="77777777" w:rsidR="008665F4" w:rsidRPr="008665F4" w:rsidRDefault="008665F4" w:rsidP="008665F4">
      <w:pPr>
        <w:pStyle w:val="ListParagraph"/>
        <w:numPr>
          <w:ilvl w:val="0"/>
          <w:numId w:val="2"/>
        </w:numPr>
        <w:rPr>
          <w:rFonts w:cs="Arial"/>
        </w:rPr>
      </w:pPr>
      <w:r w:rsidRPr="008665F4">
        <w:rPr>
          <w:rFonts w:cs="Arial"/>
        </w:rPr>
        <w:t>Flagellar biosynthesis</w:t>
      </w:r>
    </w:p>
    <w:p w14:paraId="75A3FA78" w14:textId="77777777" w:rsidR="008665F4" w:rsidRPr="008665F4" w:rsidRDefault="008665F4" w:rsidP="008665F4">
      <w:pPr>
        <w:pStyle w:val="ListParagraph"/>
        <w:numPr>
          <w:ilvl w:val="0"/>
          <w:numId w:val="2"/>
        </w:numPr>
        <w:rPr>
          <w:rFonts w:cs="Arial"/>
        </w:rPr>
      </w:pPr>
      <w:r w:rsidRPr="008665F4">
        <w:rPr>
          <w:rFonts w:cs="Arial"/>
        </w:rPr>
        <w:t>Nutrient acquisition pathways (transport)</w:t>
      </w:r>
    </w:p>
    <w:p w14:paraId="2ECCBAB1" w14:textId="77777777" w:rsidR="008665F4" w:rsidRPr="008665F4" w:rsidRDefault="008665F4" w:rsidP="008665F4">
      <w:pPr>
        <w:rPr>
          <w:rFonts w:cs="Arial"/>
          <w:i/>
        </w:rPr>
      </w:pPr>
    </w:p>
    <w:p w14:paraId="7F22DDC1" w14:textId="77777777" w:rsidR="008665F4" w:rsidRPr="008665F4" w:rsidRDefault="008665F4" w:rsidP="008665F4">
      <w:pPr>
        <w:rPr>
          <w:rFonts w:cs="Arial"/>
          <w:i/>
        </w:rPr>
      </w:pPr>
      <w:r w:rsidRPr="008665F4">
        <w:rPr>
          <w:rFonts w:cs="Arial"/>
          <w:i/>
        </w:rPr>
        <w:t>Dissect typical and atypical cell division pathways and understand bacterial community structure.</w:t>
      </w:r>
    </w:p>
    <w:p w14:paraId="77A243EC" w14:textId="77777777" w:rsidR="008665F4" w:rsidRPr="008665F4" w:rsidRDefault="008665F4" w:rsidP="008665F4">
      <w:pPr>
        <w:rPr>
          <w:rFonts w:cs="Arial"/>
          <w:i/>
        </w:rPr>
      </w:pPr>
    </w:p>
    <w:p w14:paraId="2714BD08" w14:textId="77777777" w:rsidR="008665F4" w:rsidRPr="008665F4" w:rsidRDefault="008665F4" w:rsidP="008665F4">
      <w:pPr>
        <w:pStyle w:val="ListParagraph"/>
        <w:numPr>
          <w:ilvl w:val="0"/>
          <w:numId w:val="3"/>
        </w:numPr>
        <w:rPr>
          <w:rFonts w:cs="Arial"/>
          <w:i/>
        </w:rPr>
      </w:pPr>
      <w:proofErr w:type="spellStart"/>
      <w:r w:rsidRPr="008665F4">
        <w:rPr>
          <w:rFonts w:cs="Arial"/>
        </w:rPr>
        <w:t>MinCDE</w:t>
      </w:r>
      <w:proofErr w:type="spellEnd"/>
      <w:r w:rsidRPr="008665F4">
        <w:rPr>
          <w:rFonts w:cs="Arial"/>
        </w:rPr>
        <w:t>/</w:t>
      </w:r>
      <w:proofErr w:type="spellStart"/>
      <w:r w:rsidRPr="008665F4">
        <w:rPr>
          <w:rFonts w:cs="Arial"/>
        </w:rPr>
        <w:t>FtsZ</w:t>
      </w:r>
      <w:proofErr w:type="spellEnd"/>
      <w:r w:rsidRPr="008665F4">
        <w:rPr>
          <w:rFonts w:cs="Arial"/>
        </w:rPr>
        <w:t xml:space="preserve"> functions</w:t>
      </w:r>
    </w:p>
    <w:p w14:paraId="61A49EF7" w14:textId="77777777" w:rsidR="008665F4" w:rsidRPr="008665F4" w:rsidRDefault="008665F4" w:rsidP="008665F4">
      <w:pPr>
        <w:pStyle w:val="ListParagraph"/>
        <w:numPr>
          <w:ilvl w:val="0"/>
          <w:numId w:val="3"/>
        </w:numPr>
        <w:rPr>
          <w:rFonts w:cs="Arial"/>
          <w:i/>
        </w:rPr>
      </w:pPr>
      <w:r w:rsidRPr="008665F4">
        <w:rPr>
          <w:rFonts w:cs="Arial"/>
        </w:rPr>
        <w:t>Cell wall remodeling</w:t>
      </w:r>
    </w:p>
    <w:p w14:paraId="03735961" w14:textId="77777777" w:rsidR="008665F4" w:rsidRPr="008665F4" w:rsidRDefault="008665F4" w:rsidP="008665F4">
      <w:pPr>
        <w:pStyle w:val="ListParagraph"/>
        <w:numPr>
          <w:ilvl w:val="0"/>
          <w:numId w:val="3"/>
        </w:numPr>
        <w:rPr>
          <w:rFonts w:cs="Arial"/>
          <w:i/>
        </w:rPr>
      </w:pPr>
      <w:r w:rsidRPr="008665F4">
        <w:rPr>
          <w:rFonts w:cs="Arial"/>
          <w:i/>
        </w:rPr>
        <w:t xml:space="preserve">Bacillus </w:t>
      </w:r>
      <w:r w:rsidRPr="008665F4">
        <w:rPr>
          <w:rFonts w:cs="Arial"/>
        </w:rPr>
        <w:t xml:space="preserve">sporulation pathways, </w:t>
      </w:r>
      <w:r w:rsidRPr="008665F4">
        <w:rPr>
          <w:rFonts w:cs="Arial"/>
          <w:i/>
        </w:rPr>
        <w:t>Caulobacter</w:t>
      </w:r>
      <w:r w:rsidRPr="008665F4">
        <w:rPr>
          <w:rFonts w:cs="Arial"/>
        </w:rPr>
        <w:t xml:space="preserve"> asymmetric division</w:t>
      </w:r>
    </w:p>
    <w:p w14:paraId="7B388413" w14:textId="77777777" w:rsidR="008665F4" w:rsidRPr="008665F4" w:rsidRDefault="008665F4" w:rsidP="008665F4">
      <w:pPr>
        <w:pStyle w:val="ListParagraph"/>
        <w:numPr>
          <w:ilvl w:val="0"/>
          <w:numId w:val="3"/>
        </w:numPr>
        <w:rPr>
          <w:rFonts w:cs="Arial"/>
          <w:i/>
        </w:rPr>
      </w:pPr>
      <w:r w:rsidRPr="008665F4">
        <w:rPr>
          <w:rFonts w:cs="Arial"/>
        </w:rPr>
        <w:t>Biofilm structure and formation pathways</w:t>
      </w:r>
    </w:p>
    <w:p w14:paraId="422FC2B1" w14:textId="77777777" w:rsidR="008665F4" w:rsidRPr="008665F4" w:rsidRDefault="008665F4" w:rsidP="008665F4">
      <w:pPr>
        <w:rPr>
          <w:rFonts w:cs="Arial"/>
        </w:rPr>
      </w:pPr>
    </w:p>
    <w:p w14:paraId="3D4CC875" w14:textId="77777777" w:rsidR="008665F4" w:rsidRPr="008665F4" w:rsidRDefault="008665F4" w:rsidP="008665F4">
      <w:pPr>
        <w:rPr>
          <w:rFonts w:cs="Arial"/>
          <w:i/>
        </w:rPr>
      </w:pPr>
      <w:r w:rsidRPr="008665F4">
        <w:rPr>
          <w:rFonts w:cs="Arial"/>
          <w:i/>
        </w:rPr>
        <w:t xml:space="preserve">Students will know different mechanisms of bacterial </w:t>
      </w:r>
      <w:proofErr w:type="spellStart"/>
      <w:proofErr w:type="gramStart"/>
      <w:r w:rsidRPr="008665F4">
        <w:rPr>
          <w:rFonts w:cs="Arial"/>
          <w:i/>
        </w:rPr>
        <w:t>cell:cell</w:t>
      </w:r>
      <w:proofErr w:type="spellEnd"/>
      <w:proofErr w:type="gramEnd"/>
      <w:r w:rsidRPr="008665F4">
        <w:rPr>
          <w:rFonts w:cs="Arial"/>
          <w:i/>
        </w:rPr>
        <w:t xml:space="preserve"> communication and signaling pathways.</w:t>
      </w:r>
    </w:p>
    <w:p w14:paraId="45B30745" w14:textId="77777777" w:rsidR="008665F4" w:rsidRPr="008665F4" w:rsidRDefault="008665F4" w:rsidP="008665F4">
      <w:pPr>
        <w:rPr>
          <w:rFonts w:cs="Arial"/>
          <w:i/>
        </w:rPr>
      </w:pPr>
    </w:p>
    <w:p w14:paraId="002AC8F2" w14:textId="77777777" w:rsidR="008665F4" w:rsidRPr="008665F4" w:rsidRDefault="008665F4" w:rsidP="008665F4">
      <w:pPr>
        <w:pStyle w:val="ListParagraph"/>
        <w:numPr>
          <w:ilvl w:val="0"/>
          <w:numId w:val="4"/>
        </w:numPr>
        <w:rPr>
          <w:rFonts w:cs="Arial"/>
        </w:rPr>
      </w:pPr>
      <w:r w:rsidRPr="008665F4">
        <w:rPr>
          <w:rFonts w:cs="Arial"/>
        </w:rPr>
        <w:t>Molecular dissection of chemotaxis (signaling via methylation and phosphorylation)</w:t>
      </w:r>
    </w:p>
    <w:p w14:paraId="046BAE74" w14:textId="77777777" w:rsidR="008665F4" w:rsidRPr="008665F4" w:rsidRDefault="008665F4" w:rsidP="008665F4">
      <w:pPr>
        <w:pStyle w:val="ListParagraph"/>
        <w:numPr>
          <w:ilvl w:val="0"/>
          <w:numId w:val="4"/>
        </w:numPr>
        <w:rPr>
          <w:rFonts w:cs="Arial"/>
        </w:rPr>
      </w:pPr>
      <w:r w:rsidRPr="008665F4">
        <w:rPr>
          <w:rFonts w:cs="Arial"/>
        </w:rPr>
        <w:t>Two component regulators (</w:t>
      </w:r>
      <w:proofErr w:type="spellStart"/>
      <w:r w:rsidRPr="008665F4">
        <w:rPr>
          <w:rFonts w:cs="Arial"/>
        </w:rPr>
        <w:t>PhoPQ</w:t>
      </w:r>
      <w:proofErr w:type="spellEnd"/>
      <w:r w:rsidRPr="008665F4">
        <w:rPr>
          <w:rFonts w:cs="Arial"/>
        </w:rPr>
        <w:t xml:space="preserve">, </w:t>
      </w:r>
      <w:proofErr w:type="spellStart"/>
      <w:r w:rsidRPr="008665F4">
        <w:rPr>
          <w:rFonts w:cs="Arial"/>
        </w:rPr>
        <w:t>EnvZ</w:t>
      </w:r>
      <w:proofErr w:type="spellEnd"/>
      <w:r w:rsidRPr="008665F4">
        <w:rPr>
          <w:rFonts w:cs="Arial"/>
        </w:rPr>
        <w:t>/</w:t>
      </w:r>
      <w:proofErr w:type="spellStart"/>
      <w:r w:rsidRPr="008665F4">
        <w:rPr>
          <w:rFonts w:cs="Arial"/>
        </w:rPr>
        <w:t>OmpR</w:t>
      </w:r>
      <w:proofErr w:type="spellEnd"/>
      <w:r w:rsidRPr="008665F4">
        <w:rPr>
          <w:rFonts w:cs="Arial"/>
        </w:rPr>
        <w:t>, integrated pathways)</w:t>
      </w:r>
    </w:p>
    <w:p w14:paraId="32105702" w14:textId="77777777" w:rsidR="008665F4" w:rsidRPr="008665F4" w:rsidRDefault="008665F4" w:rsidP="008665F4">
      <w:pPr>
        <w:pStyle w:val="ListParagraph"/>
        <w:numPr>
          <w:ilvl w:val="0"/>
          <w:numId w:val="4"/>
        </w:numPr>
        <w:rPr>
          <w:rFonts w:cs="Arial"/>
        </w:rPr>
      </w:pPr>
      <w:r w:rsidRPr="008665F4">
        <w:rPr>
          <w:rFonts w:cs="Arial"/>
        </w:rPr>
        <w:t>DNA uptake systems/conjugation</w:t>
      </w:r>
    </w:p>
    <w:p w14:paraId="37E6B8C9" w14:textId="77777777" w:rsidR="008665F4" w:rsidRPr="008665F4" w:rsidRDefault="008665F4" w:rsidP="008665F4">
      <w:pPr>
        <w:pStyle w:val="ListParagraph"/>
        <w:numPr>
          <w:ilvl w:val="0"/>
          <w:numId w:val="4"/>
        </w:numPr>
        <w:rPr>
          <w:rFonts w:cs="Arial"/>
        </w:rPr>
      </w:pPr>
      <w:r w:rsidRPr="008665F4">
        <w:rPr>
          <w:rFonts w:cs="Arial"/>
        </w:rPr>
        <w:t>Toxin-antitoxin systems</w:t>
      </w:r>
    </w:p>
    <w:p w14:paraId="294BCE80" w14:textId="77777777" w:rsidR="008665F4" w:rsidRPr="008665F4" w:rsidRDefault="008665F4" w:rsidP="008665F4">
      <w:pPr>
        <w:rPr>
          <w:rFonts w:cs="Arial"/>
        </w:rPr>
      </w:pPr>
    </w:p>
    <w:p w14:paraId="5C3DCDA1" w14:textId="77777777" w:rsidR="008665F4" w:rsidRPr="008665F4" w:rsidRDefault="008665F4" w:rsidP="008665F4">
      <w:pPr>
        <w:rPr>
          <w:rFonts w:cs="Arial"/>
          <w:b/>
        </w:rPr>
      </w:pPr>
      <w:r w:rsidRPr="008665F4">
        <w:rPr>
          <w:rFonts w:cs="Arial"/>
          <w:b/>
        </w:rPr>
        <w:t>Unit II: Central Dogma at the molecular level</w:t>
      </w:r>
    </w:p>
    <w:p w14:paraId="4A067E1E" w14:textId="77777777" w:rsidR="008665F4" w:rsidRPr="008665F4" w:rsidRDefault="008665F4" w:rsidP="008665F4">
      <w:pPr>
        <w:rPr>
          <w:rFonts w:cs="Arial"/>
          <w:b/>
        </w:rPr>
      </w:pPr>
    </w:p>
    <w:p w14:paraId="76211C90" w14:textId="77777777" w:rsidR="008665F4" w:rsidRPr="008665F4" w:rsidRDefault="008665F4" w:rsidP="008665F4">
      <w:pPr>
        <w:rPr>
          <w:rFonts w:cs="Arial"/>
          <w:i/>
        </w:rPr>
      </w:pPr>
      <w:r w:rsidRPr="008665F4">
        <w:rPr>
          <w:rFonts w:cs="Arial"/>
          <w:i/>
        </w:rPr>
        <w:t>By the end of Unit II, students should understand the molecular systems that drive replication, transcription, and translation; the ability to understand how these systems are regulated should allow each student to understand the phenotypic outcome of a given signaling condition.</w:t>
      </w:r>
    </w:p>
    <w:p w14:paraId="6F51AE14" w14:textId="77777777" w:rsidR="008665F4" w:rsidRPr="008665F4" w:rsidRDefault="008665F4" w:rsidP="008665F4">
      <w:pPr>
        <w:rPr>
          <w:rFonts w:cs="Arial"/>
          <w:i/>
        </w:rPr>
      </w:pPr>
    </w:p>
    <w:p w14:paraId="2B903984" w14:textId="77777777" w:rsidR="008665F4" w:rsidRPr="008665F4" w:rsidRDefault="008665F4" w:rsidP="008665F4">
      <w:pPr>
        <w:rPr>
          <w:rFonts w:cs="Arial"/>
          <w:i/>
        </w:rPr>
      </w:pPr>
      <w:r w:rsidRPr="008665F4">
        <w:rPr>
          <w:rFonts w:cs="Arial"/>
          <w:i/>
        </w:rPr>
        <w:t>Students will understand the processes which initiate, drive, and terminate genomic replication.</w:t>
      </w:r>
    </w:p>
    <w:p w14:paraId="56FB475B" w14:textId="77777777" w:rsidR="008665F4" w:rsidRPr="008665F4" w:rsidRDefault="008665F4" w:rsidP="008665F4">
      <w:pPr>
        <w:rPr>
          <w:rFonts w:cs="Arial"/>
          <w:i/>
        </w:rPr>
      </w:pPr>
    </w:p>
    <w:p w14:paraId="00ED5610" w14:textId="77777777" w:rsidR="008665F4" w:rsidRPr="008665F4" w:rsidRDefault="008665F4" w:rsidP="008665F4">
      <w:pPr>
        <w:pStyle w:val="ListParagraph"/>
        <w:numPr>
          <w:ilvl w:val="0"/>
          <w:numId w:val="5"/>
        </w:numPr>
        <w:rPr>
          <w:rFonts w:cs="Arial"/>
          <w:i/>
        </w:rPr>
      </w:pPr>
      <w:proofErr w:type="spellStart"/>
      <w:r w:rsidRPr="008665F4">
        <w:rPr>
          <w:rFonts w:cs="Arial"/>
        </w:rPr>
        <w:t>DnaA</w:t>
      </w:r>
      <w:proofErr w:type="spellEnd"/>
      <w:r w:rsidRPr="008665F4">
        <w:rPr>
          <w:rFonts w:cs="Arial"/>
        </w:rPr>
        <w:t xml:space="preserve"> function, DNA polymerase complex formation and subunit activities</w:t>
      </w:r>
    </w:p>
    <w:p w14:paraId="2C0B5BC9" w14:textId="77777777" w:rsidR="008665F4" w:rsidRPr="008665F4" w:rsidRDefault="008665F4" w:rsidP="008665F4">
      <w:pPr>
        <w:pStyle w:val="ListParagraph"/>
        <w:numPr>
          <w:ilvl w:val="0"/>
          <w:numId w:val="5"/>
        </w:numPr>
        <w:rPr>
          <w:rFonts w:cs="Arial"/>
          <w:i/>
        </w:rPr>
      </w:pPr>
      <w:r w:rsidRPr="008665F4">
        <w:rPr>
          <w:rFonts w:cs="Arial"/>
        </w:rPr>
        <w:t>Ter-dependent termination of replication</w:t>
      </w:r>
    </w:p>
    <w:p w14:paraId="4ACCFBCC" w14:textId="77777777" w:rsidR="008665F4" w:rsidRPr="008665F4" w:rsidRDefault="008665F4" w:rsidP="008665F4">
      <w:pPr>
        <w:rPr>
          <w:rFonts w:cs="Arial"/>
          <w:i/>
        </w:rPr>
      </w:pPr>
    </w:p>
    <w:p w14:paraId="34E494EB" w14:textId="77777777" w:rsidR="008665F4" w:rsidRPr="008665F4" w:rsidRDefault="008665F4" w:rsidP="008665F4">
      <w:pPr>
        <w:rPr>
          <w:rFonts w:cs="Arial"/>
          <w:i/>
        </w:rPr>
      </w:pPr>
      <w:r w:rsidRPr="008665F4">
        <w:rPr>
          <w:rFonts w:cs="Arial"/>
          <w:i/>
        </w:rPr>
        <w:t>Students will understand the processes which initiate, drive, regulate, and terminate transcription.</w:t>
      </w:r>
    </w:p>
    <w:p w14:paraId="4031C866" w14:textId="77777777" w:rsidR="008665F4" w:rsidRPr="008665F4" w:rsidRDefault="008665F4" w:rsidP="008665F4">
      <w:pPr>
        <w:rPr>
          <w:rFonts w:cs="Arial"/>
          <w:i/>
        </w:rPr>
      </w:pPr>
    </w:p>
    <w:p w14:paraId="50E1C067" w14:textId="77777777" w:rsidR="008665F4" w:rsidRPr="008665F4" w:rsidRDefault="008665F4" w:rsidP="008665F4">
      <w:pPr>
        <w:pStyle w:val="ListParagraph"/>
        <w:numPr>
          <w:ilvl w:val="0"/>
          <w:numId w:val="6"/>
        </w:numPr>
        <w:rPr>
          <w:rFonts w:cs="Arial"/>
          <w:i/>
        </w:rPr>
      </w:pPr>
      <w:r w:rsidRPr="008665F4">
        <w:rPr>
          <w:rFonts w:cs="Arial"/>
        </w:rPr>
        <w:t>RNAP subunit makeup, individual activities, functions of sigma factor</w:t>
      </w:r>
    </w:p>
    <w:p w14:paraId="7F9F16F7" w14:textId="77777777" w:rsidR="008665F4" w:rsidRPr="008665F4" w:rsidRDefault="008665F4" w:rsidP="008665F4">
      <w:pPr>
        <w:pStyle w:val="ListParagraph"/>
        <w:numPr>
          <w:ilvl w:val="0"/>
          <w:numId w:val="6"/>
        </w:numPr>
        <w:rPr>
          <w:rFonts w:cs="Arial"/>
          <w:i/>
        </w:rPr>
      </w:pPr>
      <w:r w:rsidRPr="008665F4">
        <w:rPr>
          <w:rFonts w:cs="Arial"/>
        </w:rPr>
        <w:t>Rho-dependent and -independent transcriptional termination</w:t>
      </w:r>
    </w:p>
    <w:p w14:paraId="154102FC" w14:textId="77777777" w:rsidR="008665F4" w:rsidRPr="008665F4" w:rsidRDefault="008665F4" w:rsidP="008665F4">
      <w:pPr>
        <w:pStyle w:val="ListParagraph"/>
        <w:numPr>
          <w:ilvl w:val="0"/>
          <w:numId w:val="6"/>
        </w:numPr>
        <w:rPr>
          <w:rFonts w:cs="Arial"/>
          <w:i/>
        </w:rPr>
      </w:pPr>
      <w:r w:rsidRPr="008665F4">
        <w:rPr>
          <w:rFonts w:cs="Arial"/>
        </w:rPr>
        <w:t>Transcription is regulated by a number of transcriptional regulators (</w:t>
      </w:r>
      <w:proofErr w:type="spellStart"/>
      <w:r w:rsidRPr="008665F4">
        <w:rPr>
          <w:rFonts w:cs="Arial"/>
        </w:rPr>
        <w:t>LacI</w:t>
      </w:r>
      <w:proofErr w:type="spellEnd"/>
      <w:r w:rsidRPr="008665F4">
        <w:rPr>
          <w:rFonts w:cs="Arial"/>
        </w:rPr>
        <w:t xml:space="preserve">, </w:t>
      </w:r>
      <w:proofErr w:type="spellStart"/>
      <w:r w:rsidRPr="008665F4">
        <w:rPr>
          <w:rFonts w:cs="Arial"/>
        </w:rPr>
        <w:t>AraC</w:t>
      </w:r>
      <w:proofErr w:type="spellEnd"/>
      <w:r w:rsidRPr="008665F4">
        <w:rPr>
          <w:rFonts w:cs="Arial"/>
        </w:rPr>
        <w:t xml:space="preserve">, </w:t>
      </w:r>
      <w:proofErr w:type="spellStart"/>
      <w:r w:rsidRPr="008665F4">
        <w:rPr>
          <w:rFonts w:cs="Arial"/>
        </w:rPr>
        <w:t>TrpR</w:t>
      </w:r>
      <w:proofErr w:type="spellEnd"/>
      <w:r w:rsidRPr="008665F4">
        <w:rPr>
          <w:rFonts w:cs="Arial"/>
        </w:rPr>
        <w:t>), transcriptional pausing (</w:t>
      </w:r>
      <w:proofErr w:type="spellStart"/>
      <w:r w:rsidRPr="008665F4">
        <w:rPr>
          <w:rFonts w:cs="Arial"/>
        </w:rPr>
        <w:t>NusA</w:t>
      </w:r>
      <w:proofErr w:type="spellEnd"/>
      <w:r w:rsidRPr="008665F4">
        <w:rPr>
          <w:rFonts w:cs="Arial"/>
        </w:rPr>
        <w:t xml:space="preserve">, </w:t>
      </w:r>
      <w:proofErr w:type="spellStart"/>
      <w:r w:rsidRPr="008665F4">
        <w:rPr>
          <w:rFonts w:cs="Arial"/>
        </w:rPr>
        <w:t>NusG</w:t>
      </w:r>
      <w:proofErr w:type="spellEnd"/>
      <w:r w:rsidRPr="008665F4">
        <w:rPr>
          <w:rFonts w:cs="Arial"/>
        </w:rPr>
        <w:t>, RNA stem-loop functions), and small RNA molecules</w:t>
      </w:r>
    </w:p>
    <w:p w14:paraId="7A1C3DC2" w14:textId="77777777" w:rsidR="008665F4" w:rsidRPr="008665F4" w:rsidRDefault="008665F4" w:rsidP="008665F4">
      <w:pPr>
        <w:pStyle w:val="ListParagraph"/>
        <w:numPr>
          <w:ilvl w:val="0"/>
          <w:numId w:val="6"/>
        </w:numPr>
        <w:rPr>
          <w:rFonts w:cs="Arial"/>
          <w:i/>
        </w:rPr>
      </w:pPr>
      <w:r w:rsidRPr="008665F4">
        <w:rPr>
          <w:rFonts w:cs="Arial"/>
        </w:rPr>
        <w:t>Riboswitches</w:t>
      </w:r>
    </w:p>
    <w:p w14:paraId="287A2EDE" w14:textId="77777777" w:rsidR="008665F4" w:rsidRPr="008665F4" w:rsidRDefault="008665F4" w:rsidP="008665F4">
      <w:pPr>
        <w:rPr>
          <w:rFonts w:cs="Arial"/>
          <w:i/>
        </w:rPr>
      </w:pPr>
    </w:p>
    <w:p w14:paraId="7264C9FF" w14:textId="77777777" w:rsidR="008665F4" w:rsidRPr="008665F4" w:rsidRDefault="008665F4" w:rsidP="008665F4">
      <w:pPr>
        <w:rPr>
          <w:rFonts w:cs="Arial"/>
          <w:i/>
        </w:rPr>
      </w:pPr>
      <w:r w:rsidRPr="008665F4">
        <w:rPr>
          <w:rFonts w:cs="Arial"/>
          <w:i/>
        </w:rPr>
        <w:lastRenderedPageBreak/>
        <w:t>Students will understand the processes which initiate, drive, regulate, and terminate translation.</w:t>
      </w:r>
    </w:p>
    <w:p w14:paraId="1FA62331" w14:textId="77777777" w:rsidR="008665F4" w:rsidRPr="008665F4" w:rsidRDefault="008665F4" w:rsidP="008665F4">
      <w:pPr>
        <w:rPr>
          <w:rFonts w:cs="Arial"/>
          <w:i/>
        </w:rPr>
      </w:pPr>
    </w:p>
    <w:p w14:paraId="43A0C37A" w14:textId="77777777" w:rsidR="008665F4" w:rsidRPr="008665F4" w:rsidRDefault="008665F4" w:rsidP="008665F4">
      <w:pPr>
        <w:pStyle w:val="ListParagraph"/>
        <w:numPr>
          <w:ilvl w:val="0"/>
          <w:numId w:val="7"/>
        </w:numPr>
        <w:rPr>
          <w:rFonts w:cs="Arial"/>
        </w:rPr>
      </w:pPr>
      <w:r w:rsidRPr="008665F4">
        <w:rPr>
          <w:rFonts w:cs="Arial"/>
        </w:rPr>
        <w:t>General ribosome structure, function, and biochemical activity</w:t>
      </w:r>
    </w:p>
    <w:p w14:paraId="0977ED66" w14:textId="77777777" w:rsidR="008665F4" w:rsidRPr="008665F4" w:rsidRDefault="008665F4" w:rsidP="008665F4">
      <w:pPr>
        <w:pStyle w:val="ListParagraph"/>
        <w:numPr>
          <w:ilvl w:val="0"/>
          <w:numId w:val="7"/>
        </w:numPr>
        <w:rPr>
          <w:rFonts w:cs="Arial"/>
        </w:rPr>
      </w:pPr>
      <w:r w:rsidRPr="008665F4">
        <w:rPr>
          <w:rFonts w:cs="Arial"/>
        </w:rPr>
        <w:t>Translational regulation via attenuation, stringent response, and small RNAs</w:t>
      </w:r>
    </w:p>
    <w:p w14:paraId="58DB1FDF" w14:textId="77777777" w:rsidR="008665F4" w:rsidRPr="008665F4" w:rsidRDefault="008665F4" w:rsidP="008665F4">
      <w:pPr>
        <w:rPr>
          <w:rFonts w:cs="Arial"/>
          <w:i/>
        </w:rPr>
      </w:pPr>
    </w:p>
    <w:p w14:paraId="6962823B" w14:textId="77777777" w:rsidR="008665F4" w:rsidRPr="008665F4" w:rsidRDefault="008665F4" w:rsidP="008665F4">
      <w:pPr>
        <w:rPr>
          <w:rFonts w:cs="Arial"/>
          <w:i/>
        </w:rPr>
      </w:pPr>
      <w:r w:rsidRPr="008665F4">
        <w:rPr>
          <w:rFonts w:cs="Arial"/>
          <w:i/>
        </w:rPr>
        <w:t>Students will be able to understand the post-translational fates of some proteins in the cell.</w:t>
      </w:r>
    </w:p>
    <w:p w14:paraId="032AF192" w14:textId="77777777" w:rsidR="008665F4" w:rsidRPr="008665F4" w:rsidRDefault="008665F4" w:rsidP="008665F4">
      <w:pPr>
        <w:rPr>
          <w:rFonts w:cs="Arial"/>
          <w:i/>
        </w:rPr>
      </w:pPr>
    </w:p>
    <w:p w14:paraId="2182233E" w14:textId="77777777" w:rsidR="008665F4" w:rsidRPr="008665F4" w:rsidRDefault="008665F4" w:rsidP="008665F4">
      <w:pPr>
        <w:pStyle w:val="ListParagraph"/>
        <w:numPr>
          <w:ilvl w:val="0"/>
          <w:numId w:val="8"/>
        </w:numPr>
        <w:rPr>
          <w:rFonts w:cs="Arial"/>
          <w:i/>
        </w:rPr>
      </w:pPr>
      <w:r w:rsidRPr="008665F4">
        <w:rPr>
          <w:rFonts w:cs="Arial"/>
        </w:rPr>
        <w:t>Protein folding pathways, degradation pathways, and chaperone activity (</w:t>
      </w:r>
      <w:proofErr w:type="spellStart"/>
      <w:r w:rsidRPr="008665F4">
        <w:rPr>
          <w:rFonts w:cs="Arial"/>
        </w:rPr>
        <w:t>GroEL</w:t>
      </w:r>
      <w:proofErr w:type="spellEnd"/>
      <w:r w:rsidRPr="008665F4">
        <w:rPr>
          <w:rFonts w:cs="Arial"/>
        </w:rPr>
        <w:t xml:space="preserve">/ES, </w:t>
      </w:r>
      <w:proofErr w:type="spellStart"/>
      <w:r w:rsidRPr="008665F4">
        <w:rPr>
          <w:rFonts w:cs="Arial"/>
        </w:rPr>
        <w:t>DnaJ</w:t>
      </w:r>
      <w:proofErr w:type="spellEnd"/>
      <w:r w:rsidRPr="008665F4">
        <w:rPr>
          <w:rFonts w:cs="Arial"/>
        </w:rPr>
        <w:t>/K/</w:t>
      </w:r>
      <w:proofErr w:type="spellStart"/>
      <w:r w:rsidRPr="008665F4">
        <w:rPr>
          <w:rFonts w:cs="Arial"/>
        </w:rPr>
        <w:t>GrpE</w:t>
      </w:r>
      <w:proofErr w:type="spellEnd"/>
      <w:r w:rsidRPr="008665F4">
        <w:rPr>
          <w:rFonts w:cs="Arial"/>
        </w:rPr>
        <w:t xml:space="preserve">, </w:t>
      </w:r>
      <w:proofErr w:type="spellStart"/>
      <w:r w:rsidRPr="008665F4">
        <w:rPr>
          <w:rFonts w:cs="Arial"/>
        </w:rPr>
        <w:t>ClpXP</w:t>
      </w:r>
      <w:proofErr w:type="spellEnd"/>
      <w:r w:rsidRPr="008665F4">
        <w:rPr>
          <w:rFonts w:cs="Arial"/>
        </w:rPr>
        <w:t xml:space="preserve">, </w:t>
      </w:r>
      <w:proofErr w:type="spellStart"/>
      <w:r w:rsidRPr="008665F4">
        <w:rPr>
          <w:rFonts w:cs="Arial"/>
        </w:rPr>
        <w:t>tmRNA</w:t>
      </w:r>
      <w:proofErr w:type="spellEnd"/>
      <w:r w:rsidRPr="008665F4">
        <w:rPr>
          <w:rFonts w:cs="Arial"/>
        </w:rPr>
        <w:t>)</w:t>
      </w:r>
    </w:p>
    <w:p w14:paraId="188EB3A8" w14:textId="77777777" w:rsidR="008665F4" w:rsidRPr="008665F4" w:rsidRDefault="008665F4" w:rsidP="008665F4">
      <w:pPr>
        <w:pStyle w:val="ListParagraph"/>
        <w:numPr>
          <w:ilvl w:val="0"/>
          <w:numId w:val="8"/>
        </w:numPr>
        <w:rPr>
          <w:rFonts w:cs="Arial"/>
          <w:i/>
        </w:rPr>
      </w:pPr>
      <w:r w:rsidRPr="008665F4">
        <w:rPr>
          <w:rFonts w:cs="Arial"/>
        </w:rPr>
        <w:t>Protein secretion (</w:t>
      </w:r>
      <w:proofErr w:type="spellStart"/>
      <w:r w:rsidRPr="008665F4">
        <w:rPr>
          <w:rFonts w:cs="Arial"/>
        </w:rPr>
        <w:t>SecYEG</w:t>
      </w:r>
      <w:proofErr w:type="spellEnd"/>
      <w:r w:rsidRPr="008665F4">
        <w:rPr>
          <w:rFonts w:cs="Arial"/>
        </w:rPr>
        <w:t>, Tat, numbered secretion system highlights (1-7)).</w:t>
      </w:r>
    </w:p>
    <w:p w14:paraId="358EEC01" w14:textId="77777777" w:rsidR="008665F4" w:rsidRPr="008665F4" w:rsidRDefault="008665F4" w:rsidP="008665F4">
      <w:pPr>
        <w:rPr>
          <w:rFonts w:cs="Arial"/>
          <w:i/>
        </w:rPr>
      </w:pPr>
    </w:p>
    <w:p w14:paraId="4700B024" w14:textId="77777777" w:rsidR="008665F4" w:rsidRPr="008665F4" w:rsidRDefault="008665F4" w:rsidP="008665F4">
      <w:pPr>
        <w:rPr>
          <w:rFonts w:cs="Arial"/>
          <w:i/>
        </w:rPr>
      </w:pPr>
      <w:r w:rsidRPr="008665F4">
        <w:rPr>
          <w:rFonts w:cs="Arial"/>
          <w:i/>
        </w:rPr>
        <w:t xml:space="preserve">Students will be able to dissect the lifecycle and lytic/lysogenic decision-making process of bacteriophage </w:t>
      </w:r>
      <w:r w:rsidRPr="008665F4">
        <w:rPr>
          <w:rFonts w:cs="Arial"/>
          <w:i/>
          <w:lang w:val="el-GR"/>
        </w:rPr>
        <w:t>λ</w:t>
      </w:r>
      <w:r w:rsidRPr="008665F4">
        <w:rPr>
          <w:rFonts w:cs="Arial"/>
          <w:i/>
        </w:rPr>
        <w:t xml:space="preserve"> by using all of the information given above.</w:t>
      </w:r>
    </w:p>
    <w:p w14:paraId="00721D63" w14:textId="77777777" w:rsidR="008665F4" w:rsidRPr="008665F4" w:rsidRDefault="008665F4" w:rsidP="008665F4">
      <w:pPr>
        <w:rPr>
          <w:rFonts w:cs="Arial"/>
          <w:i/>
        </w:rPr>
      </w:pPr>
    </w:p>
    <w:p w14:paraId="34DE1D4E" w14:textId="77777777" w:rsidR="008665F4" w:rsidRPr="008665F4" w:rsidRDefault="008665F4" w:rsidP="008665F4">
      <w:pPr>
        <w:rPr>
          <w:rFonts w:cs="Arial"/>
          <w:b/>
        </w:rPr>
      </w:pPr>
      <w:r w:rsidRPr="008665F4">
        <w:rPr>
          <w:rFonts w:cs="Arial"/>
          <w:b/>
        </w:rPr>
        <w:t>Unit III:  Bacterial diversity</w:t>
      </w:r>
    </w:p>
    <w:p w14:paraId="481717F9" w14:textId="77777777" w:rsidR="008665F4" w:rsidRPr="008665F4" w:rsidRDefault="008665F4" w:rsidP="008665F4">
      <w:pPr>
        <w:rPr>
          <w:rFonts w:cs="Arial"/>
          <w:b/>
        </w:rPr>
      </w:pPr>
    </w:p>
    <w:p w14:paraId="38FF7A3F" w14:textId="77777777" w:rsidR="008665F4" w:rsidRPr="008665F4" w:rsidRDefault="008665F4" w:rsidP="008665F4">
      <w:pPr>
        <w:rPr>
          <w:rFonts w:cs="Arial"/>
          <w:i/>
        </w:rPr>
      </w:pPr>
      <w:r w:rsidRPr="008665F4">
        <w:rPr>
          <w:rFonts w:cs="Arial"/>
          <w:i/>
        </w:rPr>
        <w:t>By the end of this unit, students should understand about the phylogenetic and taxonomic classification of bacteria and archaea, and students should be able to recall some of the distinct characteristics of specific prokaryotic organisms highlighted in this section and match them accordingly.</w:t>
      </w:r>
    </w:p>
    <w:p w14:paraId="3C018952" w14:textId="77777777" w:rsidR="008665F4" w:rsidRPr="008665F4" w:rsidRDefault="008665F4" w:rsidP="008665F4">
      <w:pPr>
        <w:rPr>
          <w:rFonts w:cs="Arial"/>
          <w:i/>
        </w:rPr>
      </w:pPr>
    </w:p>
    <w:p w14:paraId="21FDDEBD" w14:textId="77777777" w:rsidR="008665F4" w:rsidRPr="008665F4" w:rsidRDefault="008665F4" w:rsidP="008665F4">
      <w:pPr>
        <w:rPr>
          <w:rFonts w:cs="Arial"/>
        </w:rPr>
      </w:pPr>
      <w:r w:rsidRPr="008665F4">
        <w:rPr>
          <w:rFonts w:cs="Arial"/>
        </w:rPr>
        <w:t>Various representative bacteria and archaea are highlighted throughout this section and identified via its appropriate phylogenetic group.  Specific molecular, biochemical and physiological attributes of a particular organism is highlighted.  Molecular biology and physiology of archaea are directly compared/contrasted to “typical” bacterial pathways.</w:t>
      </w:r>
    </w:p>
    <w:p w14:paraId="2356CB3C" w14:textId="77777777" w:rsidR="008665F4" w:rsidRPr="008665F4" w:rsidRDefault="008665F4" w:rsidP="008665F4">
      <w:pPr>
        <w:rPr>
          <w:rFonts w:cs="Arial"/>
        </w:rPr>
      </w:pPr>
    </w:p>
    <w:p w14:paraId="53BF76B7" w14:textId="77777777" w:rsidR="008665F4" w:rsidRPr="008665F4" w:rsidRDefault="008665F4" w:rsidP="008665F4">
      <w:pPr>
        <w:rPr>
          <w:rFonts w:cs="Arial"/>
          <w:b/>
        </w:rPr>
      </w:pPr>
      <w:r w:rsidRPr="008665F4">
        <w:rPr>
          <w:rFonts w:cs="Arial"/>
          <w:b/>
        </w:rPr>
        <w:t>Overarching topic: Primary literature</w:t>
      </w:r>
    </w:p>
    <w:p w14:paraId="733A33FA" w14:textId="77777777" w:rsidR="008665F4" w:rsidRPr="008665F4" w:rsidRDefault="008665F4" w:rsidP="008665F4">
      <w:pPr>
        <w:rPr>
          <w:rFonts w:cs="Arial"/>
          <w:b/>
        </w:rPr>
      </w:pPr>
    </w:p>
    <w:p w14:paraId="1AE8F46F" w14:textId="77777777" w:rsidR="008665F4" w:rsidRPr="008665F4" w:rsidRDefault="008665F4" w:rsidP="008665F4">
      <w:pPr>
        <w:rPr>
          <w:rFonts w:cs="Arial"/>
        </w:rPr>
      </w:pPr>
      <w:r w:rsidRPr="008665F4">
        <w:rPr>
          <w:rFonts w:cs="Arial"/>
          <w:i/>
        </w:rPr>
        <w:t>Students will begin to effectively interpret published data and understand how the outcomes of experiments support or disprove stated hypotheses.  Furthermore, some basic knowledge of scientific techniques used will be examined.</w:t>
      </w:r>
    </w:p>
    <w:p w14:paraId="75F60E7A" w14:textId="77777777" w:rsidR="008665F4" w:rsidRPr="008665F4" w:rsidRDefault="008665F4" w:rsidP="008665F4">
      <w:pPr>
        <w:rPr>
          <w:rFonts w:cs="Arial"/>
        </w:rPr>
      </w:pPr>
    </w:p>
    <w:p w14:paraId="78C89EBC" w14:textId="484972DC" w:rsidR="008B1454" w:rsidRPr="008665F4" w:rsidRDefault="008665F4" w:rsidP="00B66CED">
      <w:pPr>
        <w:rPr>
          <w:rFonts w:cs="Arial"/>
        </w:rPr>
      </w:pPr>
      <w:r w:rsidRPr="008665F4">
        <w:rPr>
          <w:rFonts w:cs="Arial"/>
        </w:rPr>
        <w:t>In a typical semester, nine papers are read by students on their own.  In the classroom, the paper is presented by the instructor “journal club” style, and salient points of the work are highlighted, with a specific focus on helping students identify the hypothesis and conclusions of the work.  Specific experimental techniques used in the work are presented to the class, and students will be assessed on their knowledge of the applications of those techniques to address a biological problem.  Importantly, this course seeks to enhance a student’s ability to read the scientific literature with a critical eye and to feel comfortable with using published data to enhance their own scientific knowledge base</w:t>
      </w:r>
      <w:r>
        <w:rPr>
          <w:rFonts w:cs="Arial"/>
        </w:rPr>
        <w:t>.</w:t>
      </w:r>
    </w:p>
    <w:p w14:paraId="7EBFB2F1" w14:textId="2CDE4209" w:rsidR="00B66CED" w:rsidRPr="0047051C" w:rsidRDefault="00B66CED" w:rsidP="00B66CED">
      <w:r>
        <w:rPr>
          <w:b/>
        </w:rPr>
        <w:lastRenderedPageBreak/>
        <w:t xml:space="preserve">Office Hours:  </w:t>
      </w:r>
      <w:r>
        <w:t>Talk to me or send me an email, and we’ll get something set up!</w:t>
      </w:r>
      <w:r w:rsidR="0047051C">
        <w:t xml:space="preserve"> </w:t>
      </w:r>
      <w:r w:rsidR="00A5004A">
        <w:t>These meetings can be held in either an in-person or Zoom format.</w:t>
      </w:r>
    </w:p>
    <w:p w14:paraId="1B40C5A9" w14:textId="77777777" w:rsidR="00B66CED" w:rsidRDefault="00B66CED" w:rsidP="00B66CED">
      <w:pPr>
        <w:ind w:firstLine="232"/>
      </w:pPr>
    </w:p>
    <w:p w14:paraId="1EEB9806" w14:textId="57A625FF" w:rsidR="00B66CED" w:rsidRDefault="00DA36BF" w:rsidP="00B66CED">
      <w:r>
        <w:rPr>
          <w:b/>
        </w:rPr>
        <w:t>Suggested</w:t>
      </w:r>
      <w:r w:rsidR="00B66CED">
        <w:rPr>
          <w:b/>
        </w:rPr>
        <w:t xml:space="preserve"> Text: </w:t>
      </w:r>
      <w:r w:rsidR="00B66CED">
        <w:rPr>
          <w:i/>
        </w:rPr>
        <w:t>Microbiology</w:t>
      </w:r>
      <w:r w:rsidR="00722AF4">
        <w:rPr>
          <w:i/>
        </w:rPr>
        <w:t>: An Evolving Science</w:t>
      </w:r>
      <w:r w:rsidR="00B66CED">
        <w:t xml:space="preserve">, </w:t>
      </w:r>
      <w:r w:rsidR="00F47605">
        <w:t>4</w:t>
      </w:r>
      <w:r w:rsidR="00F47605">
        <w:rPr>
          <w:vertAlign w:val="superscript"/>
        </w:rPr>
        <w:t>th</w:t>
      </w:r>
      <w:r w:rsidR="00B66CED">
        <w:t xml:space="preserve"> ed. by </w:t>
      </w:r>
      <w:proofErr w:type="spellStart"/>
      <w:r w:rsidR="00722AF4">
        <w:t>Slonczewski</w:t>
      </w:r>
      <w:proofErr w:type="spellEnd"/>
      <w:r w:rsidR="00722AF4">
        <w:t xml:space="preserve"> and Foster,</w:t>
      </w:r>
      <w:r w:rsidR="00B66CED">
        <w:t xml:space="preserve"> </w:t>
      </w:r>
      <w:r w:rsidR="00722AF4">
        <w:t>W. W. Norton</w:t>
      </w:r>
      <w:r w:rsidR="00B66CED">
        <w:t xml:space="preserve"> Publishing.</w:t>
      </w:r>
      <w:r w:rsidR="00D92EC4">
        <w:t xml:space="preserve"> (5</w:t>
      </w:r>
      <w:r w:rsidR="00D92EC4" w:rsidRPr="00D92EC4">
        <w:rPr>
          <w:vertAlign w:val="superscript"/>
        </w:rPr>
        <w:t>th</w:t>
      </w:r>
      <w:r w:rsidR="00D92EC4">
        <w:t xml:space="preserve"> ed. also works)</w:t>
      </w:r>
    </w:p>
    <w:p w14:paraId="4F33D76D" w14:textId="77777777" w:rsidR="00B66CED" w:rsidRDefault="00B66CED" w:rsidP="00B66CED"/>
    <w:p w14:paraId="0967B380" w14:textId="42B35E98" w:rsidR="00B66CED" w:rsidRPr="00131486" w:rsidRDefault="00B66CED" w:rsidP="00B66CED">
      <w:r>
        <w:rPr>
          <w:b/>
        </w:rPr>
        <w:t xml:space="preserve">Supplements:  </w:t>
      </w:r>
      <w:r>
        <w:t xml:space="preserve">Information will be presented from outside the required text, and will be provided on </w:t>
      </w:r>
      <w:proofErr w:type="spellStart"/>
      <w:r>
        <w:t>eLC</w:t>
      </w:r>
      <w:proofErr w:type="spellEnd"/>
      <w:r>
        <w:t>, either separately, or contained within the lecture slides.</w:t>
      </w:r>
      <w:r w:rsidR="00F6229A">
        <w:t xml:space="preserve">  </w:t>
      </w:r>
      <w:r w:rsidRPr="00131486">
        <w:rPr>
          <w:iCs/>
          <w:szCs w:val="22"/>
        </w:rPr>
        <w:t>Th</w:t>
      </w:r>
      <w:r>
        <w:rPr>
          <w:iCs/>
          <w:szCs w:val="22"/>
        </w:rPr>
        <w:t>is</w:t>
      </w:r>
      <w:r w:rsidRPr="00131486">
        <w:rPr>
          <w:iCs/>
          <w:szCs w:val="22"/>
        </w:rPr>
        <w:t xml:space="preserve"> course syllabus is a general plan for the course; deviations announced to the class by the instructor may </w:t>
      </w:r>
      <w:r>
        <w:rPr>
          <w:iCs/>
          <w:szCs w:val="22"/>
        </w:rPr>
        <w:t xml:space="preserve">(and probably will) </w:t>
      </w:r>
      <w:r w:rsidRPr="00131486">
        <w:rPr>
          <w:iCs/>
          <w:szCs w:val="22"/>
        </w:rPr>
        <w:t>be necessary.</w:t>
      </w:r>
    </w:p>
    <w:p w14:paraId="6A5DD844" w14:textId="77777777" w:rsidR="00B66CED" w:rsidRPr="00EF3F26" w:rsidRDefault="00B66CED" w:rsidP="00B66CED">
      <w:r>
        <w:tab/>
      </w:r>
      <w:r>
        <w:tab/>
      </w:r>
    </w:p>
    <w:p w14:paraId="53C0CD8B" w14:textId="7D4854F6" w:rsidR="00B66CED" w:rsidRPr="00141A37" w:rsidRDefault="00B66CED" w:rsidP="00B66CED">
      <w:pPr>
        <w:widowControl w:val="0"/>
        <w:autoSpaceDE w:val="0"/>
        <w:autoSpaceDN w:val="0"/>
        <w:adjustRightInd w:val="0"/>
        <w:rPr>
          <w:rFonts w:cs="Helvetica"/>
        </w:rPr>
      </w:pPr>
      <w:r>
        <w:rPr>
          <w:b/>
        </w:rPr>
        <w:t>Academic Honesty:</w:t>
      </w:r>
      <w:r>
        <w:t xml:space="preserve"> </w:t>
      </w:r>
      <w:r w:rsidRPr="00141A37">
        <w:rPr>
          <w:rFonts w:cs="Helvetica"/>
        </w:rPr>
        <w:t>As a University of Georgia student, you have agreed to abide by the</w:t>
      </w:r>
      <w:r w:rsidR="00C44E1C">
        <w:rPr>
          <w:rFonts w:cs="Helvetica"/>
        </w:rPr>
        <w:t xml:space="preserve"> </w:t>
      </w:r>
      <w:r w:rsidRPr="00141A37">
        <w:rPr>
          <w:rFonts w:cs="Helvetica"/>
        </w:rPr>
        <w:t>University’s academic honesty policy, “A Culture of Honesty”, and the</w:t>
      </w:r>
    </w:p>
    <w:p w14:paraId="269A3B45" w14:textId="77777777" w:rsidR="00B66CED" w:rsidRPr="00141A37" w:rsidRDefault="00B66CED" w:rsidP="00B66CED">
      <w:pPr>
        <w:widowControl w:val="0"/>
        <w:autoSpaceDE w:val="0"/>
        <w:autoSpaceDN w:val="0"/>
        <w:adjustRightInd w:val="0"/>
        <w:rPr>
          <w:rFonts w:cs="Helvetica"/>
        </w:rPr>
      </w:pPr>
      <w:r w:rsidRPr="00141A37">
        <w:rPr>
          <w:rFonts w:cs="Helvetica"/>
        </w:rPr>
        <w:t>Student Honor Code</w:t>
      </w:r>
      <w:r>
        <w:rPr>
          <w:rFonts w:cs="Helvetica"/>
        </w:rPr>
        <w:t>.</w:t>
      </w:r>
      <w:r w:rsidRPr="00141A37">
        <w:rPr>
          <w:rFonts w:cs="Helvetica"/>
        </w:rPr>
        <w:t xml:space="preserve"> All academic work must meet the standards described</w:t>
      </w:r>
    </w:p>
    <w:p w14:paraId="50F8E672" w14:textId="77777777" w:rsidR="008E1567" w:rsidRDefault="00B66CED" w:rsidP="00B66CED">
      <w:pPr>
        <w:widowControl w:val="0"/>
        <w:autoSpaceDE w:val="0"/>
        <w:autoSpaceDN w:val="0"/>
        <w:adjustRightInd w:val="0"/>
        <w:rPr>
          <w:rFonts w:cs="Helvetica"/>
        </w:rPr>
      </w:pPr>
      <w:r w:rsidRPr="00141A37">
        <w:rPr>
          <w:rFonts w:cs="Helvetica"/>
        </w:rPr>
        <w:t>in “A Culture of Honesty:</w:t>
      </w:r>
      <w:r w:rsidR="008E1567">
        <w:rPr>
          <w:rFonts w:cs="Helvetica"/>
        </w:rPr>
        <w:t>”</w:t>
      </w:r>
    </w:p>
    <w:p w14:paraId="1BC9BD7C" w14:textId="77777777" w:rsidR="008E1567" w:rsidRPr="0047051C" w:rsidRDefault="00B66CED" w:rsidP="00B66CED">
      <w:pPr>
        <w:widowControl w:val="0"/>
        <w:autoSpaceDE w:val="0"/>
        <w:autoSpaceDN w:val="0"/>
        <w:adjustRightInd w:val="0"/>
        <w:rPr>
          <w:sz w:val="22"/>
          <w:szCs w:val="22"/>
        </w:rPr>
      </w:pPr>
      <w:r w:rsidRPr="00141A37">
        <w:rPr>
          <w:rFonts w:cs="Helvetica"/>
        </w:rPr>
        <w:t xml:space="preserve"> </w:t>
      </w:r>
      <w:hyperlink r:id="rId8" w:history="1">
        <w:r w:rsidR="008E1567" w:rsidRPr="0047051C">
          <w:rPr>
            <w:rStyle w:val="Hyperlink"/>
            <w:sz w:val="22"/>
            <w:szCs w:val="22"/>
          </w:rPr>
          <w:t>https://honesty.uga.edu/_resources/documents/academic_honesty_policy_2017.pdf</w:t>
        </w:r>
        <w:r w:rsidRPr="0047051C">
          <w:rPr>
            <w:rStyle w:val="Hyperlink"/>
            <w:rFonts w:cs="Helvetica"/>
            <w:sz w:val="22"/>
            <w:szCs w:val="22"/>
          </w:rPr>
          <w:t xml:space="preserve">. </w:t>
        </w:r>
      </w:hyperlink>
    </w:p>
    <w:p w14:paraId="67188637" w14:textId="36BF7520" w:rsidR="00B66CED" w:rsidRPr="00141A37" w:rsidRDefault="00B66CED" w:rsidP="00B66CED">
      <w:pPr>
        <w:widowControl w:val="0"/>
        <w:autoSpaceDE w:val="0"/>
        <w:autoSpaceDN w:val="0"/>
        <w:adjustRightInd w:val="0"/>
        <w:rPr>
          <w:rFonts w:cs="Helvetica"/>
        </w:rPr>
      </w:pPr>
      <w:r w:rsidRPr="00141A37">
        <w:rPr>
          <w:rFonts w:cs="Helvetica"/>
        </w:rPr>
        <w:t xml:space="preserve"> Lack of knowledge of the academic honesty policy is not a reasonable explanation for a violation. Questions</w:t>
      </w:r>
      <w:r w:rsidR="00FB44C9">
        <w:rPr>
          <w:rFonts w:cs="Helvetica"/>
        </w:rPr>
        <w:t xml:space="preserve"> </w:t>
      </w:r>
      <w:r w:rsidRPr="00141A37">
        <w:rPr>
          <w:rFonts w:cs="Helvetica"/>
        </w:rPr>
        <w:t>related to the course assignments and the academic honesty policy should</w:t>
      </w:r>
      <w:r w:rsidR="00FB44C9">
        <w:rPr>
          <w:rFonts w:cs="Helvetica"/>
        </w:rPr>
        <w:t xml:space="preserve"> </w:t>
      </w:r>
      <w:r w:rsidRPr="00141A37">
        <w:rPr>
          <w:rFonts w:cs="Helvetica"/>
        </w:rPr>
        <w:t>be directed to the instructor.</w:t>
      </w:r>
    </w:p>
    <w:p w14:paraId="32E1CE10" w14:textId="77777777" w:rsidR="00B66CED" w:rsidRPr="00141A37" w:rsidRDefault="00B66CED" w:rsidP="00B66CED">
      <w:pPr>
        <w:widowControl w:val="0"/>
        <w:autoSpaceDE w:val="0"/>
        <w:autoSpaceDN w:val="0"/>
        <w:adjustRightInd w:val="0"/>
        <w:rPr>
          <w:rFonts w:cs="Helvetica"/>
        </w:rPr>
      </w:pPr>
    </w:p>
    <w:p w14:paraId="1BAB0CBD" w14:textId="77777777" w:rsidR="00B66CED" w:rsidRPr="00141A37" w:rsidRDefault="00B66CED" w:rsidP="00B66CED">
      <w:pPr>
        <w:widowControl w:val="0"/>
        <w:autoSpaceDE w:val="0"/>
        <w:autoSpaceDN w:val="0"/>
        <w:adjustRightInd w:val="0"/>
        <w:rPr>
          <w:rFonts w:cs="Helvetica"/>
        </w:rPr>
      </w:pPr>
      <w:r>
        <w:rPr>
          <w:rFonts w:cs="Helvetica"/>
        </w:rPr>
        <w:t>A website for</w:t>
      </w:r>
      <w:r w:rsidRPr="00141A37">
        <w:rPr>
          <w:rFonts w:cs="Helvetica"/>
        </w:rPr>
        <w:t xml:space="preserve"> more detailed information about academic honesty can be</w:t>
      </w:r>
    </w:p>
    <w:p w14:paraId="0C1468BC" w14:textId="2CFE16B0" w:rsidR="00B66CED" w:rsidRDefault="00B66CED" w:rsidP="00B66CED">
      <w:r w:rsidRPr="00141A37">
        <w:rPr>
          <w:rFonts w:cs="Helvetica"/>
        </w:rPr>
        <w:t xml:space="preserve">found at: </w:t>
      </w:r>
      <w:hyperlink r:id="rId9" w:history="1">
        <w:r w:rsidR="008E1567" w:rsidRPr="00FB355A">
          <w:rPr>
            <w:rStyle w:val="Hyperlink"/>
            <w:rFonts w:cs="Helvetica"/>
          </w:rPr>
          <w:t>http://honesty.uga.edu/</w:t>
        </w:r>
      </w:hyperlink>
    </w:p>
    <w:p w14:paraId="47B75D20" w14:textId="77777777" w:rsidR="00164C3A" w:rsidRPr="00164C3A" w:rsidRDefault="00164C3A" w:rsidP="00B66CED">
      <w:pPr>
        <w:rPr>
          <w:rFonts w:cs="Helvetica"/>
          <w:bCs/>
          <w:color w:val="000000" w:themeColor="text1"/>
          <w:u w:color="0B36A2"/>
          <w14:textOutline w14:w="0" w14:cap="flat" w14:cmpd="sng" w14:algn="ctr">
            <w14:noFill/>
            <w14:prstDash w14:val="solid"/>
            <w14:round/>
          </w14:textOutline>
        </w:rPr>
      </w:pPr>
    </w:p>
    <w:p w14:paraId="28531021" w14:textId="70F9D741" w:rsidR="00B66CED" w:rsidRPr="007745E5" w:rsidRDefault="00B66CED" w:rsidP="00B66CED">
      <w:pPr>
        <w:rPr>
          <w:rFonts w:cs="Helvetica"/>
          <w:u w:val="single" w:color="0B36A2"/>
        </w:rPr>
      </w:pPr>
      <w:r>
        <w:rPr>
          <w:rFonts w:cs="Helvetica"/>
          <w:b/>
          <w:u w:color="0B36A2"/>
        </w:rPr>
        <w:t>Exams:</w:t>
      </w:r>
      <w:r>
        <w:rPr>
          <w:rFonts w:cs="Helvetica"/>
          <w:u w:color="0B36A2"/>
        </w:rPr>
        <w:t xml:space="preserve">  There will be </w:t>
      </w:r>
      <w:r w:rsidR="004C6555">
        <w:rPr>
          <w:rFonts w:cs="Helvetica"/>
          <w:u w:color="0B36A2"/>
        </w:rPr>
        <w:t>four</w:t>
      </w:r>
      <w:r>
        <w:rPr>
          <w:rFonts w:cs="Helvetica"/>
          <w:u w:color="0B36A2"/>
        </w:rPr>
        <w:t xml:space="preserve"> 50 pt. exams for this class (</w:t>
      </w:r>
      <w:r w:rsidR="004C6555">
        <w:rPr>
          <w:rFonts w:cs="Helvetica"/>
          <w:u w:color="0B36A2"/>
        </w:rPr>
        <w:t>200</w:t>
      </w:r>
      <w:r>
        <w:rPr>
          <w:rFonts w:cs="Helvetica"/>
          <w:u w:color="0B36A2"/>
        </w:rPr>
        <w:t xml:space="preserve"> total points)</w:t>
      </w:r>
      <w:r w:rsidR="004C6555">
        <w:rPr>
          <w:rFonts w:cs="Helvetica"/>
          <w:u w:color="0B36A2"/>
        </w:rPr>
        <w:t>; one of these exams will be a required</w:t>
      </w:r>
      <w:r w:rsidR="00AF0335">
        <w:rPr>
          <w:rFonts w:cs="Helvetica"/>
          <w:u w:color="0B36A2"/>
        </w:rPr>
        <w:t xml:space="preserve">, </w:t>
      </w:r>
      <w:r w:rsidR="00AF0335" w:rsidRPr="000A6518">
        <w:rPr>
          <w:rFonts w:cs="Helvetica"/>
          <w:u w:val="single" w:color="0B36A2"/>
        </w:rPr>
        <w:t>non-cumulative</w:t>
      </w:r>
      <w:r w:rsidR="00AF0335">
        <w:rPr>
          <w:rFonts w:cs="Helvetica"/>
          <w:u w:color="0B36A2"/>
        </w:rPr>
        <w:t xml:space="preserve"> </w:t>
      </w:r>
      <w:r w:rsidR="004C6555">
        <w:rPr>
          <w:rFonts w:cs="Helvetica"/>
          <w:u w:color="0B36A2"/>
        </w:rPr>
        <w:t xml:space="preserve">final exam </w:t>
      </w:r>
      <w:r>
        <w:rPr>
          <w:rFonts w:cs="Helvetica"/>
          <w:u w:color="0B36A2"/>
        </w:rPr>
        <w:t xml:space="preserve">(December </w:t>
      </w:r>
      <w:r w:rsidR="0047051C">
        <w:rPr>
          <w:rFonts w:cs="Helvetica"/>
          <w:u w:color="0B36A2"/>
        </w:rPr>
        <w:t>1</w:t>
      </w:r>
      <w:r w:rsidR="000A6518">
        <w:rPr>
          <w:rFonts w:cs="Helvetica"/>
          <w:u w:color="0B36A2"/>
        </w:rPr>
        <w:t>5</w:t>
      </w:r>
      <w:r w:rsidRPr="00293832">
        <w:rPr>
          <w:rFonts w:cs="Helvetica"/>
          <w:u w:color="0B36A2"/>
          <w:vertAlign w:val="superscript"/>
        </w:rPr>
        <w:t>th</w:t>
      </w:r>
      <w:r>
        <w:rPr>
          <w:rFonts w:cs="Helvetica"/>
          <w:u w:color="0B36A2"/>
        </w:rPr>
        <w:t>, 20</w:t>
      </w:r>
      <w:r w:rsidR="0047051C">
        <w:rPr>
          <w:rFonts w:cs="Helvetica"/>
          <w:u w:color="0B36A2"/>
        </w:rPr>
        <w:t>2</w:t>
      </w:r>
      <w:r w:rsidR="000A6518">
        <w:rPr>
          <w:rFonts w:cs="Helvetica"/>
          <w:u w:color="0B36A2"/>
        </w:rPr>
        <w:t>1</w:t>
      </w:r>
      <w:r>
        <w:rPr>
          <w:rFonts w:cs="Helvetica"/>
          <w:u w:color="0B36A2"/>
        </w:rPr>
        <w:t xml:space="preserve"> at noon). </w:t>
      </w:r>
      <w:r w:rsidR="00485AC5">
        <w:rPr>
          <w:rFonts w:cs="Helvetica"/>
          <w:u w:color="0B36A2"/>
        </w:rPr>
        <w:t xml:space="preserve"> </w:t>
      </w:r>
      <w:r>
        <w:rPr>
          <w:rFonts w:cs="Helvetica"/>
          <w:u w:color="0B36A2"/>
        </w:rPr>
        <w:t xml:space="preserve">All exams will consist of a mixture of short answer, fill-in-the-blank, and multiple choice.  Previous exams will </w:t>
      </w:r>
      <w:r w:rsidRPr="00712A32">
        <w:rPr>
          <w:rFonts w:cs="Helvetica"/>
          <w:u w:val="single" w:color="0B36A2"/>
        </w:rPr>
        <w:t>not</w:t>
      </w:r>
      <w:r>
        <w:rPr>
          <w:rFonts w:cs="Helvetica"/>
          <w:u w:color="0B36A2"/>
        </w:rPr>
        <w:t xml:space="preserve"> be passed out as study guides.  </w:t>
      </w:r>
      <w:r w:rsidR="000A6518">
        <w:rPr>
          <w:rFonts w:cs="Helvetica"/>
          <w:u w:color="0B36A2"/>
        </w:rPr>
        <w:t>While I intend to have exams taken in-person</w:t>
      </w:r>
      <w:r w:rsidR="00F6229A">
        <w:rPr>
          <w:rFonts w:cs="Helvetica"/>
          <w:u w:color="0B36A2"/>
        </w:rPr>
        <w:t>,</w:t>
      </w:r>
      <w:r w:rsidR="000A6518">
        <w:rPr>
          <w:rFonts w:cs="Helvetica"/>
          <w:u w:color="0B36A2"/>
        </w:rPr>
        <w:t xml:space="preserve"> the status of the SARS-CoV-2 pandemic may change this policy; I will inform you of any changes to our exam schedule.</w:t>
      </w:r>
    </w:p>
    <w:p w14:paraId="003939C8" w14:textId="77777777" w:rsidR="00F6229A" w:rsidRDefault="00F6229A" w:rsidP="00B66CED">
      <w:pPr>
        <w:widowControl w:val="0"/>
        <w:autoSpaceDE w:val="0"/>
        <w:autoSpaceDN w:val="0"/>
        <w:adjustRightInd w:val="0"/>
        <w:rPr>
          <w:rFonts w:cs="Helvetica"/>
          <w:u w:color="0B36A2"/>
        </w:rPr>
      </w:pPr>
    </w:p>
    <w:p w14:paraId="7E3D832C" w14:textId="066434F2" w:rsidR="00B66CED" w:rsidRPr="00351FAE" w:rsidRDefault="00B66CED" w:rsidP="00B66CED">
      <w:pPr>
        <w:widowControl w:val="0"/>
        <w:autoSpaceDE w:val="0"/>
        <w:autoSpaceDN w:val="0"/>
        <w:adjustRightInd w:val="0"/>
        <w:rPr>
          <w:rFonts w:cs="Times New Roman"/>
        </w:rPr>
      </w:pPr>
      <w:r w:rsidRPr="00351FAE">
        <w:rPr>
          <w:rFonts w:cs="Times New Roman"/>
        </w:rPr>
        <w:t xml:space="preserve">In addition, </w:t>
      </w:r>
      <w:r w:rsidR="00485AC5">
        <w:rPr>
          <w:rFonts w:cs="Times New Roman"/>
        </w:rPr>
        <w:t>every Wednesday, I will provide a</w:t>
      </w:r>
      <w:r w:rsidR="0047051C">
        <w:rPr>
          <w:rFonts w:cs="Times New Roman"/>
        </w:rPr>
        <w:t>n online</w:t>
      </w:r>
      <w:r w:rsidR="006A7353">
        <w:rPr>
          <w:rFonts w:cs="Times New Roman"/>
        </w:rPr>
        <w:t>/email</w:t>
      </w:r>
      <w:r w:rsidR="0047051C">
        <w:rPr>
          <w:rFonts w:cs="Times New Roman"/>
        </w:rPr>
        <w:t xml:space="preserve"> assignment </w:t>
      </w:r>
      <w:r w:rsidR="00485AC5">
        <w:rPr>
          <w:rFonts w:cs="Times New Roman"/>
        </w:rPr>
        <w:t xml:space="preserve">that contains a few </w:t>
      </w:r>
      <w:r w:rsidR="0018003D">
        <w:rPr>
          <w:rFonts w:cs="Times New Roman"/>
        </w:rPr>
        <w:t xml:space="preserve">short answer questions </w:t>
      </w:r>
      <w:r w:rsidR="00485AC5">
        <w:rPr>
          <w:rFonts w:cs="Times New Roman"/>
        </w:rPr>
        <w:t>to work on throughout the week</w:t>
      </w:r>
      <w:r w:rsidR="00826188">
        <w:rPr>
          <w:rFonts w:cs="Times New Roman"/>
        </w:rPr>
        <w:t>, as well as containing questions on the paper assigned on that Wednesday</w:t>
      </w:r>
      <w:r w:rsidRPr="00351FAE">
        <w:rPr>
          <w:rFonts w:cs="Times New Roman"/>
        </w:rPr>
        <w:t>.</w:t>
      </w:r>
      <w:r w:rsidR="00485AC5">
        <w:rPr>
          <w:rFonts w:cs="Times New Roman"/>
        </w:rPr>
        <w:t xml:space="preserve">  These are worth a total of </w:t>
      </w:r>
      <w:r w:rsidR="0095328B">
        <w:rPr>
          <w:rFonts w:cs="Times New Roman"/>
        </w:rPr>
        <w:t>10</w:t>
      </w:r>
      <w:r w:rsidR="00485AC5">
        <w:rPr>
          <w:rFonts w:cs="Times New Roman"/>
        </w:rPr>
        <w:t xml:space="preserve"> points each</w:t>
      </w:r>
      <w:r w:rsidR="00C773A8">
        <w:rPr>
          <w:rFonts w:cs="Times New Roman"/>
        </w:rPr>
        <w:t xml:space="preserve">, and </w:t>
      </w:r>
      <w:r w:rsidR="0095328B">
        <w:rPr>
          <w:rFonts w:cs="Times New Roman"/>
        </w:rPr>
        <w:t>9</w:t>
      </w:r>
      <w:r w:rsidR="00C773A8">
        <w:rPr>
          <w:rFonts w:cs="Times New Roman"/>
        </w:rPr>
        <w:t xml:space="preserve"> </w:t>
      </w:r>
      <w:r w:rsidR="000A6518">
        <w:rPr>
          <w:rFonts w:cs="Times New Roman"/>
        </w:rPr>
        <w:t xml:space="preserve">assignments </w:t>
      </w:r>
      <w:r w:rsidR="00C773A8">
        <w:rPr>
          <w:rFonts w:cs="Times New Roman"/>
        </w:rPr>
        <w:t>will be available thr</w:t>
      </w:r>
      <w:r w:rsidR="0063601A">
        <w:rPr>
          <w:rFonts w:cs="Times New Roman"/>
        </w:rPr>
        <w:t xml:space="preserve">oughout the semester (possible </w:t>
      </w:r>
      <w:r w:rsidR="0095328B">
        <w:rPr>
          <w:rFonts w:cs="Times New Roman"/>
        </w:rPr>
        <w:t>90</w:t>
      </w:r>
      <w:r w:rsidR="00C773A8">
        <w:rPr>
          <w:rFonts w:cs="Times New Roman"/>
        </w:rPr>
        <w:t xml:space="preserve"> points total).  These problem sets must be returned by the following </w:t>
      </w:r>
      <w:r w:rsidR="006A7353" w:rsidRPr="000A6518">
        <w:rPr>
          <w:rFonts w:cs="Times New Roman"/>
          <w:u w:val="single"/>
        </w:rPr>
        <w:t>Tuesday</w:t>
      </w:r>
      <w:r w:rsidR="00C773A8">
        <w:rPr>
          <w:rFonts w:cs="Times New Roman"/>
        </w:rPr>
        <w:t xml:space="preserve"> for full credit.</w:t>
      </w:r>
      <w:r w:rsidR="00C44E1C">
        <w:rPr>
          <w:rFonts w:cs="Times New Roman"/>
        </w:rPr>
        <w:t xml:space="preserve"> </w:t>
      </w:r>
    </w:p>
    <w:p w14:paraId="18DE1B42" w14:textId="77777777" w:rsidR="00B66CED" w:rsidRDefault="00B66CED" w:rsidP="00B66CED">
      <w:pPr>
        <w:rPr>
          <w:rFonts w:cs="Helvetica"/>
          <w:u w:color="0B36A2"/>
        </w:rPr>
      </w:pPr>
    </w:p>
    <w:p w14:paraId="1BC87896" w14:textId="1659C262" w:rsidR="00B66CED" w:rsidRPr="0065436E" w:rsidRDefault="00B66CED" w:rsidP="00B66CED">
      <w:pPr>
        <w:rPr>
          <w:rFonts w:cs="Helvetica"/>
          <w:u w:color="0B36A2"/>
        </w:rPr>
      </w:pPr>
      <w:r>
        <w:rPr>
          <w:rFonts w:cs="Helvetica"/>
          <w:b/>
          <w:u w:color="0B36A2"/>
        </w:rPr>
        <w:t>Exam Re-grades:</w:t>
      </w:r>
      <w:r>
        <w:rPr>
          <w:rFonts w:cs="Helvetica"/>
          <w:u w:color="0B36A2"/>
        </w:rPr>
        <w:t xml:space="preserve">  I am always willing to look at graded exams and adjust scores, if warranted.  However, I will only re-grade exams for up to </w:t>
      </w:r>
      <w:r>
        <w:rPr>
          <w:rFonts w:cs="Helvetica"/>
          <w:b/>
          <w:u w:color="0B36A2"/>
        </w:rPr>
        <w:t>one week</w:t>
      </w:r>
      <w:r>
        <w:rPr>
          <w:rFonts w:cs="Helvetica"/>
          <w:b/>
          <w:i/>
          <w:u w:color="0B36A2"/>
        </w:rPr>
        <w:t xml:space="preserve"> </w:t>
      </w:r>
      <w:r>
        <w:rPr>
          <w:rFonts w:cs="Helvetica"/>
          <w:u w:color="0B36A2"/>
        </w:rPr>
        <w:t xml:space="preserve">after being </w:t>
      </w:r>
      <w:r w:rsidR="0047051C">
        <w:rPr>
          <w:rFonts w:cs="Helvetica"/>
          <w:u w:color="0B36A2"/>
        </w:rPr>
        <w:t>returned to the student</w:t>
      </w:r>
      <w:r>
        <w:rPr>
          <w:rFonts w:cs="Helvetica"/>
          <w:u w:color="0B36A2"/>
        </w:rPr>
        <w:t xml:space="preserve">. </w:t>
      </w:r>
    </w:p>
    <w:p w14:paraId="74C6E283" w14:textId="77777777" w:rsidR="00B66CED" w:rsidRDefault="00B66CED" w:rsidP="00B66CED">
      <w:pPr>
        <w:rPr>
          <w:rFonts w:cs="Helvetica"/>
          <w:b/>
          <w:u w:color="0B36A2"/>
        </w:rPr>
      </w:pPr>
    </w:p>
    <w:p w14:paraId="54200ADD" w14:textId="77777777" w:rsidR="005603F7" w:rsidRDefault="005603F7" w:rsidP="00B66CED">
      <w:pPr>
        <w:rPr>
          <w:rFonts w:cs="Helvetica"/>
          <w:b/>
          <w:u w:color="0B36A2"/>
        </w:rPr>
      </w:pPr>
    </w:p>
    <w:p w14:paraId="76F0BCDF" w14:textId="5E61ABA5" w:rsidR="005603F7" w:rsidRDefault="005603F7" w:rsidP="00B66CED">
      <w:pPr>
        <w:rPr>
          <w:rFonts w:cs="Helvetica"/>
          <w:b/>
          <w:u w:color="0B36A2"/>
        </w:rPr>
      </w:pPr>
    </w:p>
    <w:p w14:paraId="6402BA6C" w14:textId="77777777" w:rsidR="000A6518" w:rsidRDefault="000A6518" w:rsidP="00B66CED">
      <w:pPr>
        <w:rPr>
          <w:rFonts w:cs="Helvetica"/>
          <w:b/>
          <w:u w:color="0B36A2"/>
        </w:rPr>
      </w:pPr>
    </w:p>
    <w:p w14:paraId="423038E1" w14:textId="77777777" w:rsidR="005603F7" w:rsidRDefault="005603F7" w:rsidP="00B66CED">
      <w:pPr>
        <w:rPr>
          <w:rFonts w:cs="Helvetica"/>
          <w:b/>
          <w:u w:color="0B36A2"/>
        </w:rPr>
      </w:pPr>
    </w:p>
    <w:p w14:paraId="3FC46D8C" w14:textId="77777777" w:rsidR="005603F7" w:rsidRDefault="005603F7" w:rsidP="00B66CED">
      <w:pPr>
        <w:rPr>
          <w:rFonts w:cs="Helvetica"/>
          <w:b/>
          <w:u w:color="0B36A2"/>
        </w:rPr>
      </w:pPr>
    </w:p>
    <w:p w14:paraId="0CECBB7F" w14:textId="4F02F6D7" w:rsidR="00B66CED" w:rsidRDefault="00B66CED" w:rsidP="00B66CED">
      <w:pPr>
        <w:rPr>
          <w:rFonts w:cs="Helvetica"/>
          <w:b/>
          <w:u w:color="0B36A2"/>
        </w:rPr>
      </w:pPr>
      <w:r>
        <w:rPr>
          <w:rFonts w:cs="Helvetica"/>
          <w:b/>
          <w:u w:color="0B36A2"/>
        </w:rPr>
        <w:lastRenderedPageBreak/>
        <w:t>Grading scale:</w:t>
      </w:r>
    </w:p>
    <w:p w14:paraId="70E1AD02" w14:textId="77777777" w:rsidR="00B66CED" w:rsidRDefault="00B66CED" w:rsidP="00B66CED">
      <w:pPr>
        <w:rPr>
          <w:rFonts w:cs="Helvetica"/>
          <w:b/>
          <w:u w:color="0B36A2"/>
        </w:rPr>
      </w:pPr>
    </w:p>
    <w:p w14:paraId="1CB71692" w14:textId="77777777" w:rsidR="00B66CED" w:rsidRPr="00EC3E4D" w:rsidRDefault="00B66CED" w:rsidP="00B66CED">
      <w:pPr>
        <w:rPr>
          <w:rFonts w:cs="Helvetica"/>
          <w:b/>
          <w:u w:color="0B36A2"/>
        </w:rPr>
      </w:pPr>
      <w:r w:rsidRPr="00EC3E4D">
        <w:rPr>
          <w:rFonts w:cs="Helvetica"/>
          <w:b/>
          <w:u w:color="0B36A2"/>
        </w:rPr>
        <w:t>A = (4.0) = 93.0-100%</w:t>
      </w:r>
      <w:r w:rsidRPr="00EC3E4D">
        <w:rPr>
          <w:rFonts w:cs="Helvetica"/>
          <w:b/>
          <w:u w:color="0B36A2"/>
        </w:rPr>
        <w:tab/>
      </w:r>
      <w:r w:rsidRPr="00EC3E4D">
        <w:rPr>
          <w:rFonts w:cs="Helvetica"/>
          <w:b/>
          <w:u w:color="0B36A2"/>
        </w:rPr>
        <w:tab/>
      </w:r>
      <w:r w:rsidRPr="00EC3E4D">
        <w:rPr>
          <w:rFonts w:cs="Helvetica"/>
          <w:b/>
          <w:u w:color="0B36A2"/>
        </w:rPr>
        <w:tab/>
        <w:t>C+ = (2.3) = 77.0 – 79.9%</w:t>
      </w:r>
      <w:r w:rsidRPr="00EC3E4D">
        <w:rPr>
          <w:rFonts w:cs="Helvetica"/>
          <w:b/>
          <w:u w:color="0B36A2"/>
        </w:rPr>
        <w:tab/>
      </w:r>
    </w:p>
    <w:p w14:paraId="36E9A7CC" w14:textId="77777777" w:rsidR="00B66CED" w:rsidRPr="00EC3E4D" w:rsidRDefault="00B66CED" w:rsidP="00B66CED">
      <w:pPr>
        <w:rPr>
          <w:rFonts w:cs="Helvetica"/>
          <w:b/>
          <w:u w:color="0B36A2"/>
        </w:rPr>
      </w:pPr>
      <w:r w:rsidRPr="00EC3E4D">
        <w:rPr>
          <w:rFonts w:cs="Helvetica"/>
          <w:b/>
          <w:u w:color="0B36A2"/>
        </w:rPr>
        <w:t>A- = (3.7) = 90.0 – 92.9%</w:t>
      </w:r>
      <w:r w:rsidRPr="00EC3E4D">
        <w:rPr>
          <w:rFonts w:cs="Helvetica"/>
          <w:b/>
          <w:u w:color="0B36A2"/>
        </w:rPr>
        <w:tab/>
      </w:r>
      <w:r w:rsidRPr="00EC3E4D">
        <w:rPr>
          <w:rFonts w:cs="Helvetica"/>
          <w:b/>
          <w:u w:color="0B36A2"/>
        </w:rPr>
        <w:tab/>
      </w:r>
      <w:r>
        <w:rPr>
          <w:rFonts w:cs="Helvetica"/>
          <w:b/>
          <w:u w:color="0B36A2"/>
        </w:rPr>
        <w:tab/>
      </w:r>
      <w:r w:rsidRPr="00EC3E4D">
        <w:rPr>
          <w:rFonts w:cs="Helvetica"/>
          <w:b/>
          <w:u w:color="0B36A2"/>
        </w:rPr>
        <w:t>C = (2.0) = 7</w:t>
      </w:r>
      <w:r>
        <w:rPr>
          <w:rFonts w:cs="Helvetica"/>
          <w:b/>
          <w:u w:color="0B36A2"/>
        </w:rPr>
        <w:t>0</w:t>
      </w:r>
      <w:r w:rsidRPr="00EC3E4D">
        <w:rPr>
          <w:rFonts w:cs="Helvetica"/>
          <w:b/>
          <w:u w:color="0B36A2"/>
        </w:rPr>
        <w:t>.0 – 76.9% </w:t>
      </w:r>
      <w:r w:rsidRPr="00EC3E4D">
        <w:rPr>
          <w:rFonts w:cs="Helvetica"/>
          <w:b/>
          <w:u w:color="0B36A2"/>
        </w:rPr>
        <w:tab/>
      </w:r>
    </w:p>
    <w:p w14:paraId="3CD6FEE6" w14:textId="77777777" w:rsidR="00B66CED" w:rsidRPr="00EC3E4D" w:rsidRDefault="00B66CED" w:rsidP="00B66CED">
      <w:pPr>
        <w:rPr>
          <w:rFonts w:cs="Helvetica"/>
          <w:b/>
          <w:u w:color="0B36A2"/>
        </w:rPr>
      </w:pPr>
      <w:r w:rsidRPr="00EC3E4D">
        <w:rPr>
          <w:rFonts w:cs="Helvetica"/>
          <w:b/>
          <w:u w:color="0B36A2"/>
        </w:rPr>
        <w:t>B+ = (3.3) = 87.0 – 89.9%</w:t>
      </w:r>
      <w:r w:rsidRPr="00EC3E4D">
        <w:rPr>
          <w:rFonts w:cs="Helvetica"/>
          <w:b/>
          <w:u w:color="0B36A2"/>
        </w:rPr>
        <w:tab/>
      </w:r>
      <w:r w:rsidRPr="00EC3E4D">
        <w:rPr>
          <w:rFonts w:cs="Helvetica"/>
          <w:b/>
          <w:u w:color="0B36A2"/>
        </w:rPr>
        <w:tab/>
      </w:r>
      <w:r>
        <w:rPr>
          <w:rFonts w:cs="Helvetica"/>
          <w:b/>
          <w:u w:color="0B36A2"/>
        </w:rPr>
        <w:tab/>
      </w:r>
      <w:r w:rsidRPr="00EC3E4D">
        <w:rPr>
          <w:rFonts w:cs="Helvetica"/>
          <w:b/>
          <w:u w:color="0B36A2"/>
        </w:rPr>
        <w:t>D = (1.0) = 60.0 – 69.9% </w:t>
      </w:r>
    </w:p>
    <w:p w14:paraId="1EFD8377" w14:textId="77777777" w:rsidR="00B66CED" w:rsidRPr="00EC3E4D" w:rsidRDefault="00B66CED" w:rsidP="00B66CED">
      <w:pPr>
        <w:rPr>
          <w:rFonts w:cs="Helvetica"/>
          <w:b/>
          <w:u w:color="0B36A2"/>
        </w:rPr>
      </w:pPr>
      <w:r w:rsidRPr="00EC3E4D">
        <w:rPr>
          <w:rFonts w:cs="Helvetica"/>
          <w:b/>
          <w:u w:color="0B36A2"/>
        </w:rPr>
        <w:t>B = (3.0) = 83.0 – 86.9%</w:t>
      </w:r>
      <w:r w:rsidRPr="00EC3E4D">
        <w:rPr>
          <w:rFonts w:cs="Helvetica"/>
          <w:b/>
          <w:u w:color="0B36A2"/>
        </w:rPr>
        <w:tab/>
      </w:r>
      <w:r w:rsidRPr="00EC3E4D">
        <w:rPr>
          <w:rFonts w:cs="Helvetica"/>
          <w:b/>
          <w:u w:color="0B36A2"/>
        </w:rPr>
        <w:tab/>
      </w:r>
      <w:r>
        <w:rPr>
          <w:rFonts w:cs="Helvetica"/>
          <w:b/>
          <w:u w:color="0B36A2"/>
        </w:rPr>
        <w:tab/>
      </w:r>
      <w:r w:rsidRPr="00EC3E4D">
        <w:rPr>
          <w:rFonts w:cs="Helvetica"/>
          <w:b/>
          <w:u w:color="0B36A2"/>
        </w:rPr>
        <w:t>F = (0.0) = 59.</w:t>
      </w:r>
      <w:r>
        <w:rPr>
          <w:rFonts w:cs="Helvetica"/>
          <w:b/>
          <w:u w:color="0B36A2"/>
        </w:rPr>
        <w:t>9</w:t>
      </w:r>
      <w:r w:rsidRPr="00EC3E4D">
        <w:rPr>
          <w:rFonts w:cs="Helvetica"/>
          <w:b/>
          <w:u w:color="0B36A2"/>
        </w:rPr>
        <w:t>% or below</w:t>
      </w:r>
    </w:p>
    <w:p w14:paraId="7EA931C3" w14:textId="77777777" w:rsidR="00B66CED" w:rsidRPr="00EC3E4D" w:rsidRDefault="00B66CED" w:rsidP="00B66CED">
      <w:pPr>
        <w:rPr>
          <w:rFonts w:cs="Helvetica"/>
          <w:b/>
          <w:u w:color="0B36A2"/>
        </w:rPr>
      </w:pPr>
      <w:r w:rsidRPr="00EC3E4D">
        <w:rPr>
          <w:rFonts w:cs="Helvetica"/>
          <w:b/>
          <w:u w:color="0B36A2"/>
        </w:rPr>
        <w:t>B- = (2.7) = 80.0 – 82.9%  </w:t>
      </w:r>
      <w:r w:rsidRPr="00EC3E4D">
        <w:rPr>
          <w:rFonts w:cs="Helvetica"/>
          <w:b/>
          <w:u w:color="0B36A2"/>
        </w:rPr>
        <w:tab/>
      </w:r>
      <w:r>
        <w:rPr>
          <w:rFonts w:cs="Helvetica"/>
          <w:b/>
          <w:u w:color="0B36A2"/>
        </w:rPr>
        <w:tab/>
      </w:r>
      <w:r>
        <w:rPr>
          <w:rFonts w:cs="Helvetica"/>
          <w:b/>
          <w:u w:color="0B36A2"/>
        </w:rPr>
        <w:tab/>
      </w:r>
    </w:p>
    <w:p w14:paraId="3BE6F542" w14:textId="77777777" w:rsidR="00B66CED" w:rsidRPr="00EC3E4D" w:rsidRDefault="00B66CED" w:rsidP="00B66CED">
      <w:pPr>
        <w:rPr>
          <w:rFonts w:cs="Helvetica"/>
          <w:b/>
          <w:bCs/>
          <w:u w:color="0B36A2"/>
        </w:rPr>
      </w:pPr>
    </w:p>
    <w:p w14:paraId="265BC2B7" w14:textId="7BB49CA8" w:rsidR="00B66CED" w:rsidRPr="002F1246" w:rsidRDefault="00B66CED" w:rsidP="00B66CED">
      <w:pPr>
        <w:rPr>
          <w:rFonts w:cs="Helvetica"/>
          <w:u w:color="0B36A2"/>
        </w:rPr>
      </w:pPr>
      <w:r w:rsidRPr="00EC3E4D">
        <w:rPr>
          <w:rFonts w:cs="Helvetica"/>
          <w:b/>
          <w:u w:color="0B36A2"/>
        </w:rPr>
        <w:t>Rounding will be done to the nearest 0.1%</w:t>
      </w:r>
      <w:r>
        <w:rPr>
          <w:rFonts w:cs="Helvetica"/>
          <w:b/>
          <w:u w:color="0B36A2"/>
        </w:rPr>
        <w:t>.</w:t>
      </w:r>
      <w:r>
        <w:rPr>
          <w:rFonts w:cs="Helvetica"/>
          <w:u w:color="0B36A2"/>
        </w:rPr>
        <w:t xml:space="preserve">  For example, if you score an 82.95%, that will be rounded to 83.0% (B).  If you score exactly 82.9%, that’s a B-.</w:t>
      </w:r>
      <w:r w:rsidR="005603F7">
        <w:rPr>
          <w:rFonts w:cs="Helvetica"/>
          <w:u w:color="0B36A2"/>
        </w:rPr>
        <w:t xml:space="preserve">  In the past, I have *not* </w:t>
      </w:r>
      <w:r w:rsidR="001A0B4A">
        <w:rPr>
          <w:rFonts w:cs="Helvetica"/>
          <w:u w:color="0B36A2"/>
        </w:rPr>
        <w:t>graded on a curve, as final grades did not warrant it.  Nevertheless, that is always an option should the course average be lower than expected. Do not depend on the presence of a curve in grading!</w:t>
      </w:r>
    </w:p>
    <w:p w14:paraId="2949A2E0" w14:textId="77777777" w:rsidR="00B66CED" w:rsidRDefault="00B66CED" w:rsidP="00B66CED">
      <w:pPr>
        <w:rPr>
          <w:rFonts w:cs="Helvetica"/>
          <w:u w:color="0B36A2"/>
        </w:rPr>
      </w:pPr>
    </w:p>
    <w:p w14:paraId="08FA2E4A" w14:textId="7126EE30" w:rsidR="00B66CED" w:rsidRDefault="00B66CED" w:rsidP="00B66CED">
      <w:pPr>
        <w:rPr>
          <w:rFonts w:cs="Helvetica"/>
          <w:u w:color="0B36A2"/>
        </w:rPr>
      </w:pPr>
      <w:r>
        <w:rPr>
          <w:rFonts w:cs="Helvetica"/>
          <w:b/>
          <w:u w:color="0B36A2"/>
        </w:rPr>
        <w:t xml:space="preserve">Scientific </w:t>
      </w:r>
      <w:r w:rsidR="0095328B">
        <w:rPr>
          <w:rFonts w:cs="Helvetica"/>
          <w:b/>
          <w:u w:color="0B36A2"/>
        </w:rPr>
        <w:t>Literature</w:t>
      </w:r>
      <w:r>
        <w:rPr>
          <w:rFonts w:cs="Helvetica"/>
          <w:b/>
          <w:u w:color="0B36A2"/>
        </w:rPr>
        <w:t>:</w:t>
      </w:r>
      <w:r>
        <w:rPr>
          <w:rFonts w:cs="Helvetica"/>
          <w:u w:color="0B36A2"/>
        </w:rPr>
        <w:t xml:space="preserve">  This semester, we will be reading research papers from the primary literature</w:t>
      </w:r>
      <w:r w:rsidR="00F334C0">
        <w:rPr>
          <w:rFonts w:cs="Helvetica"/>
          <w:u w:color="0B36A2"/>
        </w:rPr>
        <w:t xml:space="preserve">, and my primary goal is to familiarize you </w:t>
      </w:r>
      <w:r w:rsidR="00D61C16">
        <w:rPr>
          <w:rFonts w:cs="Helvetica"/>
          <w:u w:color="0B36A2"/>
        </w:rPr>
        <w:t>with scientific reading, dissecting and analyzing data, and to better understand the broad techniques that are used in the study of microbes (and higher-order organisms!)</w:t>
      </w:r>
      <w:r>
        <w:rPr>
          <w:rFonts w:cs="Helvetica"/>
          <w:u w:color="0B36A2"/>
        </w:rPr>
        <w:t xml:space="preserve">.  These papers -- with topics relevant to the current classroom study -- will be assigned </w:t>
      </w:r>
      <w:r w:rsidR="00D61C16">
        <w:rPr>
          <w:rFonts w:cs="Helvetica"/>
          <w:u w:color="0B36A2"/>
        </w:rPr>
        <w:t xml:space="preserve">every week, according to the schedule on a </w:t>
      </w:r>
      <w:r w:rsidR="00D61C16">
        <w:rPr>
          <w:rFonts w:cs="Helvetica"/>
          <w:b/>
          <w:bCs/>
          <w:u w:color="0B36A2"/>
        </w:rPr>
        <w:t>Wednesday</w:t>
      </w:r>
      <w:r>
        <w:rPr>
          <w:rFonts w:cs="Helvetica"/>
          <w:u w:color="0B36A2"/>
        </w:rPr>
        <w:t>.  You will be asked to read the paper</w:t>
      </w:r>
      <w:r w:rsidR="00D61C16">
        <w:rPr>
          <w:rFonts w:cs="Helvetica"/>
          <w:u w:color="0B36A2"/>
        </w:rPr>
        <w:t xml:space="preserve"> over the following week</w:t>
      </w:r>
      <w:r>
        <w:rPr>
          <w:rFonts w:cs="Helvetica"/>
          <w:u w:color="0B36A2"/>
        </w:rPr>
        <w:t xml:space="preserve">, </w:t>
      </w:r>
      <w:r w:rsidR="00D61C16">
        <w:rPr>
          <w:rFonts w:cs="Helvetica"/>
          <w:u w:color="0B36A2"/>
        </w:rPr>
        <w:t xml:space="preserve">work on a provided take-home assignment, and then </w:t>
      </w:r>
      <w:r>
        <w:rPr>
          <w:rFonts w:cs="Helvetica"/>
          <w:u w:color="0B36A2"/>
        </w:rPr>
        <w:t xml:space="preserve">we will devote </w:t>
      </w:r>
      <w:r w:rsidR="00D61C16">
        <w:rPr>
          <w:rFonts w:cs="Helvetica"/>
          <w:u w:color="0B36A2"/>
        </w:rPr>
        <w:t xml:space="preserve">half of the </w:t>
      </w:r>
      <w:r w:rsidR="00D61C16" w:rsidRPr="00D61C16">
        <w:rPr>
          <w:rFonts w:cs="Helvetica"/>
          <w:b/>
          <w:bCs/>
          <w:u w:color="0B36A2"/>
        </w:rPr>
        <w:t>following</w:t>
      </w:r>
      <w:r w:rsidR="00D61C16">
        <w:rPr>
          <w:rFonts w:cs="Helvetica"/>
          <w:u w:color="0B36A2"/>
        </w:rPr>
        <w:t xml:space="preserve"> </w:t>
      </w:r>
      <w:r w:rsidR="00D61C16">
        <w:rPr>
          <w:rFonts w:cs="Helvetica"/>
          <w:b/>
          <w:bCs/>
          <w:u w:color="0B36A2"/>
        </w:rPr>
        <w:t>Wednesday</w:t>
      </w:r>
      <w:r>
        <w:rPr>
          <w:rFonts w:cs="Helvetica"/>
          <w:u w:color="0B36A2"/>
        </w:rPr>
        <w:t xml:space="preserve"> identifying the hypotheses, deconstructing the figures, and analyzing the data</w:t>
      </w:r>
      <w:r w:rsidR="00D61C16">
        <w:rPr>
          <w:rFonts w:cs="Helvetica"/>
          <w:u w:color="0B36A2"/>
        </w:rPr>
        <w:t xml:space="preserve"> as a group</w:t>
      </w:r>
      <w:r>
        <w:rPr>
          <w:rFonts w:cs="Helvetica"/>
          <w:u w:color="0B36A2"/>
        </w:rPr>
        <w:t xml:space="preserve">.  </w:t>
      </w:r>
      <w:r w:rsidRPr="005474C7">
        <w:rPr>
          <w:rFonts w:cs="Helvetica"/>
          <w:u w:val="single" w:color="0B36A2"/>
        </w:rPr>
        <w:t>You will encounter exam questions</w:t>
      </w:r>
      <w:r>
        <w:rPr>
          <w:rFonts w:cs="Helvetica"/>
          <w:u w:color="0B36A2"/>
        </w:rPr>
        <w:t xml:space="preserve"> that test your comprehension of the</w:t>
      </w:r>
      <w:r w:rsidR="00D61C16">
        <w:rPr>
          <w:rFonts w:cs="Helvetica"/>
          <w:u w:color="0B36A2"/>
        </w:rPr>
        <w:t>se</w:t>
      </w:r>
      <w:r>
        <w:rPr>
          <w:rFonts w:cs="Helvetica"/>
          <w:u w:color="0B36A2"/>
        </w:rPr>
        <w:t xml:space="preserve"> paper</w:t>
      </w:r>
      <w:r w:rsidR="00D61C16">
        <w:rPr>
          <w:rFonts w:cs="Helvetica"/>
          <w:u w:color="0B36A2"/>
        </w:rPr>
        <w:t>s</w:t>
      </w:r>
      <w:r w:rsidR="00F4201A">
        <w:rPr>
          <w:rFonts w:cs="Helvetica"/>
          <w:u w:color="0B36A2"/>
        </w:rPr>
        <w:t xml:space="preserve"> and techniques</w:t>
      </w:r>
      <w:r>
        <w:rPr>
          <w:rFonts w:cs="Helvetica"/>
          <w:u w:color="0B36A2"/>
        </w:rPr>
        <w:t>.</w:t>
      </w:r>
    </w:p>
    <w:p w14:paraId="2DD11808" w14:textId="4993B4DC" w:rsidR="0095328B" w:rsidRDefault="0095328B" w:rsidP="00B66CED">
      <w:pPr>
        <w:rPr>
          <w:rFonts w:cs="Helvetica"/>
          <w:u w:color="0B36A2"/>
        </w:rPr>
      </w:pPr>
    </w:p>
    <w:p w14:paraId="428E407A" w14:textId="720F8C48" w:rsidR="0095328B" w:rsidRPr="0095328B" w:rsidRDefault="0095328B" w:rsidP="00B66CED">
      <w:pPr>
        <w:rPr>
          <w:rFonts w:cs="Helvetica"/>
          <w:u w:color="0B36A2"/>
        </w:rPr>
      </w:pPr>
      <w:r>
        <w:rPr>
          <w:rFonts w:cs="Helvetica"/>
          <w:b/>
          <w:bCs/>
          <w:u w:color="0B36A2"/>
        </w:rPr>
        <w:t>Wednesday format:</w:t>
      </w:r>
      <w:r>
        <w:rPr>
          <w:rFonts w:cs="Helvetica"/>
          <w:u w:color="0B36A2"/>
        </w:rPr>
        <w:t xml:space="preserve">  Each Wednesday, we will be meeting from 11:30am-1:10pm (double class period).  For the first ~50 minutes, we will engage in standard lecturing on course material.  After a short break, we will transition to group/class discussion of the paper assigned the previous week.</w:t>
      </w:r>
    </w:p>
    <w:p w14:paraId="00CE883B" w14:textId="77777777" w:rsidR="00B66CED" w:rsidRDefault="00B66CED" w:rsidP="00B66CED">
      <w:pPr>
        <w:rPr>
          <w:rFonts w:cs="Helvetica"/>
          <w:b/>
          <w:u w:color="0B36A2"/>
        </w:rPr>
      </w:pPr>
    </w:p>
    <w:p w14:paraId="0E4CED85" w14:textId="54742296" w:rsidR="00B66CED" w:rsidRDefault="00B66CED" w:rsidP="00B66CED">
      <w:pPr>
        <w:rPr>
          <w:rFonts w:cs="Helvetica"/>
          <w:u w:color="0B36A2"/>
        </w:rPr>
      </w:pPr>
      <w:r>
        <w:rPr>
          <w:rFonts w:cs="Helvetica"/>
          <w:b/>
          <w:u w:color="0B36A2"/>
        </w:rPr>
        <w:t>“Extra credit:”</w:t>
      </w:r>
      <w:r>
        <w:rPr>
          <w:rFonts w:cs="Helvetica"/>
          <w:u w:color="0B36A2"/>
        </w:rPr>
        <w:t xml:space="preserve"> Throughout the semester, the Microbiology Department hosts speakers from outside UGA to present a seminar on topics involving current microbiological research</w:t>
      </w:r>
      <w:r w:rsidR="00D401AC">
        <w:rPr>
          <w:rFonts w:cs="Helvetica"/>
          <w:u w:color="0B36A2"/>
        </w:rPr>
        <w:t>, and this semester will present our seminars via Zoom meetings</w:t>
      </w:r>
      <w:r>
        <w:rPr>
          <w:rFonts w:cs="Helvetica"/>
          <w:u w:color="0B36A2"/>
        </w:rPr>
        <w:t>.  These lectures are generally Thursday at 11 am, and I will announce the speaker</w:t>
      </w:r>
      <w:r w:rsidR="00D401AC">
        <w:rPr>
          <w:rFonts w:cs="Helvetica"/>
          <w:u w:color="0B36A2"/>
        </w:rPr>
        <w:t>, t</w:t>
      </w:r>
      <w:r>
        <w:rPr>
          <w:rFonts w:cs="Helvetica"/>
          <w:u w:color="0B36A2"/>
        </w:rPr>
        <w:t>he topic</w:t>
      </w:r>
      <w:r w:rsidR="00D401AC">
        <w:rPr>
          <w:rFonts w:cs="Helvetica"/>
          <w:u w:color="0B36A2"/>
        </w:rPr>
        <w:t>, and the Zoom link</w:t>
      </w:r>
      <w:r>
        <w:rPr>
          <w:rFonts w:cs="Helvetica"/>
          <w:u w:color="0B36A2"/>
        </w:rPr>
        <w:t xml:space="preserve"> on the Wednesday before the seminar.   To obtain extra credit, you may attend up to three of these lectures, and write a one-page, single-spaced summary of this lecture, to be handed to me (directly or by email), no later than 5pm of the Monday following the lecture.  In this summary, be sure to highlight the hypothesis and conclusions of the research, and discuss the techniques used to come to those conclusions.  Each acceptable summary will be worth </w:t>
      </w:r>
      <w:r w:rsidR="00D401AC">
        <w:rPr>
          <w:rFonts w:cs="Helvetica"/>
          <w:u w:color="0B36A2"/>
        </w:rPr>
        <w:t>2</w:t>
      </w:r>
      <w:r>
        <w:rPr>
          <w:rFonts w:cs="Helvetica"/>
          <w:u w:color="0B36A2"/>
        </w:rPr>
        <w:t xml:space="preserve"> pts, for a total of </w:t>
      </w:r>
      <w:r w:rsidR="00D401AC">
        <w:rPr>
          <w:rFonts w:cs="Helvetica"/>
          <w:u w:color="0B36A2"/>
        </w:rPr>
        <w:t>6</w:t>
      </w:r>
      <w:r>
        <w:rPr>
          <w:rFonts w:cs="Helvetica"/>
          <w:u w:color="0B36A2"/>
        </w:rPr>
        <w:t xml:space="preserve"> extra points.</w:t>
      </w:r>
    </w:p>
    <w:p w14:paraId="3840AFA1" w14:textId="77777777" w:rsidR="00B66CED" w:rsidRDefault="00B66CED" w:rsidP="00B66CED">
      <w:pPr>
        <w:rPr>
          <w:rFonts w:cs="Helvetica"/>
          <w:u w:color="0B36A2"/>
        </w:rPr>
      </w:pPr>
    </w:p>
    <w:p w14:paraId="249E8E31" w14:textId="00D9A49C" w:rsidR="00B66CED" w:rsidRPr="007745E5" w:rsidRDefault="00B66CED" w:rsidP="00B66CED">
      <w:pPr>
        <w:rPr>
          <w:rFonts w:cs="Helvetica"/>
          <w:b/>
          <w:color w:val="0B36A2"/>
          <w:u w:val="single" w:color="0B36A2"/>
        </w:rPr>
      </w:pPr>
      <w:r>
        <w:rPr>
          <w:b/>
        </w:rPr>
        <w:t>Students registered for MIBO6090:</w:t>
      </w:r>
      <w:r>
        <w:t xml:space="preserve">  In addition to following the above, graduate students enrolled in this course are required to write a 15-page review paper (not including references) on a topic encompassing some aspect of microbial physiology, and present a 20-min seminar on this topic at the end of the semester.  The format </w:t>
      </w:r>
      <w:r>
        <w:lastRenderedPageBreak/>
        <w:t xml:space="preserve">will be similar to that presented for the Undergraduate Honors Option (separate file).  This paper will be worth </w:t>
      </w:r>
      <w:r w:rsidR="002E5F41">
        <w:t>8</w:t>
      </w:r>
      <w:r>
        <w:t xml:space="preserve">0 points, and 6090 students will have a total possible point total of </w:t>
      </w:r>
      <w:r w:rsidR="00BF0DA7">
        <w:t>3</w:t>
      </w:r>
      <w:r w:rsidR="0095328B">
        <w:t>70</w:t>
      </w:r>
      <w:r>
        <w:t xml:space="preserve">.  </w:t>
      </w:r>
    </w:p>
    <w:p w14:paraId="71C1AFBC" w14:textId="77777777" w:rsidR="00B66CED" w:rsidRPr="0065436E" w:rsidRDefault="00B66CED" w:rsidP="00B66CED">
      <w:pPr>
        <w:rPr>
          <w:rFonts w:cs="Helvetica"/>
          <w:u w:color="0B36A2"/>
        </w:rPr>
      </w:pPr>
    </w:p>
    <w:p w14:paraId="2E7FB982" w14:textId="77777777" w:rsidR="00B66CED" w:rsidRDefault="00B66CED" w:rsidP="00B66CED">
      <w:pPr>
        <w:rPr>
          <w:rFonts w:cs="Helvetica"/>
          <w:u w:color="0B36A2"/>
        </w:rPr>
      </w:pPr>
      <w:proofErr w:type="spellStart"/>
      <w:r>
        <w:rPr>
          <w:rFonts w:cs="Helvetica"/>
          <w:b/>
          <w:u w:color="0B36A2"/>
        </w:rPr>
        <w:t>eLC</w:t>
      </w:r>
      <w:proofErr w:type="spellEnd"/>
      <w:r>
        <w:rPr>
          <w:rFonts w:cs="Helvetica"/>
          <w:b/>
          <w:u w:color="0B36A2"/>
        </w:rPr>
        <w:t xml:space="preserve"> use:</w:t>
      </w:r>
      <w:r>
        <w:rPr>
          <w:rFonts w:cs="Helvetica"/>
          <w:u w:color="0B36A2"/>
        </w:rPr>
        <w:t xml:space="preserve">  Slides used for each lecture will try to be placed on </w:t>
      </w:r>
      <w:proofErr w:type="spellStart"/>
      <w:r>
        <w:rPr>
          <w:rFonts w:cs="Helvetica"/>
          <w:u w:color="0B36A2"/>
        </w:rPr>
        <w:t>eLC</w:t>
      </w:r>
      <w:proofErr w:type="spellEnd"/>
      <w:r>
        <w:rPr>
          <w:rFonts w:cs="Helvetica"/>
          <w:u w:color="0B36A2"/>
        </w:rPr>
        <w:t xml:space="preserve"> </w:t>
      </w:r>
      <w:r>
        <w:rPr>
          <w:rFonts w:cs="Helvetica"/>
          <w:b/>
          <w:u w:color="0B36A2"/>
        </w:rPr>
        <w:t>before</w:t>
      </w:r>
      <w:r>
        <w:rPr>
          <w:rFonts w:cs="Helvetica"/>
          <w:u w:color="0B36A2"/>
        </w:rPr>
        <w:t xml:space="preserve"> each lecture.  I will do my best to maintain communication in </w:t>
      </w:r>
      <w:proofErr w:type="spellStart"/>
      <w:r>
        <w:rPr>
          <w:rFonts w:cs="Helvetica"/>
          <w:u w:color="0B36A2"/>
        </w:rPr>
        <w:t>eLC</w:t>
      </w:r>
      <w:proofErr w:type="spellEnd"/>
      <w:r>
        <w:rPr>
          <w:rFonts w:cs="Helvetica"/>
          <w:u w:color="0B36A2"/>
        </w:rPr>
        <w:t xml:space="preserve">, but if you submit a question to me via </w:t>
      </w:r>
      <w:proofErr w:type="spellStart"/>
      <w:r>
        <w:rPr>
          <w:rFonts w:cs="Helvetica"/>
          <w:u w:color="0B36A2"/>
        </w:rPr>
        <w:t>eLC</w:t>
      </w:r>
      <w:proofErr w:type="spellEnd"/>
      <w:r>
        <w:rPr>
          <w:rFonts w:cs="Helvetica"/>
          <w:u w:color="0B36A2"/>
        </w:rPr>
        <w:t>, please email me directly – just to remind me.  Supplemental notes and texts will be provided here, when necessary.</w:t>
      </w:r>
    </w:p>
    <w:p w14:paraId="493552EB" w14:textId="77777777" w:rsidR="00B66CED" w:rsidRDefault="00B66CED" w:rsidP="00B66CED">
      <w:pPr>
        <w:rPr>
          <w:rFonts w:cs="Helvetica"/>
          <w:u w:color="0B36A2"/>
        </w:rPr>
      </w:pPr>
    </w:p>
    <w:p w14:paraId="1DBAE8A0" w14:textId="417B3AB2" w:rsidR="00B66CED" w:rsidRDefault="00B66CED" w:rsidP="00B66CED">
      <w:pPr>
        <w:rPr>
          <w:rFonts w:cs="Helvetica"/>
          <w:u w:color="0B36A2"/>
        </w:rPr>
      </w:pPr>
      <w:r>
        <w:rPr>
          <w:rFonts w:cs="Helvetica"/>
          <w:b/>
          <w:u w:color="0B36A2"/>
        </w:rPr>
        <w:t>Attendance:</w:t>
      </w:r>
      <w:r>
        <w:rPr>
          <w:rFonts w:cs="Helvetica"/>
          <w:u w:color="0B36A2"/>
        </w:rPr>
        <w:t xml:space="preserve">  Attendance to these sessions comprises an important part of our classroom experience</w:t>
      </w:r>
      <w:r w:rsidR="00404912">
        <w:rPr>
          <w:rFonts w:cs="Helvetica"/>
          <w:u w:color="0B36A2"/>
        </w:rPr>
        <w:t xml:space="preserve"> and I urge you all to attend class in-person. Given that we are still dealing with the possibility of isolation and quarantines, however, I will *not* take attendance for the Fall 2021 semester.</w:t>
      </w:r>
    </w:p>
    <w:p w14:paraId="34012ADE" w14:textId="2BD6594C" w:rsidR="00ED4FD1" w:rsidRDefault="00ED4FD1" w:rsidP="00B66CED">
      <w:pPr>
        <w:rPr>
          <w:rFonts w:cs="Helvetica"/>
          <w:u w:color="0B36A2"/>
        </w:rPr>
      </w:pPr>
    </w:p>
    <w:p w14:paraId="614532EB" w14:textId="3FA74E7C" w:rsidR="00ED4FD1" w:rsidRPr="00ED4FD1" w:rsidRDefault="00ED4FD1" w:rsidP="00ED4FD1">
      <w:pPr>
        <w:rPr>
          <w:b/>
          <w:i/>
          <w:iCs/>
          <w:color w:val="000000" w:themeColor="text1"/>
          <w:lang w:eastAsia="en-US"/>
          <w14:textOutline w14:w="0" w14:cap="flat" w14:cmpd="sng" w14:algn="ctr">
            <w14:noFill/>
            <w14:prstDash w14:val="solid"/>
            <w14:round/>
          </w14:textOutline>
        </w:rPr>
      </w:pPr>
      <w:r w:rsidRPr="00ED4FD1">
        <w:rPr>
          <w:rStyle w:val="Emphasis"/>
          <w:rFonts w:cs="Arial"/>
          <w:b/>
          <w:i w:val="0"/>
          <w:iCs w:val="0"/>
          <w:color w:val="000000" w:themeColor="text1"/>
          <w14:textOutline w14:w="0" w14:cap="flat" w14:cmpd="sng" w14:algn="ctr">
            <w14:noFill/>
            <w14:prstDash w14:val="solid"/>
            <w14:round/>
          </w14:textOutline>
        </w:rPr>
        <w:t>Mental Health and Wellness Resources:</w:t>
      </w:r>
    </w:p>
    <w:p w14:paraId="36BF4DA5" w14:textId="77777777" w:rsidR="00ED4FD1" w:rsidRPr="00ED4FD1" w:rsidRDefault="00ED4FD1" w:rsidP="00ED4FD1">
      <w:pPr>
        <w:numPr>
          <w:ilvl w:val="0"/>
          <w:numId w:val="1"/>
        </w:numPr>
        <w:spacing w:before="100" w:beforeAutospacing="1" w:after="100" w:afterAutospacing="1"/>
        <w:rPr>
          <w:rFonts w:cs="Arial"/>
          <w:i/>
          <w:iCs/>
          <w:color w:val="000000" w:themeColor="text1"/>
          <w14:textOutline w14:w="0" w14:cap="flat" w14:cmpd="sng" w14:algn="ctr">
            <w14:noFill/>
            <w14:prstDash w14:val="solid"/>
            <w14:round/>
          </w14:textOutline>
        </w:rPr>
      </w:pPr>
      <w:r w:rsidRPr="00ED4FD1">
        <w:rPr>
          <w:rStyle w:val="Emphasis"/>
          <w:rFonts w:cs="Arial"/>
          <w:i w:val="0"/>
          <w:iCs w:val="0"/>
          <w:color w:val="000000" w:themeColor="text1"/>
          <w14:textOutline w14:w="0" w14:cap="flat" w14:cmpd="sng" w14:algn="ctr">
            <w14:noFill/>
            <w14:prstDash w14:val="solid"/>
            <w14:round/>
          </w14:textOutline>
        </w:rPr>
        <w:t>If you or someone you know needs assistance, you are encouraged to contact Student Care and Outreach in the Division of Student Affairs at 706-542-7774 or visit</w:t>
      </w:r>
      <w:r w:rsidRPr="00ED4FD1">
        <w:rPr>
          <w:rStyle w:val="apple-converted-space"/>
          <w:rFonts w:cs="Arial"/>
          <w:i/>
          <w:iCs/>
          <w:color w:val="000000" w:themeColor="text1"/>
          <w14:textOutline w14:w="0" w14:cap="flat" w14:cmpd="sng" w14:algn="ctr">
            <w14:noFill/>
            <w14:prstDash w14:val="solid"/>
            <w14:round/>
          </w14:textOutline>
        </w:rPr>
        <w:t> </w:t>
      </w:r>
      <w:hyperlink r:id="rId10" w:history="1">
        <w:r w:rsidRPr="00ED4FD1">
          <w:rPr>
            <w:rStyle w:val="Hyperlink"/>
            <w:rFonts w:cs="Arial"/>
            <w:i/>
            <w:iCs/>
            <w:color w:val="000000" w:themeColor="text1"/>
            <w14:textOutline w14:w="0" w14:cap="flat" w14:cmpd="sng" w14:algn="ctr">
              <w14:noFill/>
              <w14:prstDash w14:val="solid"/>
              <w14:round/>
            </w14:textOutline>
          </w:rPr>
          <w:t>https://sco.uga.edu</w:t>
        </w:r>
      </w:hyperlink>
      <w:r w:rsidRPr="00ED4FD1">
        <w:rPr>
          <w:rStyle w:val="Emphasis"/>
          <w:rFonts w:cs="Arial"/>
          <w:i w:val="0"/>
          <w:iCs w:val="0"/>
          <w:color w:val="000000" w:themeColor="text1"/>
          <w14:textOutline w14:w="0" w14:cap="flat" w14:cmpd="sng" w14:algn="ctr">
            <w14:noFill/>
            <w14:prstDash w14:val="solid"/>
            <w14:round/>
          </w14:textOutline>
        </w:rPr>
        <w:t>. They will help you navigate any difficult circumstances you may be facing by connecting you with the appropriate resources or services. </w:t>
      </w:r>
    </w:p>
    <w:p w14:paraId="64127879" w14:textId="77777777" w:rsidR="00ED4FD1" w:rsidRPr="00ED4FD1" w:rsidRDefault="00ED4FD1" w:rsidP="00ED4FD1">
      <w:pPr>
        <w:numPr>
          <w:ilvl w:val="0"/>
          <w:numId w:val="1"/>
        </w:numPr>
        <w:spacing w:before="100" w:beforeAutospacing="1" w:after="100" w:afterAutospacing="1"/>
        <w:rPr>
          <w:rFonts w:cs="Arial"/>
          <w:i/>
          <w:iCs/>
          <w:color w:val="000000" w:themeColor="text1"/>
          <w14:textOutline w14:w="0" w14:cap="flat" w14:cmpd="sng" w14:algn="ctr">
            <w14:noFill/>
            <w14:prstDash w14:val="solid"/>
            <w14:round/>
          </w14:textOutline>
        </w:rPr>
      </w:pPr>
      <w:r w:rsidRPr="00ED4FD1">
        <w:rPr>
          <w:rStyle w:val="Emphasis"/>
          <w:rFonts w:cs="Arial"/>
          <w:i w:val="0"/>
          <w:iCs w:val="0"/>
          <w:color w:val="000000" w:themeColor="text1"/>
          <w14:textOutline w14:w="0" w14:cap="flat" w14:cmpd="sng" w14:algn="ctr">
            <w14:noFill/>
            <w14:prstDash w14:val="solid"/>
            <w14:round/>
          </w14:textOutline>
        </w:rPr>
        <w:t>UGA has several resources for a student seeking mental health services (</w:t>
      </w:r>
      <w:hyperlink r:id="rId11" w:history="1">
        <w:r w:rsidRPr="00ED4FD1">
          <w:rPr>
            <w:rStyle w:val="Hyperlink"/>
            <w:rFonts w:cs="Arial"/>
            <w:i/>
            <w:iCs/>
            <w:color w:val="000000" w:themeColor="text1"/>
            <w14:textOutline w14:w="0" w14:cap="flat" w14:cmpd="sng" w14:algn="ctr">
              <w14:noFill/>
              <w14:prstDash w14:val="solid"/>
              <w14:round/>
            </w14:textOutline>
          </w:rPr>
          <w:t>https://www.uhs.uga.edu/bewelluga/bewelluga</w:t>
        </w:r>
      </w:hyperlink>
      <w:r w:rsidRPr="00ED4FD1">
        <w:rPr>
          <w:rStyle w:val="Emphasis"/>
          <w:rFonts w:cs="Arial"/>
          <w:i w:val="0"/>
          <w:iCs w:val="0"/>
          <w:color w:val="000000" w:themeColor="text1"/>
          <w14:textOutline w14:w="0" w14:cap="flat" w14:cmpd="sng" w14:algn="ctr">
            <w14:noFill/>
            <w14:prstDash w14:val="solid"/>
            <w14:round/>
          </w14:textOutline>
        </w:rPr>
        <w:t>) or crisis support (</w:t>
      </w:r>
      <w:hyperlink r:id="rId12" w:history="1">
        <w:r w:rsidRPr="00ED4FD1">
          <w:rPr>
            <w:rStyle w:val="Hyperlink"/>
            <w:rFonts w:cs="Arial"/>
            <w:i/>
            <w:iCs/>
            <w:color w:val="000000" w:themeColor="text1"/>
            <w14:textOutline w14:w="0" w14:cap="flat" w14:cmpd="sng" w14:algn="ctr">
              <w14:noFill/>
              <w14:prstDash w14:val="solid"/>
              <w14:round/>
            </w14:textOutline>
          </w:rPr>
          <w:t>https://www.uhs.uga.edu/info/emergencies</w:t>
        </w:r>
      </w:hyperlink>
      <w:r w:rsidRPr="00ED4FD1">
        <w:rPr>
          <w:rStyle w:val="Emphasis"/>
          <w:rFonts w:cs="Arial"/>
          <w:i w:val="0"/>
          <w:iCs w:val="0"/>
          <w:color w:val="000000" w:themeColor="text1"/>
          <w14:textOutline w14:w="0" w14:cap="flat" w14:cmpd="sng" w14:algn="ctr">
            <w14:noFill/>
            <w14:prstDash w14:val="solid"/>
            <w14:round/>
          </w14:textOutline>
        </w:rPr>
        <w:t>). </w:t>
      </w:r>
    </w:p>
    <w:p w14:paraId="33A4A960" w14:textId="77777777" w:rsidR="00ED4FD1" w:rsidRPr="00ED4FD1" w:rsidRDefault="00ED4FD1" w:rsidP="00ED4FD1">
      <w:pPr>
        <w:numPr>
          <w:ilvl w:val="0"/>
          <w:numId w:val="1"/>
        </w:numPr>
        <w:spacing w:before="100" w:beforeAutospacing="1" w:after="100" w:afterAutospacing="1"/>
        <w:rPr>
          <w:rFonts w:cs="Arial"/>
          <w:i/>
          <w:iCs/>
          <w:color w:val="000000" w:themeColor="text1"/>
          <w14:textOutline w14:w="0" w14:cap="flat" w14:cmpd="sng" w14:algn="ctr">
            <w14:noFill/>
            <w14:prstDash w14:val="solid"/>
            <w14:round/>
          </w14:textOutline>
        </w:rPr>
      </w:pPr>
      <w:r w:rsidRPr="00ED4FD1">
        <w:rPr>
          <w:rStyle w:val="Emphasis"/>
          <w:rFonts w:cs="Arial"/>
          <w:i w:val="0"/>
          <w:iCs w:val="0"/>
          <w:color w:val="000000" w:themeColor="text1"/>
          <w14:textOutline w14:w="0" w14:cap="flat" w14:cmpd="sng" w14:algn="ctr">
            <w14:noFill/>
            <w14:prstDash w14:val="solid"/>
            <w14:round/>
          </w14:textOutline>
        </w:rPr>
        <w:t xml:space="preserve">If you need help managing stress anxiety, relationships, etc., please visit </w:t>
      </w:r>
      <w:proofErr w:type="spellStart"/>
      <w:r w:rsidRPr="00ED4FD1">
        <w:rPr>
          <w:rStyle w:val="Emphasis"/>
          <w:rFonts w:cs="Arial"/>
          <w:i w:val="0"/>
          <w:iCs w:val="0"/>
          <w:color w:val="000000" w:themeColor="text1"/>
          <w14:textOutline w14:w="0" w14:cap="flat" w14:cmpd="sng" w14:algn="ctr">
            <w14:noFill/>
            <w14:prstDash w14:val="solid"/>
            <w14:round/>
          </w14:textOutline>
        </w:rPr>
        <w:t>BeWellUGA</w:t>
      </w:r>
      <w:proofErr w:type="spellEnd"/>
      <w:r w:rsidRPr="00ED4FD1">
        <w:rPr>
          <w:rStyle w:val="Emphasis"/>
          <w:rFonts w:cs="Arial"/>
          <w:i w:val="0"/>
          <w:iCs w:val="0"/>
          <w:color w:val="000000" w:themeColor="text1"/>
          <w14:textOutline w14:w="0" w14:cap="flat" w14:cmpd="sng" w14:algn="ctr">
            <w14:noFill/>
            <w14:prstDash w14:val="solid"/>
            <w14:round/>
          </w14:textOutline>
        </w:rPr>
        <w:t xml:space="preserve"> (</w:t>
      </w:r>
      <w:hyperlink r:id="rId13" w:history="1">
        <w:r w:rsidRPr="00ED4FD1">
          <w:rPr>
            <w:rStyle w:val="Hyperlink"/>
            <w:rFonts w:cs="Arial"/>
            <w:i/>
            <w:iCs/>
            <w:color w:val="000000" w:themeColor="text1"/>
            <w14:textOutline w14:w="0" w14:cap="flat" w14:cmpd="sng" w14:algn="ctr">
              <w14:noFill/>
              <w14:prstDash w14:val="solid"/>
              <w14:round/>
            </w14:textOutline>
          </w:rPr>
          <w:t>https://www.uhs.uga.edu/bewelluga/bewelluga</w:t>
        </w:r>
      </w:hyperlink>
      <w:r w:rsidRPr="00ED4FD1">
        <w:rPr>
          <w:rStyle w:val="Emphasis"/>
          <w:rFonts w:cs="Arial"/>
          <w:i w:val="0"/>
          <w:iCs w:val="0"/>
          <w:color w:val="000000" w:themeColor="text1"/>
          <w14:textOutline w14:w="0" w14:cap="flat" w14:cmpd="sng" w14:algn="ctr">
            <w14:noFill/>
            <w14:prstDash w14:val="solid"/>
            <w14:round/>
          </w14:textOutline>
        </w:rPr>
        <w:t>) for a list of FREE workshops, classes, mentoring, and health coaching led by licensed clinicians and health educators in the University Health Center. </w:t>
      </w:r>
    </w:p>
    <w:p w14:paraId="592C797F" w14:textId="04294E23" w:rsidR="00ED4FD1" w:rsidRPr="00ED4FD1" w:rsidRDefault="00ED4FD1" w:rsidP="00B66CED">
      <w:pPr>
        <w:numPr>
          <w:ilvl w:val="0"/>
          <w:numId w:val="1"/>
        </w:numPr>
        <w:spacing w:before="100" w:beforeAutospacing="1" w:after="100" w:afterAutospacing="1"/>
        <w:rPr>
          <w:rFonts w:cs="Arial"/>
          <w:i/>
          <w:iCs/>
          <w:color w:val="000000" w:themeColor="text1"/>
          <w14:textOutline w14:w="0" w14:cap="flat" w14:cmpd="sng" w14:algn="ctr">
            <w14:noFill/>
            <w14:prstDash w14:val="solid"/>
            <w14:round/>
          </w14:textOutline>
        </w:rPr>
      </w:pPr>
      <w:r w:rsidRPr="00ED4FD1">
        <w:rPr>
          <w:rStyle w:val="Emphasis"/>
          <w:rFonts w:cs="Arial"/>
          <w:i w:val="0"/>
          <w:iCs w:val="0"/>
          <w:color w:val="000000" w:themeColor="text1"/>
          <w14:textOutline w14:w="0" w14:cap="flat" w14:cmpd="sng" w14:algn="ctr">
            <w14:noFill/>
            <w14:prstDash w14:val="solid"/>
            <w14:round/>
          </w14:textOutline>
        </w:rPr>
        <w:t>Additional resources can be accessed through the UGA App. </w:t>
      </w:r>
    </w:p>
    <w:p w14:paraId="01F132E0" w14:textId="1D3977EB" w:rsidR="0018003D" w:rsidRDefault="0018003D" w:rsidP="00B66CED">
      <w:pPr>
        <w:rPr>
          <w:rFonts w:cs="Helvetica"/>
          <w:u w:color="0B36A2"/>
        </w:rPr>
      </w:pPr>
    </w:p>
    <w:p w14:paraId="13AD9D5B" w14:textId="77777777" w:rsidR="0018003D" w:rsidRPr="003C3056" w:rsidRDefault="0018003D" w:rsidP="0018003D">
      <w:pPr>
        <w:rPr>
          <w:rFonts w:eastAsia="Times New Roman" w:cstheme="minorHAnsi"/>
          <w:b/>
          <w:bCs/>
          <w:u w:val="single"/>
        </w:rPr>
      </w:pPr>
      <w:r w:rsidRPr="003C3056">
        <w:rPr>
          <w:rFonts w:eastAsia="Times New Roman" w:cstheme="minorHAnsi"/>
          <w:b/>
          <w:bCs/>
          <w:u w:val="single"/>
        </w:rPr>
        <w:t xml:space="preserve">Coronavirus Information for Students </w:t>
      </w:r>
    </w:p>
    <w:p w14:paraId="067A7677" w14:textId="77777777" w:rsidR="0018003D" w:rsidRPr="003C3056" w:rsidRDefault="0018003D" w:rsidP="0018003D">
      <w:pPr>
        <w:rPr>
          <w:rFonts w:eastAsia="Times New Roman" w:cstheme="minorHAnsi"/>
          <w:b/>
          <w:bCs/>
        </w:rPr>
      </w:pPr>
    </w:p>
    <w:p w14:paraId="231F74DF" w14:textId="77777777" w:rsidR="0018003D" w:rsidRPr="003C3056" w:rsidRDefault="0018003D" w:rsidP="0018003D">
      <w:pPr>
        <w:rPr>
          <w:rFonts w:eastAsia="Times New Roman" w:cstheme="minorHAnsi"/>
          <w:bCs/>
        </w:rPr>
      </w:pPr>
      <w:r w:rsidRPr="003C3056">
        <w:rPr>
          <w:rFonts w:eastAsia="Times New Roman" w:cstheme="minorHAnsi"/>
          <w:b/>
          <w:bCs/>
        </w:rPr>
        <w:t>Face Coverings:</w:t>
      </w:r>
      <w:r w:rsidRPr="003C3056">
        <w:rPr>
          <w:rFonts w:eastAsia="Times New Roman" w:cstheme="minorHAnsi"/>
          <w:bCs/>
        </w:rPr>
        <w:t xml:space="preserve">  </w:t>
      </w:r>
    </w:p>
    <w:p w14:paraId="08D346FD" w14:textId="77777777" w:rsidR="0018003D" w:rsidRPr="003C3056" w:rsidRDefault="0018003D" w:rsidP="0018003D">
      <w:pPr>
        <w:rPr>
          <w:rFonts w:eastAsia="Times New Roman" w:cstheme="minorHAnsi"/>
        </w:rPr>
      </w:pPr>
    </w:p>
    <w:p w14:paraId="2C56FF53" w14:textId="5F0380AD" w:rsidR="0018003D" w:rsidRDefault="00A157A4" w:rsidP="0018003D">
      <w:pPr>
        <w:rPr>
          <w:rFonts w:eastAsia="Times New Roman"/>
        </w:rPr>
      </w:pPr>
      <w:r>
        <w:rPr>
          <w:rFonts w:eastAsia="Times New Roman"/>
        </w:rPr>
        <w:t xml:space="preserve">At the time this syllabus was written, </w:t>
      </w:r>
      <w:proofErr w:type="gramStart"/>
      <w:r>
        <w:rPr>
          <w:rFonts w:eastAsia="Times New Roman"/>
        </w:rPr>
        <w:t>Athens-Clarke county</w:t>
      </w:r>
      <w:proofErr w:type="gramEnd"/>
      <w:r>
        <w:rPr>
          <w:rFonts w:eastAsia="Times New Roman"/>
        </w:rPr>
        <w:t xml:space="preserve"> has requested that all individuals wear face coverings/masks indoors, regardless of vaccination status. </w:t>
      </w:r>
      <w:r w:rsidR="008A319B">
        <w:rPr>
          <w:rFonts w:eastAsia="Times New Roman"/>
        </w:rPr>
        <w:t>While</w:t>
      </w:r>
      <w:r>
        <w:rPr>
          <w:rFonts w:eastAsia="Times New Roman"/>
        </w:rPr>
        <w:t xml:space="preserve"> the University System of Georgia has not mandated masks in the classroom</w:t>
      </w:r>
      <w:r w:rsidR="00404912">
        <w:rPr>
          <w:rFonts w:eastAsia="Times New Roman"/>
        </w:rPr>
        <w:t xml:space="preserve">, </w:t>
      </w:r>
      <w:r w:rsidR="008A319B">
        <w:rPr>
          <w:rFonts w:eastAsia="Times New Roman"/>
        </w:rPr>
        <w:t>they do recommend wearing a face covering while indoors.</w:t>
      </w:r>
    </w:p>
    <w:p w14:paraId="19BA0AE5" w14:textId="1140A4F2" w:rsidR="00404912" w:rsidRDefault="00404912" w:rsidP="0018003D">
      <w:pPr>
        <w:rPr>
          <w:rFonts w:eastAsia="Times New Roman"/>
        </w:rPr>
      </w:pPr>
    </w:p>
    <w:p w14:paraId="64E524A6" w14:textId="77777777" w:rsidR="00404912" w:rsidRPr="00404912" w:rsidRDefault="00404912" w:rsidP="00404912">
      <w:pPr>
        <w:rPr>
          <w:rFonts w:eastAsia="Times New Roman"/>
        </w:rPr>
      </w:pPr>
      <w:r w:rsidRPr="00404912">
        <w:rPr>
          <w:rFonts w:eastAsia="Times New Roman"/>
          <w:b/>
          <w:bCs/>
        </w:rPr>
        <w:t xml:space="preserve">How can I obtain the COVID-19 vaccine? </w:t>
      </w:r>
    </w:p>
    <w:p w14:paraId="45BBE06D" w14:textId="77777777" w:rsidR="00404912" w:rsidRPr="00404912" w:rsidRDefault="00404912" w:rsidP="00404912">
      <w:pPr>
        <w:rPr>
          <w:rFonts w:eastAsia="Times New Roman"/>
        </w:rPr>
      </w:pPr>
      <w:r w:rsidRPr="00404912">
        <w:rPr>
          <w:rFonts w:eastAsia="Times New Roman"/>
        </w:rPr>
        <w:t xml:space="preserve">University Health Center is scheduling appointments for students through the UHC Patient Portal (https://patientportal.uhs.uga.edu/login_dualauthentication.aspx). Learn more here – https://www.uhs.uga.edu/healthtopics/covid-vaccine. </w:t>
      </w:r>
    </w:p>
    <w:p w14:paraId="539D938F" w14:textId="6AEFB865" w:rsidR="00404912" w:rsidRDefault="00404912" w:rsidP="00404912">
      <w:pPr>
        <w:rPr>
          <w:rFonts w:eastAsia="Times New Roman"/>
        </w:rPr>
      </w:pPr>
      <w:r w:rsidRPr="00404912">
        <w:rPr>
          <w:rFonts w:eastAsia="Times New Roman"/>
        </w:rPr>
        <w:lastRenderedPageBreak/>
        <w:t>The Georgia Department of Health, pharmacy chains and local providers also offer the COVID- 19 vaccine at no cost to you. To find a COVID-19 vaccination location near you, please go</w:t>
      </w:r>
      <w:r>
        <w:rPr>
          <w:rFonts w:eastAsia="Times New Roman"/>
        </w:rPr>
        <w:t xml:space="preserve"> </w:t>
      </w:r>
      <w:r w:rsidRPr="00404912">
        <w:rPr>
          <w:rFonts w:eastAsia="Times New Roman"/>
        </w:rPr>
        <w:t xml:space="preserve">to: </w:t>
      </w:r>
      <w:hyperlink r:id="rId14" w:history="1">
        <w:r w:rsidRPr="00404912">
          <w:rPr>
            <w:rStyle w:val="Hyperlink"/>
            <w:rFonts w:eastAsia="Times New Roman"/>
          </w:rPr>
          <w:t>https://georgia.gov/covid-vaccine</w:t>
        </w:r>
      </w:hyperlink>
      <w:r w:rsidRPr="00404912">
        <w:rPr>
          <w:rFonts w:eastAsia="Times New Roman"/>
        </w:rPr>
        <w:t xml:space="preserve">. </w:t>
      </w:r>
    </w:p>
    <w:p w14:paraId="3D6916FD" w14:textId="77777777" w:rsidR="00404912" w:rsidRPr="00404912" w:rsidRDefault="00404912" w:rsidP="00404912">
      <w:pPr>
        <w:rPr>
          <w:rFonts w:eastAsia="Times New Roman"/>
        </w:rPr>
      </w:pPr>
    </w:p>
    <w:p w14:paraId="5F32A63F" w14:textId="577DB7CD" w:rsidR="00404912" w:rsidRPr="00404912" w:rsidRDefault="00404912" w:rsidP="00404912">
      <w:pPr>
        <w:rPr>
          <w:rFonts w:eastAsia="Times New Roman"/>
        </w:rPr>
      </w:pPr>
      <w:r w:rsidRPr="00404912">
        <w:rPr>
          <w:rFonts w:eastAsia="Times New Roman"/>
        </w:rPr>
        <w:t>In addition, the University System of Georgia has made COVID-19 vaccines available at 15 campuses statewide and you can locate one here:</w:t>
      </w:r>
      <w:r>
        <w:rPr>
          <w:rFonts w:eastAsia="Times New Roman"/>
        </w:rPr>
        <w:t xml:space="preserve"> </w:t>
      </w:r>
      <w:r w:rsidRPr="00404912">
        <w:rPr>
          <w:rFonts w:eastAsia="Times New Roman"/>
        </w:rPr>
        <w:t xml:space="preserve">https://www.usg.edu/vaccination </w:t>
      </w:r>
    </w:p>
    <w:p w14:paraId="7804A2C4" w14:textId="77777777" w:rsidR="00404912" w:rsidRPr="003C3056" w:rsidRDefault="00404912" w:rsidP="0018003D">
      <w:pPr>
        <w:rPr>
          <w:rFonts w:eastAsia="Times New Roman"/>
        </w:rPr>
      </w:pPr>
    </w:p>
    <w:p w14:paraId="208DDB76" w14:textId="77777777" w:rsidR="0018003D" w:rsidRPr="003C3056" w:rsidRDefault="0018003D" w:rsidP="0018003D">
      <w:pPr>
        <w:rPr>
          <w:rFonts w:eastAsia="Times New Roman"/>
        </w:rPr>
      </w:pPr>
      <w:r w:rsidRPr="003C3056" w:rsidDel="00526B06">
        <w:rPr>
          <w:rFonts w:eastAsia="Times New Roman"/>
        </w:rPr>
        <w:t xml:space="preserve"> </w:t>
      </w:r>
    </w:p>
    <w:p w14:paraId="7D28FC34" w14:textId="77777777" w:rsidR="0018003D" w:rsidRPr="003C3056" w:rsidRDefault="0018003D" w:rsidP="0018003D">
      <w:pPr>
        <w:rPr>
          <w:rStyle w:val="Strong"/>
          <w:rFonts w:cstheme="minorHAnsi"/>
        </w:rPr>
      </w:pPr>
      <w:proofErr w:type="spellStart"/>
      <w:r w:rsidRPr="003C3056">
        <w:rPr>
          <w:rStyle w:val="Strong"/>
          <w:rFonts w:cstheme="minorHAnsi"/>
        </w:rPr>
        <w:t>DawgCheck</w:t>
      </w:r>
      <w:proofErr w:type="spellEnd"/>
      <w:r w:rsidRPr="003C3056">
        <w:rPr>
          <w:rStyle w:val="Strong"/>
          <w:rFonts w:cstheme="minorHAnsi"/>
        </w:rPr>
        <w:t xml:space="preserve">: </w:t>
      </w:r>
    </w:p>
    <w:p w14:paraId="28605BE4" w14:textId="77777777" w:rsidR="0018003D" w:rsidRPr="003C3056" w:rsidRDefault="0018003D" w:rsidP="0018003D">
      <w:pPr>
        <w:rPr>
          <w:rStyle w:val="Strong"/>
          <w:rFonts w:cstheme="minorHAnsi"/>
        </w:rPr>
      </w:pPr>
    </w:p>
    <w:p w14:paraId="13B1FD31" w14:textId="189CFE89" w:rsidR="0018003D" w:rsidRPr="003C3056" w:rsidRDefault="004E6477" w:rsidP="0018003D">
      <w:pPr>
        <w:rPr>
          <w:rFonts w:ascii="Calibri" w:hAnsi="Calibri"/>
          <w:color w:val="000000"/>
        </w:rPr>
      </w:pPr>
      <w:r>
        <w:t xml:space="preserve">You will no longer receive daily emails regarding COVID symptom checks(yay!). However, positive viral tests MUST still be reported through Dawg </w:t>
      </w:r>
      <w:proofErr w:type="gramStart"/>
      <w:r>
        <w:t xml:space="preserve">Check </w:t>
      </w:r>
      <w:r w:rsidR="0018003D" w:rsidRPr="003C3056">
        <w:rPr>
          <w:bCs/>
        </w:rPr>
        <w:t>:</w:t>
      </w:r>
      <w:proofErr w:type="gramEnd"/>
      <w:r w:rsidR="0018003D" w:rsidRPr="003C3056">
        <w:rPr>
          <w:bCs/>
        </w:rPr>
        <w:t xml:space="preserve"> </w:t>
      </w:r>
      <w:r w:rsidR="0018003D" w:rsidRPr="003C3056">
        <w:rPr>
          <w:rStyle w:val="apple-converted-space"/>
          <w:rFonts w:ascii="Calibri" w:hAnsi="Calibri"/>
          <w:color w:val="000000"/>
        </w:rPr>
        <w:t> </w:t>
      </w:r>
      <w:hyperlink r:id="rId15" w:history="1">
        <w:r w:rsidR="0018003D" w:rsidRPr="003C3056">
          <w:rPr>
            <w:rStyle w:val="Hyperlink"/>
            <w:rFonts w:ascii="Calibri" w:hAnsi="Calibri"/>
            <w:color w:val="954F72"/>
          </w:rPr>
          <w:t>https://dawgcheck.uga.edu/</w:t>
        </w:r>
      </w:hyperlink>
    </w:p>
    <w:p w14:paraId="2E4AFF98" w14:textId="77777777" w:rsidR="0018003D" w:rsidRPr="003C3056" w:rsidRDefault="0018003D" w:rsidP="0018003D">
      <w:pPr>
        <w:rPr>
          <w:rFonts w:eastAsia="Times New Roman" w:cstheme="minorHAnsi"/>
          <w:b/>
        </w:rPr>
      </w:pPr>
    </w:p>
    <w:p w14:paraId="0E3C25F1" w14:textId="77777777" w:rsidR="0018003D" w:rsidRPr="003C3056" w:rsidRDefault="0018003D" w:rsidP="0018003D">
      <w:pPr>
        <w:rPr>
          <w:rFonts w:eastAsia="Times New Roman" w:cstheme="minorHAnsi"/>
          <w:b/>
        </w:rPr>
      </w:pPr>
      <w:r w:rsidRPr="003C3056">
        <w:rPr>
          <w:rFonts w:eastAsia="Times New Roman" w:cstheme="minorHAnsi"/>
          <w:b/>
        </w:rPr>
        <w:t>What do I do if I have symptoms?</w:t>
      </w:r>
    </w:p>
    <w:p w14:paraId="3488391C" w14:textId="77777777" w:rsidR="0018003D" w:rsidRPr="003C3056" w:rsidRDefault="0018003D" w:rsidP="0018003D">
      <w:pPr>
        <w:rPr>
          <w:rFonts w:eastAsia="Times New Roman" w:cs="Times New Roman"/>
        </w:rPr>
      </w:pPr>
    </w:p>
    <w:p w14:paraId="6903C79A" w14:textId="77777777" w:rsidR="0018003D" w:rsidRPr="003C3056" w:rsidRDefault="0018003D" w:rsidP="0018003D">
      <w:pPr>
        <w:rPr>
          <w:rFonts w:eastAsia="Times New Roman" w:cs="Times New Roman"/>
        </w:rPr>
      </w:pPr>
      <w:r w:rsidRPr="003C3056">
        <w:rPr>
          <w:rFonts w:eastAsia="Times New Roman" w:cs="Times New Roman"/>
        </w:rPr>
        <w:t xml:space="preserve">Students showing symptoms should self-isolate and schedule an appointment with the University Health Center by calling 706-542-1162 (Monday-Friday, 8 a.m.-5 p.m.). Please DO NOT walk-in. For emergencies and after-hours care, see </w:t>
      </w:r>
      <w:hyperlink r:id="rId16" w:history="1">
        <w:r w:rsidRPr="003C3056">
          <w:rPr>
            <w:rStyle w:val="Hyperlink"/>
            <w:rFonts w:ascii="Calibri" w:eastAsia="Calibri" w:hAnsi="Calibri" w:cs="Calibri"/>
          </w:rPr>
          <w:t>https://www.uhs.uga.edu/info/emergencies</w:t>
        </w:r>
      </w:hyperlink>
      <w:r w:rsidRPr="003C3056">
        <w:rPr>
          <w:rStyle w:val="Hyperlink"/>
          <w:rFonts w:ascii="Calibri" w:eastAsia="Calibri" w:hAnsi="Calibri" w:cs="Calibri"/>
        </w:rPr>
        <w:t>.</w:t>
      </w:r>
    </w:p>
    <w:p w14:paraId="510D5661" w14:textId="77777777" w:rsidR="0018003D" w:rsidRPr="003C3056" w:rsidRDefault="0018003D" w:rsidP="0018003D">
      <w:pPr>
        <w:rPr>
          <w:rFonts w:eastAsia="Times New Roman" w:cstheme="minorHAnsi"/>
        </w:rPr>
      </w:pPr>
    </w:p>
    <w:p w14:paraId="07B7B59D" w14:textId="77777777" w:rsidR="0018003D" w:rsidRPr="003C3056" w:rsidRDefault="0018003D" w:rsidP="0018003D">
      <w:pPr>
        <w:rPr>
          <w:rFonts w:eastAsia="Times New Roman" w:cstheme="minorHAnsi"/>
          <w:b/>
        </w:rPr>
      </w:pPr>
      <w:r w:rsidRPr="003C3056">
        <w:rPr>
          <w:rFonts w:eastAsia="Times New Roman" w:cstheme="minorHAnsi"/>
          <w:b/>
        </w:rPr>
        <w:t>What do I do if I am notified that I have been exposed?</w:t>
      </w:r>
    </w:p>
    <w:p w14:paraId="2DBEEA81" w14:textId="77777777" w:rsidR="0018003D" w:rsidRPr="003C3056" w:rsidRDefault="0018003D" w:rsidP="0018003D">
      <w:pPr>
        <w:rPr>
          <w:rFonts w:eastAsia="Times New Roman" w:cstheme="minorHAnsi"/>
          <w:b/>
        </w:rPr>
      </w:pPr>
    </w:p>
    <w:p w14:paraId="10371F9F" w14:textId="77777777" w:rsidR="0018003D" w:rsidRPr="007907F4" w:rsidRDefault="0018003D" w:rsidP="0018003D">
      <w:pPr>
        <w:rPr>
          <w:rFonts w:ascii="Cambria" w:hAnsi="Cambria"/>
          <w:color w:val="000000" w:themeColor="text1"/>
        </w:rPr>
      </w:pPr>
      <w:r w:rsidRPr="007907F4">
        <w:rPr>
          <w:rFonts w:ascii="Cambria" w:eastAsia="Times New Roman" w:hAnsi="Cambria" w:cs="Times New Roman"/>
        </w:rPr>
        <w:t xml:space="preserve">Students who learn they have been directly exposed to COVID-19 but are not showing symptoms should self-quarantine </w:t>
      </w:r>
      <w:r w:rsidRPr="007907F4">
        <w:rPr>
          <w:rFonts w:ascii="Cambria" w:eastAsia="Times New Roman" w:hAnsi="Cambria" w:cs="Times New Roman"/>
          <w:color w:val="000000" w:themeColor="text1"/>
        </w:rPr>
        <w:t xml:space="preserve">for 14 days consistent with Department of Public Health (DPH) and Centers for Disease Control and Prevention (CDC) guidelines. </w:t>
      </w:r>
      <w:r w:rsidRPr="007907F4">
        <w:rPr>
          <w:rFonts w:ascii="Cambria" w:hAnsi="Cambria" w:cs="Calibri"/>
          <w:color w:val="000000" w:themeColor="text1"/>
        </w:rPr>
        <w:t>Please correspond with your instructor via email, with a cc: to Student Care &amp; Outreach at</w:t>
      </w:r>
      <w:r w:rsidRPr="007907F4">
        <w:rPr>
          <w:rStyle w:val="apple-converted-space"/>
          <w:rFonts w:ascii="Cambria" w:hAnsi="Cambria" w:cs="Calibri"/>
          <w:color w:val="000000" w:themeColor="text1"/>
        </w:rPr>
        <w:t> </w:t>
      </w:r>
      <w:hyperlink r:id="rId17" w:history="1">
        <w:r w:rsidRPr="007907F4">
          <w:rPr>
            <w:rStyle w:val="Hyperlink"/>
            <w:rFonts w:ascii="Cambria" w:hAnsi="Cambria" w:cs="Calibri"/>
            <w:color w:val="000000" w:themeColor="text1"/>
          </w:rPr>
          <w:t>sco@uga.edu</w:t>
        </w:r>
      </w:hyperlink>
      <w:r w:rsidRPr="007907F4">
        <w:rPr>
          <w:rFonts w:ascii="Cambria" w:hAnsi="Cambria" w:cs="Calibri"/>
          <w:color w:val="000000" w:themeColor="text1"/>
        </w:rPr>
        <w:t>, to coordinate continuing your coursework</w:t>
      </w:r>
      <w:r w:rsidRPr="007907F4">
        <w:rPr>
          <w:rStyle w:val="apple-converted-space"/>
          <w:rFonts w:ascii="Cambria" w:hAnsi="Cambria" w:cs="Calibri"/>
          <w:i/>
          <w:iCs/>
          <w:color w:val="000000" w:themeColor="text1"/>
        </w:rPr>
        <w:t> </w:t>
      </w:r>
      <w:r w:rsidRPr="007907F4">
        <w:rPr>
          <w:rFonts w:ascii="Cambria" w:hAnsi="Cambria" w:cs="Calibri"/>
          <w:color w:val="000000" w:themeColor="text1"/>
        </w:rPr>
        <w:t>while self-quarantined.</w:t>
      </w:r>
      <w:r w:rsidRPr="007907F4">
        <w:rPr>
          <w:rFonts w:ascii="Cambria" w:hAnsi="Cambria"/>
          <w:color w:val="000000" w:themeColor="text1"/>
        </w:rPr>
        <w:t xml:space="preserve"> </w:t>
      </w:r>
      <w:r w:rsidRPr="007907F4">
        <w:rPr>
          <w:rFonts w:ascii="Cambria" w:eastAsia="Times New Roman" w:hAnsi="Cambria" w:cs="Times New Roman"/>
          <w:color w:val="000000" w:themeColor="text1"/>
        </w:rPr>
        <w:t xml:space="preserve">If you develop symptoms, you should contact the University Health Center to make an appointment to be tested. You should continue to monitor your symptoms daily on </w:t>
      </w:r>
      <w:proofErr w:type="spellStart"/>
      <w:r w:rsidRPr="007907F4">
        <w:rPr>
          <w:rFonts w:ascii="Cambria" w:eastAsia="Times New Roman" w:hAnsi="Cambria" w:cs="Times New Roman"/>
          <w:color w:val="000000" w:themeColor="text1"/>
        </w:rPr>
        <w:t>DawgCheck</w:t>
      </w:r>
      <w:proofErr w:type="spellEnd"/>
      <w:r w:rsidRPr="007907F4">
        <w:rPr>
          <w:rFonts w:ascii="Cambria" w:eastAsia="Times New Roman" w:hAnsi="Cambria" w:cs="Times New Roman"/>
          <w:color w:val="000000" w:themeColor="text1"/>
        </w:rPr>
        <w:t>.</w:t>
      </w:r>
    </w:p>
    <w:p w14:paraId="2DC4D88D" w14:textId="77777777" w:rsidR="0018003D" w:rsidRPr="003C3056" w:rsidRDefault="0018003D" w:rsidP="0018003D">
      <w:pPr>
        <w:rPr>
          <w:rFonts w:eastAsia="Times New Roman" w:cstheme="minorHAnsi"/>
        </w:rPr>
      </w:pPr>
    </w:p>
    <w:p w14:paraId="73B45F21" w14:textId="77777777" w:rsidR="0018003D" w:rsidRPr="003C3056" w:rsidRDefault="0018003D" w:rsidP="0018003D">
      <w:pPr>
        <w:rPr>
          <w:rFonts w:eastAsia="Times New Roman" w:cstheme="minorHAnsi"/>
        </w:rPr>
      </w:pPr>
      <w:r w:rsidRPr="003C3056">
        <w:rPr>
          <w:rFonts w:cstheme="minorHAnsi"/>
          <w:b/>
        </w:rPr>
        <w:t xml:space="preserve">How do I get a test? </w:t>
      </w:r>
      <w:r w:rsidRPr="003C3056">
        <w:rPr>
          <w:rFonts w:eastAsia="Times New Roman" w:cstheme="minorHAnsi"/>
        </w:rPr>
        <w:t xml:space="preserve"> </w:t>
      </w:r>
    </w:p>
    <w:p w14:paraId="69B260E2" w14:textId="77777777" w:rsidR="0018003D" w:rsidRPr="003C3056" w:rsidRDefault="0018003D" w:rsidP="0018003D">
      <w:pPr>
        <w:rPr>
          <w:rFonts w:eastAsia="Times New Roman" w:cstheme="minorHAnsi"/>
        </w:rPr>
      </w:pPr>
    </w:p>
    <w:p w14:paraId="7B3BAD84" w14:textId="77777777" w:rsidR="0018003D" w:rsidRPr="003C3056" w:rsidRDefault="0018003D" w:rsidP="0018003D">
      <w:pPr>
        <w:rPr>
          <w:rFonts w:eastAsia="Times New Roman" w:cstheme="minorHAnsi"/>
        </w:rPr>
      </w:pPr>
      <w:r w:rsidRPr="003C3056">
        <w:rPr>
          <w:rFonts w:eastAsia="Times New Roman" w:cstheme="minorHAnsi"/>
        </w:rPr>
        <w:t xml:space="preserve">Students who are demonstrating symptoms of COVID-19 should call the University Health Center. UHC is offering testing by appointment for students; appointments may be booked by calling 706-542-1162. </w:t>
      </w:r>
    </w:p>
    <w:p w14:paraId="37D1E6C2" w14:textId="172DB114" w:rsidR="0018003D" w:rsidRPr="003C3056" w:rsidRDefault="0018003D" w:rsidP="0018003D">
      <w:pPr>
        <w:rPr>
          <w:rFonts w:ascii="Calibri" w:eastAsia="Times New Roman" w:hAnsi="Calibri" w:cs="Times New Roman"/>
          <w:color w:val="000000"/>
        </w:rPr>
      </w:pPr>
    </w:p>
    <w:p w14:paraId="0A8E7573" w14:textId="77777777" w:rsidR="0018003D" w:rsidRPr="0018003D" w:rsidRDefault="0018003D" w:rsidP="0018003D">
      <w:pPr>
        <w:rPr>
          <w:rFonts w:eastAsia="Times New Roman" w:cs="Times New Roman"/>
          <w:color w:val="000000"/>
        </w:rPr>
      </w:pPr>
      <w:r w:rsidRPr="0018003D">
        <w:rPr>
          <w:rFonts w:eastAsia="Times New Roman" w:cs="Times New Roman"/>
          <w:color w:val="000000"/>
        </w:rPr>
        <w:t xml:space="preserve">UGA will also be recruiting asymptomatic students to participate in surveillance tests. Students living in residence halls, Greek housing and off-campus apartment complexes are encouraged to participate. </w:t>
      </w:r>
    </w:p>
    <w:p w14:paraId="163C6F82" w14:textId="77777777" w:rsidR="0018003D" w:rsidRPr="003C3056" w:rsidRDefault="0018003D" w:rsidP="0018003D">
      <w:pPr>
        <w:rPr>
          <w:rFonts w:eastAsia="Times New Roman" w:cstheme="minorHAnsi"/>
        </w:rPr>
      </w:pPr>
    </w:p>
    <w:p w14:paraId="278E8095" w14:textId="77777777" w:rsidR="0018003D" w:rsidRPr="003C3056" w:rsidRDefault="0018003D" w:rsidP="0018003D">
      <w:pPr>
        <w:rPr>
          <w:rFonts w:eastAsia="Times New Roman" w:cstheme="minorHAnsi"/>
          <w:b/>
        </w:rPr>
      </w:pPr>
      <w:r w:rsidRPr="003C3056">
        <w:rPr>
          <w:rFonts w:eastAsia="Times New Roman" w:cstheme="minorHAnsi"/>
          <w:b/>
        </w:rPr>
        <w:t>What do I do if I test positive?</w:t>
      </w:r>
    </w:p>
    <w:p w14:paraId="20E78A01" w14:textId="77777777" w:rsidR="0018003D" w:rsidRPr="003C3056" w:rsidRDefault="0018003D" w:rsidP="0018003D">
      <w:pPr>
        <w:rPr>
          <w:rFonts w:eastAsia="Times New Roman" w:cstheme="minorHAnsi"/>
        </w:rPr>
      </w:pPr>
    </w:p>
    <w:p w14:paraId="6DA612D7" w14:textId="5FF7430C" w:rsidR="0018003D" w:rsidRDefault="0018003D" w:rsidP="0018003D">
      <w:pPr>
        <w:rPr>
          <w:rFonts w:eastAsia="Times New Roman" w:cstheme="minorHAnsi"/>
        </w:rPr>
      </w:pPr>
      <w:r w:rsidRPr="003C3056">
        <w:rPr>
          <w:rFonts w:eastAsia="Times New Roman" w:cstheme="minorHAnsi"/>
        </w:rPr>
        <w:lastRenderedPageBreak/>
        <w:t>Any student with a positive COVID-19 test is </w:t>
      </w:r>
      <w:r w:rsidRPr="003C3056">
        <w:rPr>
          <w:rFonts w:eastAsia="Times New Roman" w:cstheme="minorHAnsi"/>
          <w:b/>
          <w:u w:val="single"/>
        </w:rPr>
        <w:t>required</w:t>
      </w:r>
      <w:r w:rsidRPr="003C3056">
        <w:rPr>
          <w:rFonts w:eastAsia="Times New Roman" w:cstheme="minorHAnsi"/>
        </w:rPr>
        <w:t xml:space="preserve"> to report the test in </w:t>
      </w:r>
      <w:proofErr w:type="spellStart"/>
      <w:r w:rsidRPr="003C3056">
        <w:rPr>
          <w:rFonts w:eastAsia="Times New Roman" w:cstheme="minorHAnsi"/>
        </w:rPr>
        <w:t>DawgCheck</w:t>
      </w:r>
      <w:proofErr w:type="spellEnd"/>
      <w:r w:rsidRPr="003C3056">
        <w:rPr>
          <w:rFonts w:eastAsia="Times New Roman" w:cstheme="minorHAnsi"/>
        </w:rPr>
        <w:t xml:space="preserve"> and should self-isolate immediately. </w:t>
      </w:r>
      <w:r w:rsidR="00404912">
        <w:rPr>
          <w:rFonts w:eastAsia="Times New Roman" w:cstheme="minorHAnsi"/>
        </w:rPr>
        <w:t>Unvaccinated s</w:t>
      </w:r>
      <w:r>
        <w:rPr>
          <w:rFonts w:eastAsia="Times New Roman" w:cstheme="minorHAnsi"/>
        </w:rPr>
        <w:t>tudents should not attend classes in-person until the isolation period is completed (10</w:t>
      </w:r>
      <w:r w:rsidR="001A0B4A">
        <w:rPr>
          <w:rFonts w:eastAsia="Times New Roman" w:cstheme="minorHAnsi"/>
        </w:rPr>
        <w:t>-14</w:t>
      </w:r>
      <w:r>
        <w:rPr>
          <w:rFonts w:eastAsia="Times New Roman" w:cstheme="minorHAnsi"/>
        </w:rPr>
        <w:t xml:space="preserve"> days, as per current CDC </w:t>
      </w:r>
      <w:r w:rsidR="001A0B4A">
        <w:rPr>
          <w:rFonts w:eastAsia="Times New Roman" w:cstheme="minorHAnsi"/>
        </w:rPr>
        <w:t xml:space="preserve">and DPH </w:t>
      </w:r>
      <w:r>
        <w:rPr>
          <w:rFonts w:eastAsia="Times New Roman" w:cstheme="minorHAnsi"/>
        </w:rPr>
        <w:t xml:space="preserve">guidelines). </w:t>
      </w:r>
      <w:r w:rsidRPr="003C3056">
        <w:rPr>
          <w:rFonts w:eastAsia="Times New Roman" w:cstheme="minorHAnsi"/>
        </w:rPr>
        <w:t xml:space="preserve">Once you report the positive test through </w:t>
      </w:r>
      <w:proofErr w:type="spellStart"/>
      <w:r w:rsidRPr="003C3056">
        <w:rPr>
          <w:rFonts w:eastAsia="Times New Roman" w:cstheme="minorHAnsi"/>
        </w:rPr>
        <w:t>DawgCheck</w:t>
      </w:r>
      <w:proofErr w:type="spellEnd"/>
      <w:r w:rsidRPr="003C3056">
        <w:rPr>
          <w:rFonts w:eastAsia="Times New Roman" w:cstheme="minorHAnsi"/>
        </w:rPr>
        <w:t>, UGA Student Care and Outreach will follow up with you.</w:t>
      </w:r>
    </w:p>
    <w:p w14:paraId="2BD41A59" w14:textId="03038CE5" w:rsidR="00404912" w:rsidRDefault="00404912" w:rsidP="0018003D">
      <w:pPr>
        <w:rPr>
          <w:rFonts w:eastAsia="Times New Roman" w:cstheme="minorHAnsi"/>
        </w:rPr>
      </w:pPr>
    </w:p>
    <w:p w14:paraId="3A40E863" w14:textId="061E3C91" w:rsidR="00404912" w:rsidRDefault="00404912" w:rsidP="0018003D">
      <w:pPr>
        <w:rPr>
          <w:rFonts w:eastAsia="Times New Roman" w:cstheme="minorHAnsi"/>
        </w:rPr>
      </w:pPr>
      <w:r w:rsidRPr="003A61C3">
        <w:rPr>
          <w:rFonts w:eastAsia="Times New Roman" w:cstheme="minorHAnsi"/>
        </w:rPr>
        <w:t xml:space="preserve">Students who are fully vaccinated </w:t>
      </w:r>
      <w:r w:rsidRPr="003A61C3">
        <w:rPr>
          <w:rFonts w:eastAsia="Times New Roman" w:cstheme="minorHAnsi"/>
          <w:b/>
          <w:bCs/>
        </w:rPr>
        <w:t xml:space="preserve">do not </w:t>
      </w:r>
      <w:r w:rsidRPr="003A61C3">
        <w:rPr>
          <w:rFonts w:eastAsia="Times New Roman" w:cstheme="minorHAnsi"/>
        </w:rPr>
        <w:t>need to quarantine upon exposure unless they have symptoms of COVID-19 themselves. All others should follow the Georgia Department of Public Health (DPH) recommendations:</w:t>
      </w:r>
    </w:p>
    <w:p w14:paraId="51063488" w14:textId="761A2589" w:rsidR="00404912" w:rsidRDefault="00404912" w:rsidP="0018003D">
      <w:pPr>
        <w:rPr>
          <w:rFonts w:eastAsia="Times New Roman" w:cstheme="minorHAnsi"/>
        </w:rPr>
      </w:pPr>
    </w:p>
    <w:p w14:paraId="7763654B" w14:textId="7DA86716" w:rsidR="00622D70" w:rsidRDefault="00404912" w:rsidP="0018003D">
      <w:pPr>
        <w:rPr>
          <w:rFonts w:eastAsia="Times New Roman" w:cstheme="minorHAnsi"/>
        </w:rPr>
      </w:pPr>
      <w:r w:rsidRPr="00404912">
        <w:rPr>
          <w:rFonts w:eastAsia="Times New Roman" w:cstheme="minorHAnsi"/>
        </w:rPr>
        <w:t xml:space="preserve">Students, faculty and staff who have been in close contact with someone who has COVID-19 are no longer required to quarantine if they have been fully vaccinated against the disease and show no symptoms. </w:t>
      </w:r>
    </w:p>
    <w:p w14:paraId="774AD45A" w14:textId="0CC17716" w:rsidR="00404912" w:rsidRDefault="00404912" w:rsidP="0018003D">
      <w:pPr>
        <w:rPr>
          <w:rFonts w:eastAsia="Times New Roman" w:cstheme="minorHAnsi"/>
        </w:rPr>
      </w:pPr>
    </w:p>
    <w:p w14:paraId="717E5FC8" w14:textId="0258AABE" w:rsidR="00404912" w:rsidRDefault="00404912" w:rsidP="00404912">
      <w:pPr>
        <w:rPr>
          <w:rFonts w:eastAsia="Times New Roman" w:cstheme="minorHAnsi"/>
          <w:b/>
          <w:bCs/>
        </w:rPr>
      </w:pPr>
      <w:r w:rsidRPr="00404912">
        <w:rPr>
          <w:rFonts w:eastAsia="Times New Roman" w:cstheme="minorHAnsi"/>
          <w:b/>
          <w:bCs/>
        </w:rPr>
        <w:t xml:space="preserve">Monitoring conditions: </w:t>
      </w:r>
    </w:p>
    <w:p w14:paraId="1E9AF5EB" w14:textId="77777777" w:rsidR="00404912" w:rsidRPr="00404912" w:rsidRDefault="00404912" w:rsidP="00404912">
      <w:pPr>
        <w:rPr>
          <w:rFonts w:eastAsia="Times New Roman" w:cstheme="minorHAnsi"/>
        </w:rPr>
      </w:pPr>
    </w:p>
    <w:p w14:paraId="182D65AF" w14:textId="75BAA29E" w:rsidR="00404912" w:rsidRDefault="00404912" w:rsidP="00404912">
      <w:pPr>
        <w:rPr>
          <w:rFonts w:eastAsia="Times New Roman" w:cstheme="minorHAnsi"/>
        </w:rPr>
      </w:pPr>
      <w:r w:rsidRPr="00404912">
        <w:rPr>
          <w:rFonts w:eastAsia="Times New Roman" w:cstheme="minorHAnsi"/>
        </w:rPr>
        <w:t>Note that the guidance referenced in this syllabus is subject to change based on recommendations from the Georgia Department of Public Health, the University System of Georgia, or the Governor’s Office</w:t>
      </w:r>
      <w:r w:rsidR="000A6518">
        <w:rPr>
          <w:rFonts w:eastAsia="Times New Roman" w:cstheme="minorHAnsi"/>
        </w:rPr>
        <w:t>.</w:t>
      </w:r>
      <w:r w:rsidRPr="00404912">
        <w:rPr>
          <w:rFonts w:eastAsia="Times New Roman" w:cstheme="minorHAnsi"/>
        </w:rPr>
        <w:t xml:space="preserve"> For the latest on UGA policy, you can visit coronavirus.uga.edu. </w:t>
      </w:r>
    </w:p>
    <w:p w14:paraId="2E868DC7" w14:textId="77777777" w:rsidR="00404912" w:rsidRPr="00404912" w:rsidRDefault="00404912" w:rsidP="00404912">
      <w:pPr>
        <w:rPr>
          <w:rFonts w:eastAsia="Times New Roman" w:cstheme="minorHAnsi"/>
        </w:rPr>
      </w:pPr>
    </w:p>
    <w:p w14:paraId="12D7D8E4" w14:textId="77777777" w:rsidR="00404912" w:rsidRDefault="00404912" w:rsidP="00404912">
      <w:pPr>
        <w:rPr>
          <w:rFonts w:eastAsia="Times New Roman" w:cstheme="minorHAnsi"/>
        </w:rPr>
      </w:pPr>
      <w:r>
        <w:rPr>
          <w:rFonts w:eastAsia="Times New Roman" w:cstheme="minorHAnsi"/>
          <w:b/>
          <w:bCs/>
        </w:rPr>
        <w:t>Privacy Concerns:</w:t>
      </w:r>
      <w:r>
        <w:rPr>
          <w:rFonts w:eastAsia="Times New Roman" w:cstheme="minorHAnsi"/>
        </w:rPr>
        <w:t xml:space="preserve">  If you become aware of another individual at UGA (either student, faculty, or staff) who tests positive for COVID-19, but that individual has </w:t>
      </w:r>
      <w:proofErr w:type="gramStart"/>
      <w:r>
        <w:rPr>
          <w:rFonts w:eastAsia="Times New Roman" w:cstheme="minorHAnsi"/>
        </w:rPr>
        <w:t>not  reported</w:t>
      </w:r>
      <w:proofErr w:type="gramEnd"/>
      <w:r>
        <w:rPr>
          <w:rFonts w:eastAsia="Times New Roman" w:cstheme="minorHAnsi"/>
        </w:rPr>
        <w:t xml:space="preserve"> (or will not report) the positive test via </w:t>
      </w:r>
      <w:proofErr w:type="spellStart"/>
      <w:r>
        <w:rPr>
          <w:rFonts w:eastAsia="Times New Roman" w:cstheme="minorHAnsi"/>
        </w:rPr>
        <w:t>DawgCheck</w:t>
      </w:r>
      <w:proofErr w:type="spellEnd"/>
      <w:r>
        <w:rPr>
          <w:rFonts w:eastAsia="Times New Roman" w:cstheme="minorHAnsi"/>
        </w:rPr>
        <w:t xml:space="preserve">, you may report that test for the individual via </w:t>
      </w:r>
      <w:proofErr w:type="spellStart"/>
      <w:r>
        <w:rPr>
          <w:rFonts w:eastAsia="Times New Roman" w:cstheme="minorHAnsi"/>
        </w:rPr>
        <w:t>DawgCheck</w:t>
      </w:r>
      <w:proofErr w:type="spellEnd"/>
      <w:r>
        <w:rPr>
          <w:rFonts w:eastAsia="Times New Roman" w:cstheme="minorHAnsi"/>
        </w:rPr>
        <w:t xml:space="preserve">.  Other than that, medical privacy concerns prevent you from disclosing the identity of </w:t>
      </w:r>
      <w:r w:rsidRPr="00622D70">
        <w:rPr>
          <w:rFonts w:eastAsia="Times New Roman" w:cstheme="minorHAnsi"/>
          <w:u w:val="single"/>
        </w:rPr>
        <w:t>anyone</w:t>
      </w:r>
      <w:r>
        <w:rPr>
          <w:rFonts w:eastAsia="Times New Roman" w:cstheme="minorHAnsi"/>
        </w:rPr>
        <w:t xml:space="preserve"> who tests positive for COVID-19.  If you become aware of any individual on campus who tests positive and proceeds through the required reporting process, you </w:t>
      </w:r>
      <w:r>
        <w:rPr>
          <w:rFonts w:eastAsia="Times New Roman" w:cstheme="minorHAnsi"/>
          <w:u w:val="single"/>
        </w:rPr>
        <w:t>may not</w:t>
      </w:r>
      <w:r>
        <w:rPr>
          <w:rFonts w:eastAsia="Times New Roman" w:cstheme="minorHAnsi"/>
        </w:rPr>
        <w:t xml:space="preserve"> identify this individual to others.</w:t>
      </w:r>
    </w:p>
    <w:p w14:paraId="75023A2A" w14:textId="77777777" w:rsidR="00404912" w:rsidRPr="00622D70" w:rsidRDefault="00404912" w:rsidP="0018003D">
      <w:pPr>
        <w:rPr>
          <w:rFonts w:eastAsia="Times New Roman" w:cstheme="minorHAnsi"/>
        </w:rPr>
      </w:pPr>
    </w:p>
    <w:p w14:paraId="40BA4339" w14:textId="77777777" w:rsidR="0018003D" w:rsidRPr="00BD2F92" w:rsidRDefault="0018003D" w:rsidP="00B66CED"/>
    <w:p w14:paraId="267B0124" w14:textId="77777777" w:rsidR="00B66CED" w:rsidRDefault="00B66CED" w:rsidP="00B66CED">
      <w:pPr>
        <w:jc w:val="center"/>
        <w:rPr>
          <w:b/>
        </w:rPr>
      </w:pPr>
    </w:p>
    <w:p w14:paraId="57E792B3" w14:textId="16868532" w:rsidR="00B66CED" w:rsidRDefault="00B66CED" w:rsidP="00B66CED">
      <w:pPr>
        <w:jc w:val="center"/>
        <w:rPr>
          <w:b/>
        </w:rPr>
      </w:pPr>
      <w:r>
        <w:rPr>
          <w:b/>
        </w:rPr>
        <w:t>Fall 20</w:t>
      </w:r>
      <w:r w:rsidR="00F967A5">
        <w:rPr>
          <w:b/>
        </w:rPr>
        <w:t>2</w:t>
      </w:r>
      <w:r w:rsidR="00A5004A">
        <w:rPr>
          <w:b/>
        </w:rPr>
        <w:t>1</w:t>
      </w:r>
      <w:r>
        <w:rPr>
          <w:b/>
        </w:rPr>
        <w:t xml:space="preserve"> Outline</w:t>
      </w:r>
    </w:p>
    <w:p w14:paraId="69F3C7F3" w14:textId="77777777" w:rsidR="00B66CED" w:rsidRDefault="00B66CED" w:rsidP="00B66CED">
      <w:pPr>
        <w:jc w:val="center"/>
        <w:rPr>
          <w:b/>
        </w:rPr>
      </w:pPr>
    </w:p>
    <w:tbl>
      <w:tblPr>
        <w:tblStyle w:val="TableGrid"/>
        <w:tblW w:w="8804" w:type="dxa"/>
        <w:tblLook w:val="00A0" w:firstRow="1" w:lastRow="0" w:firstColumn="1" w:lastColumn="0" w:noHBand="0" w:noVBand="0"/>
      </w:tblPr>
      <w:tblGrid>
        <w:gridCol w:w="1350"/>
        <w:gridCol w:w="7454"/>
      </w:tblGrid>
      <w:tr w:rsidR="00722B66" w14:paraId="5FBEAC2A" w14:textId="77777777" w:rsidTr="00722B66">
        <w:tc>
          <w:tcPr>
            <w:tcW w:w="1350" w:type="dxa"/>
          </w:tcPr>
          <w:p w14:paraId="484A96D5" w14:textId="02C7D44B" w:rsidR="00722B66" w:rsidRPr="00EA0872" w:rsidRDefault="00722B66" w:rsidP="0011119A">
            <w:pPr>
              <w:jc w:val="center"/>
              <w:rPr>
                <w:b/>
              </w:rPr>
            </w:pPr>
            <w:r w:rsidRPr="00EA0872">
              <w:rPr>
                <w:b/>
              </w:rPr>
              <w:t>DATE</w:t>
            </w:r>
          </w:p>
        </w:tc>
        <w:tc>
          <w:tcPr>
            <w:tcW w:w="7454" w:type="dxa"/>
          </w:tcPr>
          <w:p w14:paraId="7089563F" w14:textId="77777777" w:rsidR="00722B66" w:rsidRPr="00EA0872" w:rsidRDefault="00722B66" w:rsidP="0011119A">
            <w:pPr>
              <w:jc w:val="center"/>
              <w:rPr>
                <w:b/>
              </w:rPr>
            </w:pPr>
            <w:r>
              <w:rPr>
                <w:b/>
              </w:rPr>
              <w:t>Topic / Source</w:t>
            </w:r>
          </w:p>
        </w:tc>
      </w:tr>
      <w:tr w:rsidR="002E6A8F" w14:paraId="11056725" w14:textId="77777777" w:rsidTr="00A23EC4">
        <w:trPr>
          <w:trHeight w:val="573"/>
        </w:trPr>
        <w:tc>
          <w:tcPr>
            <w:tcW w:w="1350" w:type="dxa"/>
            <w:vAlign w:val="center"/>
          </w:tcPr>
          <w:p w14:paraId="30DFBC13" w14:textId="033427F1" w:rsidR="002E6A8F" w:rsidRPr="00EA0872" w:rsidRDefault="002E6A8F" w:rsidP="002E6A8F">
            <w:pPr>
              <w:jc w:val="center"/>
            </w:pPr>
            <w:r>
              <w:t>W 8-18</w:t>
            </w:r>
          </w:p>
        </w:tc>
        <w:tc>
          <w:tcPr>
            <w:tcW w:w="7454" w:type="dxa"/>
            <w:vAlign w:val="center"/>
          </w:tcPr>
          <w:p w14:paraId="47F0D853" w14:textId="77777777" w:rsidR="002E6A8F" w:rsidRDefault="002E6A8F" w:rsidP="00A23EC4">
            <w:pPr>
              <w:jc w:val="center"/>
            </w:pPr>
            <w:r>
              <w:t>Introduction, bacterial cell structure, Ch. 3</w:t>
            </w:r>
          </w:p>
          <w:p w14:paraId="123EDF33" w14:textId="3A594837" w:rsidR="00F13622" w:rsidRPr="00F13622" w:rsidRDefault="00F13622" w:rsidP="00A23EC4">
            <w:pPr>
              <w:jc w:val="center"/>
              <w:rPr>
                <w:b/>
                <w:bCs/>
              </w:rPr>
            </w:pPr>
            <w:r>
              <w:rPr>
                <w:b/>
                <w:bCs/>
              </w:rPr>
              <w:t>Nobody likes a long lecture on the first day</w:t>
            </w:r>
          </w:p>
        </w:tc>
      </w:tr>
      <w:tr w:rsidR="00722B66" w14:paraId="7E7E8B77" w14:textId="77777777" w:rsidTr="00722B66">
        <w:tc>
          <w:tcPr>
            <w:tcW w:w="1350" w:type="dxa"/>
          </w:tcPr>
          <w:p w14:paraId="1752B216" w14:textId="6379CE7D" w:rsidR="00722B66" w:rsidRPr="00EA0872" w:rsidRDefault="00722B66" w:rsidP="00C35A49">
            <w:pPr>
              <w:jc w:val="center"/>
            </w:pPr>
            <w:r>
              <w:t>F 8-20</w:t>
            </w:r>
          </w:p>
        </w:tc>
        <w:tc>
          <w:tcPr>
            <w:tcW w:w="7454" w:type="dxa"/>
          </w:tcPr>
          <w:p w14:paraId="5A86BFF2" w14:textId="552B536B" w:rsidR="00722B66" w:rsidRDefault="00722B66" w:rsidP="0011119A">
            <w:pPr>
              <w:jc w:val="center"/>
              <w:rPr>
                <w:b/>
              </w:rPr>
            </w:pPr>
            <w:r w:rsidRPr="003C01C7">
              <w:t>Cell structure continued, Ch. 3</w:t>
            </w:r>
            <w:r>
              <w:t xml:space="preserve"> </w:t>
            </w:r>
          </w:p>
        </w:tc>
      </w:tr>
      <w:tr w:rsidR="002E6A8F" w14:paraId="25F3343D" w14:textId="77777777" w:rsidTr="002E6A8F">
        <w:trPr>
          <w:trHeight w:val="341"/>
        </w:trPr>
        <w:tc>
          <w:tcPr>
            <w:tcW w:w="1350" w:type="dxa"/>
            <w:vAlign w:val="center"/>
          </w:tcPr>
          <w:p w14:paraId="57B94B4A" w14:textId="3BDD8F01" w:rsidR="002E6A8F" w:rsidRPr="00EA0872" w:rsidRDefault="002E6A8F" w:rsidP="00DF7381">
            <w:pPr>
              <w:jc w:val="center"/>
            </w:pPr>
            <w:r>
              <w:t>M 8-23</w:t>
            </w:r>
          </w:p>
        </w:tc>
        <w:tc>
          <w:tcPr>
            <w:tcW w:w="7454" w:type="dxa"/>
          </w:tcPr>
          <w:p w14:paraId="7A8A47D8" w14:textId="77777777" w:rsidR="002E6A8F" w:rsidRPr="003C01C7" w:rsidRDefault="002E6A8F" w:rsidP="0011119A">
            <w:pPr>
              <w:jc w:val="center"/>
            </w:pPr>
            <w:r>
              <w:t xml:space="preserve">motility </w:t>
            </w:r>
            <w:proofErr w:type="spellStart"/>
            <w:r>
              <w:t>Chs</w:t>
            </w:r>
            <w:proofErr w:type="spellEnd"/>
            <w:r>
              <w:t>. 3 and 13</w:t>
            </w:r>
          </w:p>
        </w:tc>
      </w:tr>
      <w:tr w:rsidR="002E6A8F" w14:paraId="464798B3" w14:textId="77777777" w:rsidTr="002E6A8F">
        <w:trPr>
          <w:trHeight w:val="341"/>
        </w:trPr>
        <w:tc>
          <w:tcPr>
            <w:tcW w:w="1350" w:type="dxa"/>
            <w:vMerge w:val="restart"/>
            <w:vAlign w:val="center"/>
          </w:tcPr>
          <w:p w14:paraId="7E27CAEB" w14:textId="465EE06D" w:rsidR="002E6A8F" w:rsidRPr="00BD2F92" w:rsidRDefault="002E6A8F" w:rsidP="002E6A8F">
            <w:pPr>
              <w:jc w:val="center"/>
            </w:pPr>
            <w:r>
              <w:t>W</w:t>
            </w:r>
            <w:r w:rsidRPr="00BD2F92">
              <w:t xml:space="preserve"> 8-</w:t>
            </w:r>
            <w:r>
              <w:t>25</w:t>
            </w:r>
          </w:p>
        </w:tc>
        <w:tc>
          <w:tcPr>
            <w:tcW w:w="7454" w:type="dxa"/>
          </w:tcPr>
          <w:p w14:paraId="57A09381" w14:textId="15DF48E1" w:rsidR="002E6A8F" w:rsidRPr="002A6188" w:rsidRDefault="002E6A8F" w:rsidP="002E6A8F">
            <w:pPr>
              <w:jc w:val="center"/>
            </w:pPr>
            <w:r>
              <w:t>m</w:t>
            </w:r>
            <w:r w:rsidRPr="002A6188">
              <w:t>otility</w:t>
            </w:r>
            <w:r>
              <w:t>, continued</w:t>
            </w:r>
          </w:p>
        </w:tc>
      </w:tr>
      <w:tr w:rsidR="002E6A8F" w14:paraId="34D20F4B" w14:textId="77777777" w:rsidTr="002E6A8F">
        <w:trPr>
          <w:trHeight w:val="193"/>
        </w:trPr>
        <w:tc>
          <w:tcPr>
            <w:tcW w:w="1350" w:type="dxa"/>
            <w:vMerge/>
            <w:vAlign w:val="center"/>
          </w:tcPr>
          <w:p w14:paraId="6FB416D5" w14:textId="77777777" w:rsidR="002E6A8F" w:rsidRDefault="002E6A8F" w:rsidP="002E6A8F">
            <w:pPr>
              <w:jc w:val="center"/>
            </w:pPr>
          </w:p>
        </w:tc>
        <w:tc>
          <w:tcPr>
            <w:tcW w:w="7454" w:type="dxa"/>
          </w:tcPr>
          <w:p w14:paraId="6ADCD486" w14:textId="1D26672C" w:rsidR="002E6A8F" w:rsidRDefault="002E6A8F" w:rsidP="0011119A">
            <w:pPr>
              <w:jc w:val="center"/>
            </w:pPr>
            <w:r>
              <w:t>Discussion regarding Wednesday formats, Paper I and handout</w:t>
            </w:r>
          </w:p>
        </w:tc>
      </w:tr>
      <w:tr w:rsidR="002E6A8F" w14:paraId="79D05039" w14:textId="77777777" w:rsidTr="00722B66">
        <w:tc>
          <w:tcPr>
            <w:tcW w:w="1350" w:type="dxa"/>
          </w:tcPr>
          <w:p w14:paraId="43B9E6E4" w14:textId="478DD3CE" w:rsidR="002E6A8F" w:rsidRPr="008B4AC3" w:rsidRDefault="002E6A8F" w:rsidP="00C35A49">
            <w:pPr>
              <w:jc w:val="center"/>
            </w:pPr>
            <w:r>
              <w:t>F</w:t>
            </w:r>
            <w:r w:rsidRPr="008B4AC3">
              <w:t xml:space="preserve"> </w:t>
            </w:r>
            <w:r>
              <w:t>8</w:t>
            </w:r>
            <w:r w:rsidRPr="008B4AC3">
              <w:t>-</w:t>
            </w:r>
            <w:r>
              <w:t>27</w:t>
            </w:r>
          </w:p>
        </w:tc>
        <w:tc>
          <w:tcPr>
            <w:tcW w:w="7454" w:type="dxa"/>
          </w:tcPr>
          <w:p w14:paraId="4DDB86D4" w14:textId="1C307ED8" w:rsidR="002E6A8F" w:rsidRPr="00C52ACF" w:rsidRDefault="002E6A8F" w:rsidP="002E6A8F">
            <w:pPr>
              <w:jc w:val="center"/>
            </w:pPr>
            <w:r w:rsidRPr="002E6A8F">
              <w:t>Transport mechanisms, cell cycle, Ch. 6 and 7</w:t>
            </w:r>
          </w:p>
        </w:tc>
      </w:tr>
      <w:tr w:rsidR="002E6A8F" w14:paraId="2437CCE0" w14:textId="77777777" w:rsidTr="00722B66">
        <w:tc>
          <w:tcPr>
            <w:tcW w:w="1350" w:type="dxa"/>
            <w:vAlign w:val="center"/>
          </w:tcPr>
          <w:p w14:paraId="47A29969" w14:textId="5E0B11BB" w:rsidR="002E6A8F" w:rsidRPr="00EA0872" w:rsidRDefault="002E6A8F" w:rsidP="00DF7381">
            <w:pPr>
              <w:jc w:val="center"/>
            </w:pPr>
            <w:r>
              <w:t>M 8-30</w:t>
            </w:r>
          </w:p>
        </w:tc>
        <w:tc>
          <w:tcPr>
            <w:tcW w:w="7454" w:type="dxa"/>
          </w:tcPr>
          <w:p w14:paraId="43E430FA" w14:textId="790D27F8" w:rsidR="002E6A8F" w:rsidRPr="00EA5D56" w:rsidRDefault="002E6A8F" w:rsidP="00B3653B">
            <w:pPr>
              <w:jc w:val="center"/>
            </w:pPr>
            <w:r>
              <w:t xml:space="preserve">Cell cycle and division, </w:t>
            </w:r>
            <w:r w:rsidRPr="00C52ACF">
              <w:t>Ch.7</w:t>
            </w:r>
          </w:p>
        </w:tc>
      </w:tr>
      <w:tr w:rsidR="002E6A8F" w14:paraId="23111B24" w14:textId="77777777" w:rsidTr="009F6F6A">
        <w:trPr>
          <w:trHeight w:val="573"/>
        </w:trPr>
        <w:tc>
          <w:tcPr>
            <w:tcW w:w="1350" w:type="dxa"/>
          </w:tcPr>
          <w:p w14:paraId="293C5ABC" w14:textId="7C500F10" w:rsidR="002E6A8F" w:rsidRDefault="002E6A8F" w:rsidP="00C35A49">
            <w:pPr>
              <w:jc w:val="center"/>
            </w:pPr>
            <w:r>
              <w:t>W</w:t>
            </w:r>
            <w:r w:rsidRPr="00BB6BD8">
              <w:t xml:space="preserve"> </w:t>
            </w:r>
            <w:r>
              <w:t>9</w:t>
            </w:r>
            <w:r w:rsidRPr="00BB6BD8">
              <w:t>-</w:t>
            </w:r>
            <w:r>
              <w:t>1</w:t>
            </w:r>
          </w:p>
        </w:tc>
        <w:tc>
          <w:tcPr>
            <w:tcW w:w="7454" w:type="dxa"/>
          </w:tcPr>
          <w:p w14:paraId="2CD3971B" w14:textId="77777777" w:rsidR="002E6A8F" w:rsidRDefault="002E6A8F" w:rsidP="00B3653B">
            <w:pPr>
              <w:jc w:val="center"/>
            </w:pPr>
            <w:r>
              <w:t xml:space="preserve">Bacterial </w:t>
            </w:r>
            <w:r w:rsidRPr="00D51591">
              <w:t>development</w:t>
            </w:r>
            <w:r>
              <w:t xml:space="preserve">, </w:t>
            </w:r>
            <w:proofErr w:type="spellStart"/>
            <w:r>
              <w:t>Chs</w:t>
            </w:r>
            <w:proofErr w:type="spellEnd"/>
            <w:r>
              <w:t>. 3, 13, 20.1, and supplements</w:t>
            </w:r>
          </w:p>
          <w:p w14:paraId="4C58A0E1" w14:textId="77777777" w:rsidR="002E6A8F" w:rsidRDefault="002E6A8F" w:rsidP="002E6A8F">
            <w:pPr>
              <w:jc w:val="center"/>
            </w:pPr>
            <w:r>
              <w:t>Paper I discussion, Paper II, and next handout</w:t>
            </w:r>
          </w:p>
          <w:p w14:paraId="0B71AD46" w14:textId="7F20A8CF" w:rsidR="002E6A8F" w:rsidRPr="009804D8" w:rsidRDefault="002E6A8F" w:rsidP="002E6A8F">
            <w:pPr>
              <w:jc w:val="center"/>
              <w:rPr>
                <w:i/>
                <w:iCs/>
              </w:rPr>
            </w:pPr>
            <w:r>
              <w:lastRenderedPageBreak/>
              <w:t xml:space="preserve">“Amidase Activity of </w:t>
            </w:r>
            <w:proofErr w:type="spellStart"/>
            <w:r>
              <w:t>AmiC</w:t>
            </w:r>
            <w:proofErr w:type="spellEnd"/>
            <w:r>
              <w:t xml:space="preserve"> Controls Cell Separation and Stem Peptide Release and is Enhanced my </w:t>
            </w:r>
            <w:proofErr w:type="spellStart"/>
            <w:r>
              <w:t>NlpD</w:t>
            </w:r>
            <w:proofErr w:type="spellEnd"/>
            <w:r>
              <w:t xml:space="preserve"> in </w:t>
            </w:r>
            <w:r>
              <w:rPr>
                <w:i/>
                <w:iCs/>
              </w:rPr>
              <w:t xml:space="preserve">Neisseria gonorrhoeae” </w:t>
            </w:r>
            <w:r>
              <w:t xml:space="preserve">JD Lenz </w:t>
            </w:r>
            <w:r>
              <w:rPr>
                <w:i/>
                <w:iCs/>
              </w:rPr>
              <w:t>et al.</w:t>
            </w:r>
          </w:p>
        </w:tc>
      </w:tr>
      <w:tr w:rsidR="002E6A8F" w14:paraId="78DB0E13" w14:textId="77777777" w:rsidTr="00722B66">
        <w:tc>
          <w:tcPr>
            <w:tcW w:w="1350" w:type="dxa"/>
          </w:tcPr>
          <w:p w14:paraId="13BD9A7B" w14:textId="1E6F8467" w:rsidR="002E6A8F" w:rsidRDefault="002E6A8F" w:rsidP="002E6A8F">
            <w:pPr>
              <w:jc w:val="center"/>
            </w:pPr>
            <w:r>
              <w:lastRenderedPageBreak/>
              <w:t>F 9-3</w:t>
            </w:r>
          </w:p>
        </w:tc>
        <w:tc>
          <w:tcPr>
            <w:tcW w:w="7454" w:type="dxa"/>
          </w:tcPr>
          <w:p w14:paraId="6BDC2DEF" w14:textId="49E35A50" w:rsidR="002E6A8F" w:rsidRDefault="002E6A8F" w:rsidP="002E6A8F">
            <w:pPr>
              <w:jc w:val="center"/>
            </w:pPr>
            <w:r>
              <w:t xml:space="preserve">Bacterial </w:t>
            </w:r>
            <w:r w:rsidRPr="00D51591">
              <w:t>development</w:t>
            </w:r>
            <w:r>
              <w:t>, part II</w:t>
            </w:r>
          </w:p>
        </w:tc>
      </w:tr>
      <w:tr w:rsidR="002E6A8F" w14:paraId="012EB4E5" w14:textId="77777777" w:rsidTr="00722B66">
        <w:tc>
          <w:tcPr>
            <w:tcW w:w="1350" w:type="dxa"/>
          </w:tcPr>
          <w:p w14:paraId="6E68C1A2" w14:textId="576201C4" w:rsidR="002E6A8F" w:rsidRDefault="002E6A8F" w:rsidP="002E6A8F">
            <w:pPr>
              <w:jc w:val="center"/>
            </w:pPr>
            <w:r w:rsidRPr="00370522">
              <w:rPr>
                <w:b/>
                <w:bCs/>
              </w:rPr>
              <w:t>M 9-</w:t>
            </w:r>
            <w:r>
              <w:rPr>
                <w:b/>
                <w:bCs/>
              </w:rPr>
              <w:t>6</w:t>
            </w:r>
          </w:p>
        </w:tc>
        <w:tc>
          <w:tcPr>
            <w:tcW w:w="7454" w:type="dxa"/>
          </w:tcPr>
          <w:p w14:paraId="43D944BC" w14:textId="28C70DBF" w:rsidR="002E6A8F" w:rsidRDefault="002E6A8F" w:rsidP="002E6A8F">
            <w:pPr>
              <w:jc w:val="center"/>
            </w:pPr>
            <w:r w:rsidRPr="002E6A8F">
              <w:rPr>
                <w:b/>
                <w:bCs/>
              </w:rPr>
              <w:t>No Class (Labor Day)</w:t>
            </w:r>
          </w:p>
        </w:tc>
      </w:tr>
      <w:tr w:rsidR="002E6A8F" w14:paraId="23D181EE" w14:textId="77777777" w:rsidTr="002E6A8F">
        <w:trPr>
          <w:trHeight w:val="380"/>
        </w:trPr>
        <w:tc>
          <w:tcPr>
            <w:tcW w:w="1350" w:type="dxa"/>
            <w:vMerge w:val="restart"/>
            <w:vAlign w:val="center"/>
          </w:tcPr>
          <w:p w14:paraId="1A65B8D2" w14:textId="77CC64A6" w:rsidR="002E6A8F" w:rsidRPr="00EA0872" w:rsidRDefault="002E6A8F" w:rsidP="002E6A8F">
            <w:pPr>
              <w:jc w:val="center"/>
            </w:pPr>
            <w:r>
              <w:t>W 9-8</w:t>
            </w:r>
          </w:p>
        </w:tc>
        <w:tc>
          <w:tcPr>
            <w:tcW w:w="7454" w:type="dxa"/>
            <w:vAlign w:val="center"/>
          </w:tcPr>
          <w:p w14:paraId="4B700736" w14:textId="63925794" w:rsidR="002E6A8F" w:rsidRPr="00D51591" w:rsidRDefault="002E6A8F" w:rsidP="002E6A8F">
            <w:pPr>
              <w:jc w:val="center"/>
            </w:pPr>
            <w:r>
              <w:t>Two-component regulators, Ch 13.2</w:t>
            </w:r>
          </w:p>
        </w:tc>
      </w:tr>
      <w:tr w:rsidR="002E6A8F" w14:paraId="34C38A04" w14:textId="77777777" w:rsidTr="00724357">
        <w:trPr>
          <w:trHeight w:val="380"/>
        </w:trPr>
        <w:tc>
          <w:tcPr>
            <w:tcW w:w="1350" w:type="dxa"/>
            <w:vMerge/>
            <w:vAlign w:val="center"/>
          </w:tcPr>
          <w:p w14:paraId="2AFAE3B4" w14:textId="77777777" w:rsidR="002E6A8F" w:rsidRDefault="002E6A8F" w:rsidP="002E6A8F">
            <w:pPr>
              <w:jc w:val="center"/>
            </w:pPr>
          </w:p>
        </w:tc>
        <w:tc>
          <w:tcPr>
            <w:tcW w:w="7454" w:type="dxa"/>
          </w:tcPr>
          <w:p w14:paraId="0036A9CD" w14:textId="77777777" w:rsidR="002E6A8F" w:rsidRDefault="002E6A8F" w:rsidP="002E6A8F">
            <w:pPr>
              <w:jc w:val="center"/>
            </w:pPr>
            <w:r>
              <w:t>Paper II discussion, Paper III and next handout</w:t>
            </w:r>
          </w:p>
          <w:p w14:paraId="75FE3852" w14:textId="4C1CD991" w:rsidR="002E6A8F" w:rsidRDefault="002E6A8F" w:rsidP="002E6A8F">
            <w:pPr>
              <w:jc w:val="center"/>
            </w:pPr>
            <w:r>
              <w:t>“</w:t>
            </w:r>
            <w:proofErr w:type="spellStart"/>
            <w:r>
              <w:t>MinC</w:t>
            </w:r>
            <w:proofErr w:type="spellEnd"/>
            <w:r>
              <w:t xml:space="preserve"> and </w:t>
            </w:r>
            <w:proofErr w:type="spellStart"/>
            <w:r>
              <w:t>FtsZ</w:t>
            </w:r>
            <w:proofErr w:type="spellEnd"/>
            <w:r>
              <w:t xml:space="preserve"> mutant analysis provides insight into </w:t>
            </w:r>
            <w:proofErr w:type="spellStart"/>
            <w:r>
              <w:t>MinC</w:t>
            </w:r>
            <w:proofErr w:type="spellEnd"/>
            <w:r>
              <w:t>/</w:t>
            </w:r>
            <w:proofErr w:type="spellStart"/>
            <w:r>
              <w:t>MinD</w:t>
            </w:r>
            <w:proofErr w:type="spellEnd"/>
            <w:r>
              <w:t xml:space="preserve">-mediated Z ring assembly” K-T Park </w:t>
            </w:r>
            <w:r>
              <w:rPr>
                <w:i/>
                <w:iCs/>
              </w:rPr>
              <w:t>et al.</w:t>
            </w:r>
          </w:p>
        </w:tc>
      </w:tr>
      <w:tr w:rsidR="002E6A8F" w14:paraId="524C2634" w14:textId="77777777" w:rsidTr="00722B66">
        <w:tc>
          <w:tcPr>
            <w:tcW w:w="1350" w:type="dxa"/>
          </w:tcPr>
          <w:p w14:paraId="1B3D6556" w14:textId="2A067EAA" w:rsidR="002E6A8F" w:rsidRPr="00370522" w:rsidRDefault="002E6A8F" w:rsidP="002E6A8F">
            <w:pPr>
              <w:jc w:val="center"/>
              <w:rPr>
                <w:bCs/>
              </w:rPr>
            </w:pPr>
            <w:r>
              <w:rPr>
                <w:bCs/>
              </w:rPr>
              <w:t>F</w:t>
            </w:r>
            <w:r w:rsidRPr="00370522">
              <w:rPr>
                <w:bCs/>
              </w:rPr>
              <w:t xml:space="preserve"> 9-</w:t>
            </w:r>
            <w:r>
              <w:rPr>
                <w:bCs/>
              </w:rPr>
              <w:t>10</w:t>
            </w:r>
          </w:p>
        </w:tc>
        <w:tc>
          <w:tcPr>
            <w:tcW w:w="7454" w:type="dxa"/>
          </w:tcPr>
          <w:p w14:paraId="1D654D1D" w14:textId="2D1BB0FC" w:rsidR="002E6A8F" w:rsidRDefault="002E6A8F" w:rsidP="002E6A8F">
            <w:pPr>
              <w:jc w:val="center"/>
              <w:rPr>
                <w:b/>
              </w:rPr>
            </w:pPr>
            <w:r>
              <w:t xml:space="preserve">Extracellular matrices, biofilms, and function </w:t>
            </w:r>
          </w:p>
        </w:tc>
      </w:tr>
      <w:tr w:rsidR="002E6A8F" w14:paraId="5E1B0AF2" w14:textId="77777777" w:rsidTr="00722B66">
        <w:tc>
          <w:tcPr>
            <w:tcW w:w="1350" w:type="dxa"/>
          </w:tcPr>
          <w:p w14:paraId="4C6B6727" w14:textId="739ADE99" w:rsidR="002E6A8F" w:rsidRPr="00C35A49" w:rsidRDefault="002E6A8F" w:rsidP="002E6A8F">
            <w:pPr>
              <w:jc w:val="center"/>
            </w:pPr>
            <w:r>
              <w:t>M</w:t>
            </w:r>
            <w:r w:rsidRPr="00C35A49">
              <w:t xml:space="preserve"> 9-</w:t>
            </w:r>
            <w:r>
              <w:t>13</w:t>
            </w:r>
          </w:p>
        </w:tc>
        <w:tc>
          <w:tcPr>
            <w:tcW w:w="7454" w:type="dxa"/>
          </w:tcPr>
          <w:p w14:paraId="4F612D7E" w14:textId="28F31DBD" w:rsidR="002E6A8F" w:rsidRPr="009A0F9D" w:rsidRDefault="002E6A8F" w:rsidP="002E6A8F">
            <w:pPr>
              <w:jc w:val="center"/>
            </w:pPr>
            <w:r>
              <w:t>Cell-cell communication: gene transfer systems</w:t>
            </w:r>
          </w:p>
        </w:tc>
      </w:tr>
      <w:tr w:rsidR="002E6A8F" w14:paraId="2953C7A8" w14:textId="77777777" w:rsidTr="00722B66">
        <w:tc>
          <w:tcPr>
            <w:tcW w:w="1350" w:type="dxa"/>
            <w:vMerge w:val="restart"/>
            <w:vAlign w:val="center"/>
          </w:tcPr>
          <w:p w14:paraId="1CCEC747" w14:textId="067D3372" w:rsidR="002E6A8F" w:rsidRPr="00EA0872" w:rsidRDefault="002E6A8F" w:rsidP="002E6A8F">
            <w:pPr>
              <w:jc w:val="center"/>
            </w:pPr>
            <w:r>
              <w:t>W 9-15</w:t>
            </w:r>
          </w:p>
        </w:tc>
        <w:tc>
          <w:tcPr>
            <w:tcW w:w="7454" w:type="dxa"/>
          </w:tcPr>
          <w:p w14:paraId="43BF9F6C" w14:textId="45C16084" w:rsidR="002E6A8F" w:rsidRPr="00C04A3C" w:rsidRDefault="00DE1F02" w:rsidP="002E6A8F">
            <w:pPr>
              <w:jc w:val="center"/>
            </w:pPr>
            <w:r>
              <w:t>Cell-cell combat: toxin-antitoxin systems</w:t>
            </w:r>
          </w:p>
        </w:tc>
      </w:tr>
      <w:tr w:rsidR="002E6A8F" w14:paraId="056094B2" w14:textId="77777777" w:rsidTr="00722B66">
        <w:tc>
          <w:tcPr>
            <w:tcW w:w="1350" w:type="dxa"/>
            <w:vMerge/>
          </w:tcPr>
          <w:p w14:paraId="0916423E" w14:textId="77777777" w:rsidR="002E6A8F" w:rsidRDefault="002E6A8F" w:rsidP="002E6A8F">
            <w:pPr>
              <w:jc w:val="center"/>
            </w:pPr>
          </w:p>
        </w:tc>
        <w:tc>
          <w:tcPr>
            <w:tcW w:w="7454" w:type="dxa"/>
          </w:tcPr>
          <w:p w14:paraId="64F9A6FE" w14:textId="77777777" w:rsidR="00DE1F02" w:rsidRDefault="00DE1F02" w:rsidP="00DE1F02">
            <w:pPr>
              <w:jc w:val="center"/>
            </w:pPr>
            <w:r>
              <w:t>Paper III discussion, NO PAPER OR HANDOUT SO YOU CAN STUDY</w:t>
            </w:r>
          </w:p>
          <w:p w14:paraId="35F7FAE3" w14:textId="58883CE8" w:rsidR="002E6A8F" w:rsidRPr="009804D8" w:rsidRDefault="00DE1F02" w:rsidP="00DE1F02">
            <w:pPr>
              <w:jc w:val="center"/>
              <w:rPr>
                <w:i/>
                <w:iCs/>
              </w:rPr>
            </w:pPr>
            <w:r>
              <w:t xml:space="preserve">“A </w:t>
            </w:r>
            <w:r>
              <w:rPr>
                <w:i/>
                <w:iCs/>
              </w:rPr>
              <w:t xml:space="preserve">Vibrio cholerae </w:t>
            </w:r>
            <w:r>
              <w:t xml:space="preserve">autoinducer-receptor pair that controls biofilm formation” K </w:t>
            </w:r>
            <w:proofErr w:type="spellStart"/>
            <w:r>
              <w:t>Papenfort</w:t>
            </w:r>
            <w:proofErr w:type="spellEnd"/>
            <w:r>
              <w:t xml:space="preserve"> </w:t>
            </w:r>
            <w:r>
              <w:rPr>
                <w:i/>
                <w:iCs/>
              </w:rPr>
              <w:t>et al.</w:t>
            </w:r>
          </w:p>
        </w:tc>
      </w:tr>
      <w:tr w:rsidR="002E6A8F" w14:paraId="71519401" w14:textId="77777777" w:rsidTr="00722B66">
        <w:tc>
          <w:tcPr>
            <w:tcW w:w="1350" w:type="dxa"/>
          </w:tcPr>
          <w:p w14:paraId="0E1F2E35" w14:textId="758D8506" w:rsidR="002E6A8F" w:rsidRPr="00EA0872" w:rsidRDefault="002E6A8F" w:rsidP="002E6A8F">
            <w:pPr>
              <w:jc w:val="center"/>
            </w:pPr>
            <w:r>
              <w:t>F 9-17</w:t>
            </w:r>
          </w:p>
        </w:tc>
        <w:tc>
          <w:tcPr>
            <w:tcW w:w="7454" w:type="dxa"/>
          </w:tcPr>
          <w:p w14:paraId="5D3C673E" w14:textId="0F753F2E" w:rsidR="002E6A8F" w:rsidRPr="00C04A3C" w:rsidRDefault="002E6A8F" w:rsidP="002E6A8F">
            <w:pPr>
              <w:jc w:val="center"/>
            </w:pPr>
            <w:r>
              <w:rPr>
                <w:b/>
              </w:rPr>
              <w:t xml:space="preserve">Exam 1 </w:t>
            </w:r>
          </w:p>
        </w:tc>
      </w:tr>
      <w:tr w:rsidR="002E6A8F" w14:paraId="16E81CFE" w14:textId="77777777" w:rsidTr="00722B66">
        <w:tc>
          <w:tcPr>
            <w:tcW w:w="1350" w:type="dxa"/>
          </w:tcPr>
          <w:p w14:paraId="61A7EC70" w14:textId="7D814BA0" w:rsidR="002E6A8F" w:rsidRPr="00DE1F02" w:rsidRDefault="002E6A8F" w:rsidP="002E6A8F">
            <w:pPr>
              <w:jc w:val="center"/>
              <w:rPr>
                <w:bCs/>
              </w:rPr>
            </w:pPr>
            <w:r w:rsidRPr="00DE1F02">
              <w:rPr>
                <w:bCs/>
              </w:rPr>
              <w:t>M 9-20</w:t>
            </w:r>
          </w:p>
        </w:tc>
        <w:tc>
          <w:tcPr>
            <w:tcW w:w="7454" w:type="dxa"/>
          </w:tcPr>
          <w:p w14:paraId="02266B1E" w14:textId="0B820710" w:rsidR="002E6A8F" w:rsidRPr="00CF2166" w:rsidRDefault="002E6A8F" w:rsidP="002E6A8F">
            <w:pPr>
              <w:jc w:val="center"/>
              <w:rPr>
                <w:b/>
              </w:rPr>
            </w:pPr>
            <w:r>
              <w:t xml:space="preserve">Central dogma, DNA replication, Ch. 12 </w:t>
            </w:r>
          </w:p>
        </w:tc>
      </w:tr>
      <w:tr w:rsidR="002E6A8F" w14:paraId="6B0F9A33" w14:textId="77777777" w:rsidTr="00722B66">
        <w:tc>
          <w:tcPr>
            <w:tcW w:w="1350" w:type="dxa"/>
            <w:vMerge w:val="restart"/>
            <w:vAlign w:val="center"/>
          </w:tcPr>
          <w:p w14:paraId="61ACED80" w14:textId="66005A6F" w:rsidR="002E6A8F" w:rsidRPr="00EA0872" w:rsidRDefault="002E6A8F" w:rsidP="002E6A8F">
            <w:pPr>
              <w:jc w:val="center"/>
            </w:pPr>
            <w:r>
              <w:t>W 9-22</w:t>
            </w:r>
          </w:p>
        </w:tc>
        <w:tc>
          <w:tcPr>
            <w:tcW w:w="7454" w:type="dxa"/>
          </w:tcPr>
          <w:p w14:paraId="4220454E" w14:textId="52C7B199" w:rsidR="002E6A8F" w:rsidRPr="00C417E7" w:rsidRDefault="00DE1F02" w:rsidP="002E6A8F">
            <w:pPr>
              <w:jc w:val="center"/>
              <w:rPr>
                <w:b/>
              </w:rPr>
            </w:pPr>
            <w:r>
              <w:t>Replication and termination</w:t>
            </w:r>
          </w:p>
        </w:tc>
      </w:tr>
      <w:tr w:rsidR="00DE1F02" w14:paraId="48555662" w14:textId="77777777" w:rsidTr="00722B66">
        <w:tc>
          <w:tcPr>
            <w:tcW w:w="1350" w:type="dxa"/>
            <w:vMerge/>
          </w:tcPr>
          <w:p w14:paraId="2756F43B" w14:textId="77777777" w:rsidR="00DE1F02" w:rsidRDefault="00DE1F02" w:rsidP="00DE1F02">
            <w:pPr>
              <w:jc w:val="center"/>
            </w:pPr>
          </w:p>
        </w:tc>
        <w:tc>
          <w:tcPr>
            <w:tcW w:w="7454" w:type="dxa"/>
          </w:tcPr>
          <w:p w14:paraId="02200279" w14:textId="77777777" w:rsidR="00DE1F02" w:rsidRDefault="00DE1F02" w:rsidP="00DE1F02">
            <w:pPr>
              <w:jc w:val="center"/>
            </w:pPr>
            <w:r w:rsidRPr="000D46E9">
              <w:rPr>
                <w:i/>
                <w:iCs/>
              </w:rPr>
              <w:t>Caulobacter paper</w:t>
            </w:r>
            <w:r>
              <w:t xml:space="preserve"> discussion (me), Paper IV and handout</w:t>
            </w:r>
          </w:p>
          <w:p w14:paraId="4DE43F18" w14:textId="210B7D3A" w:rsidR="00DE1F02" w:rsidRPr="000D46E9" w:rsidRDefault="00DE1F02" w:rsidP="00DE1F02">
            <w:pPr>
              <w:jc w:val="center"/>
            </w:pPr>
            <w:r>
              <w:t xml:space="preserve">“A New Essential Cell Division Protein in </w:t>
            </w:r>
            <w:r>
              <w:rPr>
                <w:i/>
                <w:iCs/>
              </w:rPr>
              <w:t xml:space="preserve">Caulobacter </w:t>
            </w:r>
            <w:proofErr w:type="spellStart"/>
            <w:r>
              <w:rPr>
                <w:i/>
                <w:iCs/>
              </w:rPr>
              <w:t>crescentus</w:t>
            </w:r>
            <w:proofErr w:type="spellEnd"/>
            <w:r>
              <w:t xml:space="preserve">” </w:t>
            </w:r>
            <w:proofErr w:type="gramStart"/>
            <w:r>
              <w:t>A</w:t>
            </w:r>
            <w:proofErr w:type="gramEnd"/>
            <w:r>
              <w:t xml:space="preserve"> Osorio </w:t>
            </w:r>
            <w:r>
              <w:rPr>
                <w:i/>
                <w:iCs/>
              </w:rPr>
              <w:t>et al.</w:t>
            </w:r>
          </w:p>
        </w:tc>
      </w:tr>
      <w:tr w:rsidR="00DE1F02" w14:paraId="75F038B6" w14:textId="77777777" w:rsidTr="00722B66">
        <w:trPr>
          <w:trHeight w:val="305"/>
        </w:trPr>
        <w:tc>
          <w:tcPr>
            <w:tcW w:w="1350" w:type="dxa"/>
          </w:tcPr>
          <w:p w14:paraId="509B80B3" w14:textId="56E95066" w:rsidR="00DE1F02" w:rsidRPr="00EA0872" w:rsidRDefault="00DE1F02" w:rsidP="00DE1F02">
            <w:pPr>
              <w:jc w:val="center"/>
            </w:pPr>
            <w:r>
              <w:t>F 9-24</w:t>
            </w:r>
          </w:p>
        </w:tc>
        <w:tc>
          <w:tcPr>
            <w:tcW w:w="7454" w:type="dxa"/>
          </w:tcPr>
          <w:p w14:paraId="78A53BB3" w14:textId="6DA0A290" w:rsidR="00DE1F02" w:rsidRPr="00670D8B" w:rsidRDefault="00DE1F02" w:rsidP="00DE1F02">
            <w:pPr>
              <w:jc w:val="center"/>
            </w:pPr>
            <w:r>
              <w:t>T</w:t>
            </w:r>
            <w:r w:rsidRPr="0095014C">
              <w:t>ranscription</w:t>
            </w:r>
            <w:r>
              <w:t>, Ch. 12</w:t>
            </w:r>
          </w:p>
        </w:tc>
      </w:tr>
      <w:tr w:rsidR="00DE1F02" w14:paraId="0F64B4E0" w14:textId="77777777" w:rsidTr="00722B66">
        <w:tc>
          <w:tcPr>
            <w:tcW w:w="1350" w:type="dxa"/>
          </w:tcPr>
          <w:p w14:paraId="1BBC9388" w14:textId="5076988F" w:rsidR="00DE1F02" w:rsidRPr="00EA0872" w:rsidRDefault="00DE1F02" w:rsidP="00DE1F02">
            <w:pPr>
              <w:jc w:val="center"/>
            </w:pPr>
            <w:r>
              <w:t>M 9-27</w:t>
            </w:r>
          </w:p>
        </w:tc>
        <w:tc>
          <w:tcPr>
            <w:tcW w:w="7454" w:type="dxa"/>
          </w:tcPr>
          <w:p w14:paraId="2C749429" w14:textId="21395183" w:rsidR="00DE1F02" w:rsidRPr="00670D8B" w:rsidRDefault="00DE1F02" w:rsidP="00DE1F02">
            <w:pPr>
              <w:jc w:val="center"/>
            </w:pPr>
            <w:r>
              <w:t>Transcriptional termination</w:t>
            </w:r>
          </w:p>
        </w:tc>
      </w:tr>
      <w:tr w:rsidR="00DE1F02" w14:paraId="4A15F3C3" w14:textId="77777777" w:rsidTr="00722B66">
        <w:tc>
          <w:tcPr>
            <w:tcW w:w="1350" w:type="dxa"/>
            <w:vMerge w:val="restart"/>
            <w:vAlign w:val="center"/>
          </w:tcPr>
          <w:p w14:paraId="257BAFE5" w14:textId="01312732" w:rsidR="00DE1F02" w:rsidRPr="00370522" w:rsidRDefault="00DE1F02" w:rsidP="00DE1F02">
            <w:pPr>
              <w:jc w:val="center"/>
              <w:rPr>
                <w:bCs/>
              </w:rPr>
            </w:pPr>
            <w:r>
              <w:rPr>
                <w:bCs/>
              </w:rPr>
              <w:t>W</w:t>
            </w:r>
            <w:r w:rsidRPr="00370522">
              <w:rPr>
                <w:bCs/>
              </w:rPr>
              <w:t xml:space="preserve"> 9-</w:t>
            </w:r>
            <w:r>
              <w:rPr>
                <w:bCs/>
              </w:rPr>
              <w:t>29</w:t>
            </w:r>
          </w:p>
        </w:tc>
        <w:tc>
          <w:tcPr>
            <w:tcW w:w="7454" w:type="dxa"/>
          </w:tcPr>
          <w:p w14:paraId="1517B8B7" w14:textId="105B4A23" w:rsidR="00DE1F02" w:rsidRDefault="00DE1F02" w:rsidP="00DE1F02">
            <w:pPr>
              <w:jc w:val="center"/>
              <w:rPr>
                <w:b/>
              </w:rPr>
            </w:pPr>
            <w:r>
              <w:t>Gene regulation I, Ch. 13</w:t>
            </w:r>
          </w:p>
        </w:tc>
      </w:tr>
      <w:tr w:rsidR="00DE1F02" w14:paraId="30424FB9" w14:textId="77777777" w:rsidTr="00722B66">
        <w:tc>
          <w:tcPr>
            <w:tcW w:w="1350" w:type="dxa"/>
            <w:vMerge/>
          </w:tcPr>
          <w:p w14:paraId="55B54416" w14:textId="77777777" w:rsidR="00DE1F02" w:rsidRDefault="00DE1F02" w:rsidP="00DE1F02">
            <w:pPr>
              <w:jc w:val="center"/>
              <w:rPr>
                <w:bCs/>
              </w:rPr>
            </w:pPr>
          </w:p>
        </w:tc>
        <w:tc>
          <w:tcPr>
            <w:tcW w:w="7454" w:type="dxa"/>
          </w:tcPr>
          <w:p w14:paraId="1C1B8DBF" w14:textId="77777777" w:rsidR="00DE1F02" w:rsidRDefault="00DE1F02" w:rsidP="00DE1F02">
            <w:pPr>
              <w:jc w:val="center"/>
            </w:pPr>
            <w:r>
              <w:t>Paper IV discussion, Paper V and handout</w:t>
            </w:r>
          </w:p>
          <w:p w14:paraId="2601DB2F" w14:textId="681993CE" w:rsidR="00DE1F02" w:rsidRPr="005340BA" w:rsidRDefault="00DE1F02" w:rsidP="00DE1F02">
            <w:pPr>
              <w:jc w:val="center"/>
            </w:pPr>
            <w:r>
              <w:t>“</w:t>
            </w:r>
            <w:proofErr w:type="spellStart"/>
            <w:r>
              <w:t>DnaC</w:t>
            </w:r>
            <w:proofErr w:type="spellEnd"/>
            <w:r>
              <w:t xml:space="preserve">, the Indispensable companion of </w:t>
            </w:r>
            <w:proofErr w:type="spellStart"/>
            <w:r>
              <w:t>DnaB</w:t>
            </w:r>
            <w:proofErr w:type="spellEnd"/>
            <w:r>
              <w:t xml:space="preserve"> helicase, controls the accessibility of </w:t>
            </w:r>
            <w:proofErr w:type="spellStart"/>
            <w:r>
              <w:t>DnaB</w:t>
            </w:r>
            <w:proofErr w:type="spellEnd"/>
            <w:r>
              <w:t xml:space="preserve"> helicase by primase” MM </w:t>
            </w:r>
            <w:proofErr w:type="spellStart"/>
            <w:r>
              <w:t>Felczak</w:t>
            </w:r>
            <w:proofErr w:type="spellEnd"/>
            <w:r>
              <w:t xml:space="preserve"> </w:t>
            </w:r>
            <w:r>
              <w:rPr>
                <w:i/>
                <w:iCs/>
              </w:rPr>
              <w:t>et al</w:t>
            </w:r>
            <w:r>
              <w:t>.</w:t>
            </w:r>
          </w:p>
        </w:tc>
      </w:tr>
      <w:tr w:rsidR="00DE1F02" w14:paraId="148FF009" w14:textId="77777777" w:rsidTr="00722B66">
        <w:tc>
          <w:tcPr>
            <w:tcW w:w="1350" w:type="dxa"/>
          </w:tcPr>
          <w:p w14:paraId="47354AEB" w14:textId="41A86253" w:rsidR="00DE1F02" w:rsidRPr="0054313D" w:rsidRDefault="00DE1F02" w:rsidP="00DE1F02">
            <w:pPr>
              <w:jc w:val="center"/>
            </w:pPr>
            <w:r>
              <w:t>F 10-1</w:t>
            </w:r>
          </w:p>
        </w:tc>
        <w:tc>
          <w:tcPr>
            <w:tcW w:w="7454" w:type="dxa"/>
          </w:tcPr>
          <w:p w14:paraId="6287F35C" w14:textId="1D97C132" w:rsidR="00DE1F02" w:rsidRPr="00367BE3" w:rsidRDefault="00DE1F02" w:rsidP="00DE1F02">
            <w:pPr>
              <w:jc w:val="center"/>
            </w:pPr>
            <w:r>
              <w:t>More gene regulation</w:t>
            </w:r>
          </w:p>
        </w:tc>
      </w:tr>
      <w:tr w:rsidR="00DE1F02" w14:paraId="632E46AB" w14:textId="77777777" w:rsidTr="00722B66">
        <w:tc>
          <w:tcPr>
            <w:tcW w:w="1350" w:type="dxa"/>
          </w:tcPr>
          <w:p w14:paraId="70F8340D" w14:textId="2CB69C41" w:rsidR="00DE1F02" w:rsidRPr="0054313D" w:rsidRDefault="00DE1F02" w:rsidP="00DE1F02">
            <w:pPr>
              <w:jc w:val="center"/>
            </w:pPr>
            <w:r>
              <w:t>M 10-4</w:t>
            </w:r>
          </w:p>
        </w:tc>
        <w:tc>
          <w:tcPr>
            <w:tcW w:w="7454" w:type="dxa"/>
          </w:tcPr>
          <w:p w14:paraId="7CF1CC0F" w14:textId="3855D95E" w:rsidR="00DE1F02" w:rsidRPr="0095014C" w:rsidRDefault="00DE1F02" w:rsidP="00DE1F02">
            <w:pPr>
              <w:jc w:val="center"/>
            </w:pPr>
            <w:r>
              <w:t xml:space="preserve">Gene regulation II, Ch. 13 </w:t>
            </w:r>
          </w:p>
        </w:tc>
      </w:tr>
      <w:tr w:rsidR="00DE1F02" w14:paraId="2F232EFB" w14:textId="77777777" w:rsidTr="00722B66">
        <w:trPr>
          <w:trHeight w:val="314"/>
        </w:trPr>
        <w:tc>
          <w:tcPr>
            <w:tcW w:w="1350" w:type="dxa"/>
            <w:vMerge w:val="restart"/>
            <w:vAlign w:val="center"/>
          </w:tcPr>
          <w:p w14:paraId="015A0BA1" w14:textId="195B7814" w:rsidR="00DE1F02" w:rsidRPr="0054313D" w:rsidRDefault="00DE1F02" w:rsidP="00DE1F02">
            <w:pPr>
              <w:jc w:val="center"/>
            </w:pPr>
            <w:r>
              <w:t>W</w:t>
            </w:r>
            <w:r w:rsidRPr="0054313D">
              <w:t xml:space="preserve"> </w:t>
            </w:r>
            <w:r>
              <w:t>10</w:t>
            </w:r>
            <w:r w:rsidRPr="0054313D">
              <w:t>-</w:t>
            </w:r>
            <w:r>
              <w:t>6</w:t>
            </w:r>
          </w:p>
        </w:tc>
        <w:tc>
          <w:tcPr>
            <w:tcW w:w="7454" w:type="dxa"/>
          </w:tcPr>
          <w:p w14:paraId="767CDC7A" w14:textId="41BF928A" w:rsidR="00DE1F02" w:rsidRPr="00367BE3" w:rsidRDefault="00586B1D" w:rsidP="00DE1F02">
            <w:pPr>
              <w:jc w:val="center"/>
            </w:pPr>
            <w:r>
              <w:t>RNA regulation (ncRNA)</w:t>
            </w:r>
          </w:p>
        </w:tc>
      </w:tr>
      <w:tr w:rsidR="00DE1F02" w14:paraId="3D425F49" w14:textId="77777777" w:rsidTr="00722B66">
        <w:trPr>
          <w:trHeight w:val="314"/>
        </w:trPr>
        <w:tc>
          <w:tcPr>
            <w:tcW w:w="1350" w:type="dxa"/>
            <w:vMerge/>
          </w:tcPr>
          <w:p w14:paraId="1FE01539" w14:textId="77777777" w:rsidR="00DE1F02" w:rsidRDefault="00DE1F02" w:rsidP="00DE1F02">
            <w:pPr>
              <w:jc w:val="center"/>
            </w:pPr>
          </w:p>
        </w:tc>
        <w:tc>
          <w:tcPr>
            <w:tcW w:w="7454" w:type="dxa"/>
          </w:tcPr>
          <w:p w14:paraId="082D2D1F" w14:textId="77777777" w:rsidR="00586B1D" w:rsidRDefault="00586B1D" w:rsidP="00586B1D">
            <w:pPr>
              <w:jc w:val="center"/>
            </w:pPr>
            <w:r>
              <w:t>Paper V discussion, Paper VI and handout</w:t>
            </w:r>
          </w:p>
          <w:p w14:paraId="729AF1FD" w14:textId="4828A839" w:rsidR="00DE1F02" w:rsidRPr="005340BA" w:rsidRDefault="00586B1D" w:rsidP="00586B1D">
            <w:pPr>
              <w:jc w:val="center"/>
            </w:pPr>
            <w:r>
              <w:t xml:space="preserve">“A bipartite iron-dependent transcriptional regulation of the tryptophan salvage pathway in </w:t>
            </w:r>
            <w:r>
              <w:rPr>
                <w:i/>
                <w:iCs/>
              </w:rPr>
              <w:t>Chlamydia trachomatis</w:t>
            </w:r>
            <w:r>
              <w:t xml:space="preserve">” ND </w:t>
            </w:r>
            <w:proofErr w:type="spellStart"/>
            <w:r>
              <w:t>Pokorzynski</w:t>
            </w:r>
            <w:proofErr w:type="spellEnd"/>
            <w:r>
              <w:t xml:space="preserve"> </w:t>
            </w:r>
            <w:r>
              <w:rPr>
                <w:i/>
                <w:iCs/>
              </w:rPr>
              <w:t>et al.</w:t>
            </w:r>
          </w:p>
        </w:tc>
      </w:tr>
      <w:tr w:rsidR="00DE1F02" w14:paraId="25EAE06B" w14:textId="77777777" w:rsidTr="00722B66">
        <w:tc>
          <w:tcPr>
            <w:tcW w:w="1350" w:type="dxa"/>
          </w:tcPr>
          <w:p w14:paraId="73CE1F88" w14:textId="3A1D1E24" w:rsidR="00DE1F02" w:rsidRPr="0054313D" w:rsidRDefault="00DE1F02" w:rsidP="00DE1F02">
            <w:pPr>
              <w:jc w:val="center"/>
            </w:pPr>
            <w:r>
              <w:t>F 10-8</w:t>
            </w:r>
          </w:p>
        </w:tc>
        <w:tc>
          <w:tcPr>
            <w:tcW w:w="7454" w:type="dxa"/>
          </w:tcPr>
          <w:p w14:paraId="459CA821" w14:textId="28B518E0" w:rsidR="00DE1F02" w:rsidRPr="0095014C" w:rsidRDefault="00DE1F02" w:rsidP="00DE1F02">
            <w:pPr>
              <w:jc w:val="center"/>
            </w:pPr>
            <w:r>
              <w:t>Basics of Translation</w:t>
            </w:r>
          </w:p>
        </w:tc>
      </w:tr>
      <w:tr w:rsidR="00DE1F02" w14:paraId="3B11A0CE" w14:textId="77777777" w:rsidTr="00722B66">
        <w:tc>
          <w:tcPr>
            <w:tcW w:w="1350" w:type="dxa"/>
          </w:tcPr>
          <w:p w14:paraId="3EB027F6" w14:textId="289116D6" w:rsidR="00DE1F02" w:rsidRPr="0054313D" w:rsidRDefault="00DE1F02" w:rsidP="00DE1F02">
            <w:pPr>
              <w:jc w:val="center"/>
            </w:pPr>
            <w:r>
              <w:t>M 10-11</w:t>
            </w:r>
          </w:p>
        </w:tc>
        <w:tc>
          <w:tcPr>
            <w:tcW w:w="7454" w:type="dxa"/>
          </w:tcPr>
          <w:p w14:paraId="06F9DFF6" w14:textId="6DD5FC82" w:rsidR="00DE1F02" w:rsidRPr="0095014C" w:rsidRDefault="00DE1F02" w:rsidP="00DE1F02">
            <w:pPr>
              <w:jc w:val="center"/>
            </w:pPr>
            <w:r>
              <w:t>Translational regulation: attenuation, stringent response</w:t>
            </w:r>
          </w:p>
        </w:tc>
      </w:tr>
      <w:tr w:rsidR="00DE1F02" w14:paraId="6EA011E5" w14:textId="77777777" w:rsidTr="00722B66">
        <w:tc>
          <w:tcPr>
            <w:tcW w:w="1350" w:type="dxa"/>
            <w:vMerge w:val="restart"/>
            <w:vAlign w:val="center"/>
          </w:tcPr>
          <w:p w14:paraId="2E52E0C5" w14:textId="058795ED" w:rsidR="00DE1F02" w:rsidRPr="004D6DC8" w:rsidRDefault="00DE1F02" w:rsidP="00DE1F02">
            <w:pPr>
              <w:jc w:val="center"/>
            </w:pPr>
            <w:r>
              <w:t>W 10-13</w:t>
            </w:r>
          </w:p>
        </w:tc>
        <w:tc>
          <w:tcPr>
            <w:tcW w:w="7454" w:type="dxa"/>
          </w:tcPr>
          <w:p w14:paraId="3C85A88E" w14:textId="7E2F1DE2" w:rsidR="00DE1F02" w:rsidRPr="00234FD3" w:rsidRDefault="00586B1D" w:rsidP="00DE1F02">
            <w:pPr>
              <w:jc w:val="center"/>
            </w:pPr>
            <w:r>
              <w:t xml:space="preserve">Protein folding, chaperones, </w:t>
            </w:r>
            <w:proofErr w:type="spellStart"/>
            <w:r>
              <w:t>tmRNA</w:t>
            </w:r>
            <w:proofErr w:type="spellEnd"/>
          </w:p>
        </w:tc>
      </w:tr>
      <w:tr w:rsidR="00DE1F02" w14:paraId="14FB394E" w14:textId="77777777" w:rsidTr="00722B66">
        <w:tc>
          <w:tcPr>
            <w:tcW w:w="1350" w:type="dxa"/>
            <w:vMerge/>
          </w:tcPr>
          <w:p w14:paraId="02BF3CCF" w14:textId="77777777" w:rsidR="00DE1F02" w:rsidRDefault="00DE1F02" w:rsidP="00DE1F02">
            <w:pPr>
              <w:jc w:val="center"/>
            </w:pPr>
          </w:p>
        </w:tc>
        <w:tc>
          <w:tcPr>
            <w:tcW w:w="7454" w:type="dxa"/>
          </w:tcPr>
          <w:p w14:paraId="07F7BDA7" w14:textId="77777777" w:rsidR="00586B1D" w:rsidRDefault="00586B1D" w:rsidP="00586B1D">
            <w:pPr>
              <w:jc w:val="center"/>
            </w:pPr>
            <w:r>
              <w:t>Paper VI discussion, NO PAPER OR HANDOUT SO YOU CAN STUDY</w:t>
            </w:r>
          </w:p>
          <w:p w14:paraId="7D8C9348" w14:textId="46336CF6" w:rsidR="00DE1F02" w:rsidRPr="000635B5" w:rsidRDefault="00586B1D" w:rsidP="00586B1D">
            <w:pPr>
              <w:jc w:val="center"/>
              <w:rPr>
                <w:i/>
                <w:iCs/>
              </w:rPr>
            </w:pPr>
            <w:r>
              <w:t xml:space="preserve">“The anti-Shine-Dalgarno sequence drives translational pausing and codon choice in bacteria” G-W Li, </w:t>
            </w:r>
            <w:r w:rsidRPr="000635B5">
              <w:rPr>
                <w:i/>
                <w:iCs/>
              </w:rPr>
              <w:t>et al</w:t>
            </w:r>
            <w:r>
              <w:t>.</w:t>
            </w:r>
          </w:p>
        </w:tc>
      </w:tr>
      <w:tr w:rsidR="00DE1F02" w14:paraId="54E7D30F" w14:textId="77777777" w:rsidTr="00722B66">
        <w:tc>
          <w:tcPr>
            <w:tcW w:w="1350" w:type="dxa"/>
          </w:tcPr>
          <w:p w14:paraId="0DDB74E2" w14:textId="40934213" w:rsidR="00DE1F02" w:rsidRPr="004D6DC8" w:rsidRDefault="00DE1F02" w:rsidP="00DE1F02">
            <w:pPr>
              <w:jc w:val="center"/>
            </w:pPr>
            <w:r>
              <w:t>F 10-15</w:t>
            </w:r>
          </w:p>
        </w:tc>
        <w:tc>
          <w:tcPr>
            <w:tcW w:w="7454" w:type="dxa"/>
          </w:tcPr>
          <w:p w14:paraId="371FAACA" w14:textId="7FC33E95" w:rsidR="00DE1F02" w:rsidRPr="00234FD3" w:rsidRDefault="00DE1F02" w:rsidP="00DE1F02">
            <w:pPr>
              <w:jc w:val="center"/>
            </w:pPr>
            <w:r>
              <w:t>Protein Secretion pathways</w:t>
            </w:r>
          </w:p>
        </w:tc>
      </w:tr>
      <w:tr w:rsidR="00DE1F02" w14:paraId="054CF365" w14:textId="77777777" w:rsidTr="00BA779D">
        <w:trPr>
          <w:trHeight w:val="296"/>
        </w:trPr>
        <w:tc>
          <w:tcPr>
            <w:tcW w:w="1350" w:type="dxa"/>
          </w:tcPr>
          <w:p w14:paraId="5C98D1D2" w14:textId="6AEA25FD" w:rsidR="00DE1F02" w:rsidRPr="00586B1D" w:rsidRDefault="00DE1F02" w:rsidP="00DE1F02">
            <w:pPr>
              <w:jc w:val="center"/>
              <w:rPr>
                <w:b/>
                <w:bCs/>
              </w:rPr>
            </w:pPr>
            <w:r w:rsidRPr="00586B1D">
              <w:rPr>
                <w:b/>
                <w:bCs/>
              </w:rPr>
              <w:t>M 10-18</w:t>
            </w:r>
          </w:p>
        </w:tc>
        <w:tc>
          <w:tcPr>
            <w:tcW w:w="7454" w:type="dxa"/>
            <w:vAlign w:val="center"/>
          </w:tcPr>
          <w:p w14:paraId="6DB64A4A" w14:textId="6D75B53E" w:rsidR="00DE1F02" w:rsidRPr="00234FD3" w:rsidRDefault="00DE1F02" w:rsidP="00DE1F02">
            <w:pPr>
              <w:jc w:val="center"/>
            </w:pPr>
            <w:r w:rsidRPr="00523B16">
              <w:rPr>
                <w:b/>
              </w:rPr>
              <w:t>Exam 2</w:t>
            </w:r>
          </w:p>
        </w:tc>
      </w:tr>
      <w:tr w:rsidR="00DE1F02" w14:paraId="5C07E3A9" w14:textId="77777777" w:rsidTr="00BA779D">
        <w:trPr>
          <w:trHeight w:val="573"/>
        </w:trPr>
        <w:tc>
          <w:tcPr>
            <w:tcW w:w="1350" w:type="dxa"/>
            <w:vAlign w:val="center"/>
          </w:tcPr>
          <w:p w14:paraId="74221C91" w14:textId="755D3A50" w:rsidR="00DE1F02" w:rsidRPr="00586B1D" w:rsidRDefault="00DE1F02" w:rsidP="00DE1F02">
            <w:pPr>
              <w:jc w:val="center"/>
              <w:rPr>
                <w:bCs/>
              </w:rPr>
            </w:pPr>
            <w:r w:rsidRPr="00586B1D">
              <w:rPr>
                <w:bCs/>
              </w:rPr>
              <w:t>W 10-20</w:t>
            </w:r>
          </w:p>
        </w:tc>
        <w:tc>
          <w:tcPr>
            <w:tcW w:w="7454" w:type="dxa"/>
          </w:tcPr>
          <w:p w14:paraId="2BB8C0DB" w14:textId="77777777" w:rsidR="00DE1F02" w:rsidRDefault="00DE1F02" w:rsidP="00DE1F02">
            <w:pPr>
              <w:jc w:val="center"/>
            </w:pPr>
            <w:r>
              <w:t xml:space="preserve">Bacteriophages, and intro to phage </w:t>
            </w:r>
            <w:r>
              <w:sym w:font="Symbol" w:char="F06C"/>
            </w:r>
            <w:r>
              <w:t>, Ch. 9 and supplementation</w:t>
            </w:r>
          </w:p>
          <w:p w14:paraId="5BAECD54" w14:textId="0B6B792B" w:rsidR="00586B1D" w:rsidRPr="00586B1D" w:rsidRDefault="00586B1D" w:rsidP="00DE1F02">
            <w:pPr>
              <w:jc w:val="center"/>
              <w:rPr>
                <w:b/>
              </w:rPr>
            </w:pPr>
            <w:r>
              <w:rPr>
                <w:b/>
              </w:rPr>
              <w:t>No extended Wednesday section</w:t>
            </w:r>
          </w:p>
        </w:tc>
      </w:tr>
      <w:tr w:rsidR="00DE1F02" w14:paraId="6FFD12F7" w14:textId="77777777" w:rsidTr="00722B66">
        <w:tc>
          <w:tcPr>
            <w:tcW w:w="1350" w:type="dxa"/>
          </w:tcPr>
          <w:p w14:paraId="35B5A38F" w14:textId="68E89395" w:rsidR="00DE1F02" w:rsidRPr="004D6DC8" w:rsidRDefault="00DE1F02" w:rsidP="00DE1F02">
            <w:pPr>
              <w:jc w:val="center"/>
            </w:pPr>
            <w:r>
              <w:lastRenderedPageBreak/>
              <w:t>F 10-22</w:t>
            </w:r>
          </w:p>
        </w:tc>
        <w:tc>
          <w:tcPr>
            <w:tcW w:w="7454" w:type="dxa"/>
          </w:tcPr>
          <w:p w14:paraId="145084A3" w14:textId="520A9E63" w:rsidR="00DE1F02" w:rsidRPr="00553538" w:rsidRDefault="00DE1F02" w:rsidP="00D44D6C">
            <w:pPr>
              <w:jc w:val="center"/>
              <w:rPr>
                <w:b/>
              </w:rPr>
            </w:pPr>
            <w:r w:rsidRPr="00492204">
              <w:t xml:space="preserve">Lambda lifecycle and </w:t>
            </w:r>
            <w:r>
              <w:t xml:space="preserve">lifecycle </w:t>
            </w:r>
            <w:r w:rsidRPr="00492204">
              <w:t>regulation</w:t>
            </w:r>
            <w:r>
              <w:t>, outside supplement</w:t>
            </w:r>
          </w:p>
        </w:tc>
      </w:tr>
      <w:tr w:rsidR="00DE1F02" w14:paraId="4C539644" w14:textId="77777777" w:rsidTr="00C56826">
        <w:trPr>
          <w:trHeight w:val="573"/>
        </w:trPr>
        <w:tc>
          <w:tcPr>
            <w:tcW w:w="1350" w:type="dxa"/>
          </w:tcPr>
          <w:p w14:paraId="5ACD7EF2" w14:textId="740B2EC0" w:rsidR="00DE1F02" w:rsidRPr="004D6DC8" w:rsidRDefault="00DE1F02" w:rsidP="00DE1F02">
            <w:pPr>
              <w:jc w:val="center"/>
            </w:pPr>
            <w:r>
              <w:t>M 10-25</w:t>
            </w:r>
          </w:p>
        </w:tc>
        <w:tc>
          <w:tcPr>
            <w:tcW w:w="7454" w:type="dxa"/>
          </w:tcPr>
          <w:p w14:paraId="3563B829" w14:textId="77777777" w:rsidR="00DE1F02" w:rsidRDefault="00DE1F02" w:rsidP="00DE1F02">
            <w:pPr>
              <w:jc w:val="center"/>
            </w:pPr>
            <w:r>
              <w:t>More lambda lifecycle regulation, outside supplement</w:t>
            </w:r>
          </w:p>
          <w:p w14:paraId="188BF570" w14:textId="4D9CD456" w:rsidR="00D44D6C" w:rsidRDefault="00D44D6C" w:rsidP="00DE1F02">
            <w:pPr>
              <w:jc w:val="center"/>
              <w:rPr>
                <w:b/>
              </w:rPr>
            </w:pPr>
            <w:r>
              <w:rPr>
                <w:b/>
                <w:bCs/>
              </w:rPr>
              <w:t>Withdrawal Deadline</w:t>
            </w:r>
          </w:p>
        </w:tc>
      </w:tr>
      <w:tr w:rsidR="00DE1F02" w14:paraId="0012715A" w14:textId="77777777" w:rsidTr="00722B66">
        <w:tc>
          <w:tcPr>
            <w:tcW w:w="1350" w:type="dxa"/>
            <w:vMerge w:val="restart"/>
            <w:vAlign w:val="center"/>
          </w:tcPr>
          <w:p w14:paraId="3DB87A9B" w14:textId="69B04B26" w:rsidR="00DE1F02" w:rsidRPr="004D6DC8" w:rsidRDefault="00DE1F02" w:rsidP="00DE1F02">
            <w:pPr>
              <w:jc w:val="center"/>
            </w:pPr>
            <w:r>
              <w:t>W 10-26</w:t>
            </w:r>
          </w:p>
        </w:tc>
        <w:tc>
          <w:tcPr>
            <w:tcW w:w="7454" w:type="dxa"/>
          </w:tcPr>
          <w:p w14:paraId="69446638" w14:textId="5BB26D0B" w:rsidR="00DE1F02" w:rsidRDefault="00D44D6C" w:rsidP="00DE1F02">
            <w:pPr>
              <w:jc w:val="center"/>
              <w:rPr>
                <w:b/>
              </w:rPr>
            </w:pPr>
            <w:r>
              <w:t>Redox, energy generation, biogeochemical cycling</w:t>
            </w:r>
          </w:p>
        </w:tc>
      </w:tr>
      <w:tr w:rsidR="00DE1F02" w14:paraId="3984CF41" w14:textId="77777777" w:rsidTr="00722B66">
        <w:tc>
          <w:tcPr>
            <w:tcW w:w="1350" w:type="dxa"/>
            <w:vMerge/>
          </w:tcPr>
          <w:p w14:paraId="73212728" w14:textId="77777777" w:rsidR="00DE1F02" w:rsidRDefault="00DE1F02" w:rsidP="00DE1F02">
            <w:pPr>
              <w:jc w:val="center"/>
            </w:pPr>
          </w:p>
        </w:tc>
        <w:tc>
          <w:tcPr>
            <w:tcW w:w="7454" w:type="dxa"/>
          </w:tcPr>
          <w:p w14:paraId="361C314A" w14:textId="77777777" w:rsidR="00D44D6C" w:rsidRDefault="00D44D6C" w:rsidP="00D44D6C">
            <w:pPr>
              <w:jc w:val="center"/>
            </w:pPr>
            <w:r>
              <w:t>Bacterial 2-hybrid paper (me), Paper VII and handout</w:t>
            </w:r>
          </w:p>
          <w:p w14:paraId="59E8229D" w14:textId="729BB720" w:rsidR="00DE1F02" w:rsidRPr="00133106" w:rsidRDefault="00D44D6C" w:rsidP="00D44D6C">
            <w:pPr>
              <w:jc w:val="center"/>
            </w:pPr>
            <w:r>
              <w:t xml:space="preserve">“The Anti-Anti-Sigma Factor </w:t>
            </w:r>
            <w:proofErr w:type="spellStart"/>
            <w:r>
              <w:t>BldG</w:t>
            </w:r>
            <w:proofErr w:type="spellEnd"/>
            <w:r>
              <w:t xml:space="preserve"> Is Involved in Activation of the Stress Response Sigma Factor </w:t>
            </w:r>
            <w:r>
              <w:rPr>
                <w:lang w:val="el-GR"/>
              </w:rPr>
              <w:t>σ</w:t>
            </w:r>
            <w:r>
              <w:rPr>
                <w:vertAlign w:val="superscript"/>
              </w:rPr>
              <w:t>H</w:t>
            </w:r>
            <w:r>
              <w:t xml:space="preserve"> in </w:t>
            </w:r>
            <w:r>
              <w:rPr>
                <w:i/>
                <w:iCs/>
              </w:rPr>
              <w:t xml:space="preserve">Streptomyces </w:t>
            </w:r>
            <w:proofErr w:type="spellStart"/>
            <w:r>
              <w:rPr>
                <w:i/>
                <w:iCs/>
              </w:rPr>
              <w:t>coelicolor</w:t>
            </w:r>
            <w:proofErr w:type="spellEnd"/>
            <w:r>
              <w:rPr>
                <w:i/>
                <w:iCs/>
              </w:rPr>
              <w:t xml:space="preserve"> </w:t>
            </w:r>
            <w:r>
              <w:t xml:space="preserve">A3(2)” B </w:t>
            </w:r>
            <w:proofErr w:type="spellStart"/>
            <w:r>
              <w:t>Sevcikova</w:t>
            </w:r>
            <w:proofErr w:type="spellEnd"/>
            <w:r>
              <w:t xml:space="preserve"> </w:t>
            </w:r>
            <w:r>
              <w:rPr>
                <w:i/>
                <w:iCs/>
              </w:rPr>
              <w:t>et al</w:t>
            </w:r>
            <w:r>
              <w:t>.</w:t>
            </w:r>
          </w:p>
        </w:tc>
      </w:tr>
      <w:tr w:rsidR="00DE1F02" w14:paraId="668327CA" w14:textId="77777777" w:rsidTr="00722B66">
        <w:tc>
          <w:tcPr>
            <w:tcW w:w="1350" w:type="dxa"/>
          </w:tcPr>
          <w:p w14:paraId="10C4575B" w14:textId="002CA90D" w:rsidR="00DE1F02" w:rsidRDefault="00DE1F02" w:rsidP="00DE1F02">
            <w:pPr>
              <w:jc w:val="center"/>
            </w:pPr>
            <w:r w:rsidRPr="00C35A49">
              <w:rPr>
                <w:b/>
              </w:rPr>
              <w:t xml:space="preserve">F </w:t>
            </w:r>
            <w:r>
              <w:rPr>
                <w:b/>
              </w:rPr>
              <w:t>10</w:t>
            </w:r>
            <w:r w:rsidRPr="00C35A49">
              <w:rPr>
                <w:b/>
              </w:rPr>
              <w:t>-</w:t>
            </w:r>
            <w:r>
              <w:rPr>
                <w:b/>
              </w:rPr>
              <w:t>29</w:t>
            </w:r>
          </w:p>
        </w:tc>
        <w:tc>
          <w:tcPr>
            <w:tcW w:w="7454" w:type="dxa"/>
          </w:tcPr>
          <w:p w14:paraId="5758034B" w14:textId="5C9CAFDF" w:rsidR="00DE1F02" w:rsidRDefault="00D44D6C" w:rsidP="00DE1F02">
            <w:pPr>
              <w:jc w:val="center"/>
            </w:pPr>
            <w:r>
              <w:rPr>
                <w:b/>
              </w:rPr>
              <w:t>No Class (</w:t>
            </w:r>
            <w:r w:rsidRPr="009D4597">
              <w:rPr>
                <w:b/>
              </w:rPr>
              <w:t>Fall Break</w:t>
            </w:r>
            <w:r>
              <w:rPr>
                <w:b/>
              </w:rPr>
              <w:t>)</w:t>
            </w:r>
          </w:p>
        </w:tc>
      </w:tr>
      <w:tr w:rsidR="00DE1F02" w14:paraId="04A5E2BB" w14:textId="77777777" w:rsidTr="00722B66">
        <w:tc>
          <w:tcPr>
            <w:tcW w:w="1350" w:type="dxa"/>
          </w:tcPr>
          <w:p w14:paraId="5E933899" w14:textId="4F986CEC" w:rsidR="00DE1F02" w:rsidRPr="00BF3251" w:rsidRDefault="00DE1F02" w:rsidP="00DE1F02">
            <w:pPr>
              <w:jc w:val="center"/>
            </w:pPr>
            <w:r>
              <w:t>M</w:t>
            </w:r>
            <w:r w:rsidRPr="00BF3251">
              <w:t xml:space="preserve"> </w:t>
            </w:r>
            <w:r>
              <w:t>11-1</w:t>
            </w:r>
          </w:p>
        </w:tc>
        <w:tc>
          <w:tcPr>
            <w:tcW w:w="7454" w:type="dxa"/>
          </w:tcPr>
          <w:p w14:paraId="50EF3A8C" w14:textId="705D0A47" w:rsidR="00DE1F02" w:rsidRPr="00BF3251" w:rsidRDefault="00DE1F02" w:rsidP="00DE1F02">
            <w:pPr>
              <w:jc w:val="center"/>
            </w:pPr>
            <w:r>
              <w:t>Carbon and Nitrogen cycles</w:t>
            </w:r>
          </w:p>
        </w:tc>
      </w:tr>
      <w:tr w:rsidR="00DE1F02" w14:paraId="6462FA59" w14:textId="77777777" w:rsidTr="00722B66">
        <w:tc>
          <w:tcPr>
            <w:tcW w:w="1350" w:type="dxa"/>
            <w:vMerge w:val="restart"/>
            <w:vAlign w:val="center"/>
          </w:tcPr>
          <w:p w14:paraId="6AF7D98D" w14:textId="41083FBE" w:rsidR="00DE1F02" w:rsidRPr="00370522" w:rsidRDefault="00DE1F02" w:rsidP="00DE1F02">
            <w:pPr>
              <w:jc w:val="center"/>
              <w:rPr>
                <w:bCs/>
              </w:rPr>
            </w:pPr>
            <w:r>
              <w:rPr>
                <w:bCs/>
              </w:rPr>
              <w:t>W</w:t>
            </w:r>
            <w:r w:rsidRPr="00370522">
              <w:rPr>
                <w:bCs/>
              </w:rPr>
              <w:t xml:space="preserve"> </w:t>
            </w:r>
            <w:r>
              <w:rPr>
                <w:bCs/>
              </w:rPr>
              <w:t>11</w:t>
            </w:r>
            <w:r w:rsidRPr="00370522">
              <w:rPr>
                <w:bCs/>
              </w:rPr>
              <w:t>-</w:t>
            </w:r>
            <w:r>
              <w:rPr>
                <w:bCs/>
              </w:rPr>
              <w:t>3</w:t>
            </w:r>
          </w:p>
        </w:tc>
        <w:tc>
          <w:tcPr>
            <w:tcW w:w="7454" w:type="dxa"/>
          </w:tcPr>
          <w:p w14:paraId="4161EA36" w14:textId="4107D919" w:rsidR="00DE1F02" w:rsidRPr="00BF3251" w:rsidRDefault="00D44D6C" w:rsidP="00DE1F02">
            <w:pPr>
              <w:jc w:val="center"/>
            </w:pPr>
            <w:r>
              <w:t>Sulfur and Iron cycles</w:t>
            </w:r>
          </w:p>
        </w:tc>
      </w:tr>
      <w:tr w:rsidR="00D44D6C" w14:paraId="69102419" w14:textId="77777777" w:rsidTr="00722B66">
        <w:tc>
          <w:tcPr>
            <w:tcW w:w="1350" w:type="dxa"/>
            <w:vMerge/>
          </w:tcPr>
          <w:p w14:paraId="713F7AD4" w14:textId="77777777" w:rsidR="00D44D6C" w:rsidRDefault="00D44D6C" w:rsidP="00D44D6C">
            <w:pPr>
              <w:jc w:val="center"/>
              <w:rPr>
                <w:bCs/>
              </w:rPr>
            </w:pPr>
          </w:p>
        </w:tc>
        <w:tc>
          <w:tcPr>
            <w:tcW w:w="7454" w:type="dxa"/>
          </w:tcPr>
          <w:p w14:paraId="5C84F7E4" w14:textId="77777777" w:rsidR="00D44D6C" w:rsidRDefault="00D44D6C" w:rsidP="00D44D6C">
            <w:pPr>
              <w:jc w:val="center"/>
            </w:pPr>
            <w:r>
              <w:t>Paper VII discussion, Paper VIII and handout</w:t>
            </w:r>
          </w:p>
          <w:p w14:paraId="2B57F99F" w14:textId="7426CE0D" w:rsidR="00D44D6C" w:rsidRPr="00133106" w:rsidRDefault="00D44D6C" w:rsidP="00D44D6C">
            <w:pPr>
              <w:jc w:val="center"/>
            </w:pPr>
            <w:r>
              <w:t xml:space="preserve">“Thirty-thousand-year-old distant relative of giant icosahedral DNA viruses with a </w:t>
            </w:r>
            <w:proofErr w:type="spellStart"/>
            <w:r>
              <w:t>pandoravirus</w:t>
            </w:r>
            <w:proofErr w:type="spellEnd"/>
            <w:r>
              <w:t xml:space="preserve"> morphology” M Legendre </w:t>
            </w:r>
            <w:r>
              <w:rPr>
                <w:i/>
                <w:iCs/>
              </w:rPr>
              <w:t>et al</w:t>
            </w:r>
            <w:r>
              <w:t>.</w:t>
            </w:r>
          </w:p>
        </w:tc>
      </w:tr>
      <w:tr w:rsidR="00DE1F02" w14:paraId="6B3C2AC4" w14:textId="77777777" w:rsidTr="00722B66">
        <w:tc>
          <w:tcPr>
            <w:tcW w:w="1350" w:type="dxa"/>
          </w:tcPr>
          <w:p w14:paraId="429FDE1B" w14:textId="431CA82A" w:rsidR="00DE1F02" w:rsidRPr="00C35A49" w:rsidRDefault="00DE1F02" w:rsidP="00DE1F02">
            <w:pPr>
              <w:jc w:val="center"/>
              <w:rPr>
                <w:b/>
              </w:rPr>
            </w:pPr>
            <w:r>
              <w:t>F</w:t>
            </w:r>
            <w:r w:rsidRPr="00C35A49">
              <w:t xml:space="preserve"> 1</w:t>
            </w:r>
            <w:r>
              <w:t>1</w:t>
            </w:r>
            <w:r w:rsidRPr="00C35A49">
              <w:t>-</w:t>
            </w:r>
            <w:r>
              <w:t>5</w:t>
            </w:r>
          </w:p>
        </w:tc>
        <w:tc>
          <w:tcPr>
            <w:tcW w:w="7454" w:type="dxa"/>
          </w:tcPr>
          <w:p w14:paraId="0A188F3F" w14:textId="235538F6" w:rsidR="00DE1F02" w:rsidRPr="009D4597" w:rsidRDefault="00DE1F02" w:rsidP="00DE1F02">
            <w:pPr>
              <w:jc w:val="center"/>
              <w:rPr>
                <w:b/>
              </w:rPr>
            </w:pPr>
            <w:r>
              <w:t>Microbial communities</w:t>
            </w:r>
          </w:p>
        </w:tc>
      </w:tr>
      <w:tr w:rsidR="00DE1F02" w14:paraId="6F2B378A" w14:textId="77777777" w:rsidTr="00722B66">
        <w:tc>
          <w:tcPr>
            <w:tcW w:w="1350" w:type="dxa"/>
          </w:tcPr>
          <w:p w14:paraId="442B1547" w14:textId="783EFE71" w:rsidR="00DE1F02" w:rsidRPr="00C35A49" w:rsidRDefault="00DE1F02" w:rsidP="00DE1F02">
            <w:pPr>
              <w:jc w:val="center"/>
            </w:pPr>
            <w:r>
              <w:t>M 11</w:t>
            </w:r>
            <w:r w:rsidRPr="00553E4B">
              <w:t>-</w:t>
            </w:r>
            <w:r>
              <w:t>8</w:t>
            </w:r>
          </w:p>
        </w:tc>
        <w:tc>
          <w:tcPr>
            <w:tcW w:w="7454" w:type="dxa"/>
          </w:tcPr>
          <w:p w14:paraId="43DC22AE" w14:textId="4AC09642" w:rsidR="00DE1F02" w:rsidRPr="00553E4B" w:rsidRDefault="00DE1F02" w:rsidP="00DE1F02">
            <w:pPr>
              <w:jc w:val="center"/>
            </w:pPr>
            <w:r>
              <w:t>Symbioses/</w:t>
            </w:r>
            <w:proofErr w:type="spellStart"/>
            <w:proofErr w:type="gramStart"/>
            <w:r>
              <w:t>plant:microbe</w:t>
            </w:r>
            <w:proofErr w:type="spellEnd"/>
            <w:proofErr w:type="gramEnd"/>
            <w:r>
              <w:t xml:space="preserve"> interactions, </w:t>
            </w:r>
          </w:p>
        </w:tc>
      </w:tr>
      <w:tr w:rsidR="00DE1F02" w14:paraId="7761FFE9" w14:textId="77777777" w:rsidTr="00722B66">
        <w:tc>
          <w:tcPr>
            <w:tcW w:w="1350" w:type="dxa"/>
          </w:tcPr>
          <w:p w14:paraId="7E97CFD1" w14:textId="546E84B8" w:rsidR="00DE1F02" w:rsidRPr="00553E4B" w:rsidRDefault="00DE1F02" w:rsidP="00DE1F02">
            <w:pPr>
              <w:jc w:val="center"/>
            </w:pPr>
            <w:r>
              <w:t>W</w:t>
            </w:r>
            <w:r w:rsidRPr="00F352D0">
              <w:t xml:space="preserve"> 11-</w:t>
            </w:r>
            <w:r>
              <w:t>10</w:t>
            </w:r>
          </w:p>
        </w:tc>
        <w:tc>
          <w:tcPr>
            <w:tcW w:w="7454" w:type="dxa"/>
          </w:tcPr>
          <w:p w14:paraId="1B8A9CF2" w14:textId="77777777" w:rsidR="00DE1F02" w:rsidRPr="00D722F4" w:rsidRDefault="00DE1F02" w:rsidP="00DE1F02">
            <w:pPr>
              <w:jc w:val="center"/>
            </w:pPr>
            <w:r w:rsidRPr="00D722F4">
              <w:t>Paper VIII discussion, NO PAPER OR HANDOUT SO YOU CAN STUDY</w:t>
            </w:r>
          </w:p>
          <w:p w14:paraId="210C7E9D" w14:textId="2FB3B9B8" w:rsidR="00DE1F02" w:rsidRPr="005779F6" w:rsidRDefault="00DE1F02" w:rsidP="00DE1F02">
            <w:pPr>
              <w:jc w:val="center"/>
            </w:pPr>
            <w:r w:rsidRPr="00D722F4">
              <w:t>“Isolation of an archaeon at the prokaryote-eukaryote interface”</w:t>
            </w:r>
            <w:r>
              <w:t xml:space="preserve"> H </w:t>
            </w:r>
            <w:proofErr w:type="spellStart"/>
            <w:r>
              <w:t>Imachi</w:t>
            </w:r>
            <w:proofErr w:type="spellEnd"/>
            <w:r>
              <w:t xml:space="preserve"> </w:t>
            </w:r>
            <w:r>
              <w:rPr>
                <w:i/>
                <w:iCs/>
              </w:rPr>
              <w:t>et al.</w:t>
            </w:r>
          </w:p>
        </w:tc>
      </w:tr>
      <w:tr w:rsidR="00DE1F02" w14:paraId="3119D447" w14:textId="77777777" w:rsidTr="00722B66">
        <w:tc>
          <w:tcPr>
            <w:tcW w:w="1350" w:type="dxa"/>
          </w:tcPr>
          <w:p w14:paraId="05A3744D" w14:textId="59FAAA02" w:rsidR="00DE1F02" w:rsidRPr="00F352D0" w:rsidRDefault="00DE1F02" w:rsidP="00DE1F02">
            <w:pPr>
              <w:jc w:val="center"/>
            </w:pPr>
            <w:r>
              <w:t>F</w:t>
            </w:r>
            <w:r w:rsidRPr="009D4597">
              <w:t xml:space="preserve"> 11-</w:t>
            </w:r>
            <w:r>
              <w:t>12</w:t>
            </w:r>
          </w:p>
        </w:tc>
        <w:tc>
          <w:tcPr>
            <w:tcW w:w="7454" w:type="dxa"/>
          </w:tcPr>
          <w:p w14:paraId="6AB15BC0" w14:textId="2313EDCF" w:rsidR="00DE1F02" w:rsidRPr="00D722F4" w:rsidRDefault="00DE1F02" w:rsidP="00DE1F02">
            <w:pPr>
              <w:jc w:val="center"/>
            </w:pPr>
            <w:proofErr w:type="spellStart"/>
            <w:proofErr w:type="gramStart"/>
            <w:r>
              <w:t>Microbe:microbe</w:t>
            </w:r>
            <w:proofErr w:type="spellEnd"/>
            <w:proofErr w:type="gramEnd"/>
            <w:r>
              <w:t xml:space="preserve"> interactions </w:t>
            </w:r>
          </w:p>
        </w:tc>
      </w:tr>
      <w:tr w:rsidR="00DE1F02" w14:paraId="517A328A" w14:textId="77777777" w:rsidTr="00BA779D">
        <w:tc>
          <w:tcPr>
            <w:tcW w:w="1350" w:type="dxa"/>
          </w:tcPr>
          <w:p w14:paraId="46F1877A" w14:textId="700F5B20" w:rsidR="00DE1F02" w:rsidRPr="009D4597" w:rsidRDefault="00DE1F02" w:rsidP="00DE1F02">
            <w:pPr>
              <w:jc w:val="center"/>
            </w:pPr>
            <w:r>
              <w:t>M 11-15</w:t>
            </w:r>
          </w:p>
        </w:tc>
        <w:tc>
          <w:tcPr>
            <w:tcW w:w="7454" w:type="dxa"/>
            <w:vAlign w:val="center"/>
          </w:tcPr>
          <w:p w14:paraId="3AE72B70" w14:textId="6636257E" w:rsidR="00DE1F02" w:rsidRPr="00D44D6C" w:rsidRDefault="00D44D6C" w:rsidP="00DE1F02">
            <w:pPr>
              <w:jc w:val="center"/>
              <w:rPr>
                <w:bCs/>
              </w:rPr>
            </w:pPr>
            <w:r>
              <w:rPr>
                <w:bCs/>
              </w:rPr>
              <w:t xml:space="preserve">Diversity </w:t>
            </w:r>
            <w:proofErr w:type="spellStart"/>
            <w:r>
              <w:rPr>
                <w:bCs/>
              </w:rPr>
              <w:t>eLC</w:t>
            </w:r>
            <w:proofErr w:type="spellEnd"/>
            <w:r>
              <w:rPr>
                <w:bCs/>
              </w:rPr>
              <w:t xml:space="preserve"> Module presentation/section review</w:t>
            </w:r>
          </w:p>
        </w:tc>
      </w:tr>
      <w:tr w:rsidR="00DE1F02" w14:paraId="336852AF" w14:textId="77777777" w:rsidTr="00D44D6C">
        <w:trPr>
          <w:trHeight w:val="573"/>
        </w:trPr>
        <w:tc>
          <w:tcPr>
            <w:tcW w:w="1350" w:type="dxa"/>
            <w:vAlign w:val="center"/>
          </w:tcPr>
          <w:p w14:paraId="57F1C394" w14:textId="4C3F345C" w:rsidR="00DE1F02" w:rsidRPr="004D6DC8" w:rsidRDefault="00DE1F02" w:rsidP="00DE1F02">
            <w:pPr>
              <w:jc w:val="center"/>
            </w:pPr>
            <w:r>
              <w:rPr>
                <w:b/>
              </w:rPr>
              <w:t xml:space="preserve">W </w:t>
            </w:r>
            <w:r w:rsidRPr="00410B8F">
              <w:rPr>
                <w:b/>
              </w:rPr>
              <w:t>11-</w:t>
            </w:r>
            <w:r>
              <w:rPr>
                <w:b/>
              </w:rPr>
              <w:t>17</w:t>
            </w:r>
          </w:p>
        </w:tc>
        <w:tc>
          <w:tcPr>
            <w:tcW w:w="7454" w:type="dxa"/>
            <w:vAlign w:val="center"/>
          </w:tcPr>
          <w:p w14:paraId="70E8F0BC" w14:textId="6FF3F573" w:rsidR="00DE1F02" w:rsidRPr="00523B16" w:rsidRDefault="00D44D6C" w:rsidP="00D44D6C">
            <w:pPr>
              <w:jc w:val="center"/>
              <w:rPr>
                <w:b/>
              </w:rPr>
            </w:pPr>
            <w:r>
              <w:rPr>
                <w:b/>
              </w:rPr>
              <w:t>Exam 3</w:t>
            </w:r>
          </w:p>
        </w:tc>
      </w:tr>
      <w:tr w:rsidR="00D44D6C" w14:paraId="648AF2C3" w14:textId="77777777" w:rsidTr="00722B66">
        <w:trPr>
          <w:trHeight w:val="296"/>
        </w:trPr>
        <w:tc>
          <w:tcPr>
            <w:tcW w:w="1350" w:type="dxa"/>
          </w:tcPr>
          <w:p w14:paraId="258C92EF" w14:textId="0AD71376" w:rsidR="00D44D6C" w:rsidRDefault="00D44D6C" w:rsidP="00D44D6C">
            <w:pPr>
              <w:jc w:val="center"/>
            </w:pPr>
            <w:r>
              <w:t>F</w:t>
            </w:r>
            <w:r w:rsidRPr="00410B8F">
              <w:t xml:space="preserve"> 11-</w:t>
            </w:r>
            <w:r>
              <w:t>19</w:t>
            </w:r>
          </w:p>
        </w:tc>
        <w:tc>
          <w:tcPr>
            <w:tcW w:w="7454" w:type="dxa"/>
          </w:tcPr>
          <w:p w14:paraId="1CEDA977" w14:textId="6A4E0C48" w:rsidR="00D44D6C" w:rsidRDefault="00D44D6C" w:rsidP="00D44D6C">
            <w:pPr>
              <w:jc w:val="center"/>
            </w:pPr>
            <w:r>
              <w:t>Microbial diversity / Gram negative family: the proteobacteria, Ch. 20</w:t>
            </w:r>
          </w:p>
        </w:tc>
      </w:tr>
      <w:tr w:rsidR="00D44D6C" w14:paraId="6CEDFF89" w14:textId="77777777" w:rsidTr="00722B66">
        <w:trPr>
          <w:trHeight w:val="296"/>
        </w:trPr>
        <w:tc>
          <w:tcPr>
            <w:tcW w:w="1350" w:type="dxa"/>
          </w:tcPr>
          <w:p w14:paraId="4438DD1D" w14:textId="6F0D983A" w:rsidR="00D44D6C" w:rsidRPr="00410B8F" w:rsidRDefault="00D44D6C" w:rsidP="00D44D6C">
            <w:pPr>
              <w:jc w:val="center"/>
              <w:rPr>
                <w:b/>
              </w:rPr>
            </w:pPr>
            <w:r>
              <w:t>M</w:t>
            </w:r>
            <w:r w:rsidRPr="00F352D0">
              <w:t xml:space="preserve"> 11-</w:t>
            </w:r>
            <w:r>
              <w:t>22</w:t>
            </w:r>
          </w:p>
        </w:tc>
        <w:tc>
          <w:tcPr>
            <w:tcW w:w="7454" w:type="dxa"/>
          </w:tcPr>
          <w:p w14:paraId="54877DB2" w14:textId="08549FFB" w:rsidR="00D44D6C" w:rsidRPr="0063601A" w:rsidRDefault="00D44D6C" w:rsidP="00D44D6C">
            <w:pPr>
              <w:jc w:val="center"/>
              <w:rPr>
                <w:b/>
              </w:rPr>
            </w:pPr>
            <w:r>
              <w:t xml:space="preserve">Gram negative family:  </w:t>
            </w:r>
            <w:proofErr w:type="spellStart"/>
            <w:r>
              <w:t>nonproteobacteria</w:t>
            </w:r>
            <w:proofErr w:type="spellEnd"/>
            <w:r>
              <w:t>, Ch. 19,</w:t>
            </w:r>
          </w:p>
        </w:tc>
      </w:tr>
      <w:tr w:rsidR="00D44D6C" w14:paraId="7795DCC3" w14:textId="77777777" w:rsidTr="00722B66">
        <w:tc>
          <w:tcPr>
            <w:tcW w:w="1350" w:type="dxa"/>
          </w:tcPr>
          <w:p w14:paraId="4AD82ADC" w14:textId="4AD88E8F" w:rsidR="00D44D6C" w:rsidRDefault="00D44D6C" w:rsidP="00D44D6C">
            <w:pPr>
              <w:jc w:val="center"/>
            </w:pPr>
            <w:r>
              <w:rPr>
                <w:b/>
              </w:rPr>
              <w:t>W</w:t>
            </w:r>
            <w:r w:rsidRPr="009D4597">
              <w:rPr>
                <w:b/>
              </w:rPr>
              <w:t xml:space="preserve"> 11-</w:t>
            </w:r>
            <w:r>
              <w:rPr>
                <w:b/>
              </w:rPr>
              <w:t>24</w:t>
            </w:r>
          </w:p>
        </w:tc>
        <w:tc>
          <w:tcPr>
            <w:tcW w:w="7454" w:type="dxa"/>
          </w:tcPr>
          <w:p w14:paraId="61F10D3E" w14:textId="2386ED5C" w:rsidR="00D44D6C" w:rsidRDefault="00D44D6C" w:rsidP="00D44D6C">
            <w:pPr>
              <w:jc w:val="center"/>
            </w:pPr>
            <w:r w:rsidRPr="00F352D0">
              <w:rPr>
                <w:b/>
              </w:rPr>
              <w:t>No Class: Thanksgiving</w:t>
            </w:r>
          </w:p>
        </w:tc>
      </w:tr>
      <w:tr w:rsidR="00D44D6C" w14:paraId="22A0915B" w14:textId="77777777" w:rsidTr="00722B66">
        <w:tc>
          <w:tcPr>
            <w:tcW w:w="1350" w:type="dxa"/>
          </w:tcPr>
          <w:p w14:paraId="7746B954" w14:textId="2484DA5E" w:rsidR="00D44D6C" w:rsidRDefault="00D44D6C" w:rsidP="00D44D6C">
            <w:pPr>
              <w:jc w:val="center"/>
            </w:pPr>
            <w:r>
              <w:rPr>
                <w:b/>
              </w:rPr>
              <w:t>F</w:t>
            </w:r>
            <w:r w:rsidRPr="009D4597">
              <w:rPr>
                <w:b/>
              </w:rPr>
              <w:t xml:space="preserve"> 11-</w:t>
            </w:r>
            <w:r>
              <w:rPr>
                <w:b/>
              </w:rPr>
              <w:t>26</w:t>
            </w:r>
          </w:p>
        </w:tc>
        <w:tc>
          <w:tcPr>
            <w:tcW w:w="7454" w:type="dxa"/>
          </w:tcPr>
          <w:p w14:paraId="6F40C3B3" w14:textId="4811209C" w:rsidR="00D44D6C" w:rsidRPr="00556389" w:rsidRDefault="00D44D6C" w:rsidP="00D44D6C">
            <w:pPr>
              <w:jc w:val="center"/>
              <w:rPr>
                <w:b/>
              </w:rPr>
            </w:pPr>
            <w:r>
              <w:rPr>
                <w:b/>
              </w:rPr>
              <w:t>No Class: Thanksgiving</w:t>
            </w:r>
          </w:p>
        </w:tc>
      </w:tr>
      <w:tr w:rsidR="00D44D6C" w14:paraId="0F0DBC84" w14:textId="77777777" w:rsidTr="00722B66">
        <w:tc>
          <w:tcPr>
            <w:tcW w:w="1350" w:type="dxa"/>
          </w:tcPr>
          <w:p w14:paraId="01711DDD" w14:textId="1CDA8682" w:rsidR="00D44D6C" w:rsidRPr="00410B8F" w:rsidRDefault="00D44D6C" w:rsidP="00D44D6C">
            <w:pPr>
              <w:jc w:val="center"/>
            </w:pPr>
            <w:r>
              <w:t>M 11-29</w:t>
            </w:r>
          </w:p>
        </w:tc>
        <w:tc>
          <w:tcPr>
            <w:tcW w:w="7454" w:type="dxa"/>
          </w:tcPr>
          <w:p w14:paraId="6B935AC2" w14:textId="2CAC4BFB" w:rsidR="00D44D6C" w:rsidRPr="00492204" w:rsidRDefault="00D44D6C" w:rsidP="00D44D6C">
            <w:pPr>
              <w:jc w:val="center"/>
            </w:pPr>
            <w:r>
              <w:t>Gram positive family: High G + C, Ch. 22; Archaea paper handout</w:t>
            </w:r>
          </w:p>
        </w:tc>
      </w:tr>
      <w:tr w:rsidR="00D44D6C" w14:paraId="15619010" w14:textId="77777777" w:rsidTr="00722B66">
        <w:trPr>
          <w:trHeight w:val="305"/>
        </w:trPr>
        <w:tc>
          <w:tcPr>
            <w:tcW w:w="1350" w:type="dxa"/>
            <w:vMerge w:val="restart"/>
            <w:vAlign w:val="center"/>
          </w:tcPr>
          <w:p w14:paraId="1D05D285" w14:textId="3694AFE1" w:rsidR="00D44D6C" w:rsidRPr="00F352D0" w:rsidRDefault="00D44D6C" w:rsidP="00D44D6C">
            <w:pPr>
              <w:jc w:val="center"/>
            </w:pPr>
            <w:r>
              <w:t>W</w:t>
            </w:r>
            <w:r w:rsidRPr="00F352D0">
              <w:t xml:space="preserve"> 1</w:t>
            </w:r>
            <w:r>
              <w:t>2</w:t>
            </w:r>
            <w:r w:rsidRPr="00F352D0">
              <w:t>-</w:t>
            </w:r>
            <w:r>
              <w:t>1</w:t>
            </w:r>
          </w:p>
        </w:tc>
        <w:tc>
          <w:tcPr>
            <w:tcW w:w="7454" w:type="dxa"/>
          </w:tcPr>
          <w:p w14:paraId="036A057F" w14:textId="14FB1317" w:rsidR="00D44D6C" w:rsidRPr="00492204" w:rsidRDefault="00D44D6C" w:rsidP="00D44D6C">
            <w:pPr>
              <w:jc w:val="center"/>
            </w:pPr>
            <w:r w:rsidRPr="00234FD3">
              <w:t>Archaea</w:t>
            </w:r>
            <w:r>
              <w:t>, Ch 18</w:t>
            </w:r>
          </w:p>
        </w:tc>
      </w:tr>
      <w:tr w:rsidR="00D44D6C" w14:paraId="17ACE5AA" w14:textId="77777777" w:rsidTr="00722B66">
        <w:trPr>
          <w:trHeight w:val="305"/>
        </w:trPr>
        <w:tc>
          <w:tcPr>
            <w:tcW w:w="1350" w:type="dxa"/>
            <w:vMerge/>
          </w:tcPr>
          <w:p w14:paraId="764DA3C5" w14:textId="77777777" w:rsidR="00D44D6C" w:rsidRDefault="00D44D6C" w:rsidP="00D44D6C">
            <w:pPr>
              <w:jc w:val="center"/>
            </w:pPr>
          </w:p>
        </w:tc>
        <w:tc>
          <w:tcPr>
            <w:tcW w:w="7454" w:type="dxa"/>
          </w:tcPr>
          <w:p w14:paraId="1B90A8EA" w14:textId="773069CC" w:rsidR="00D44D6C" w:rsidRPr="00234FD3" w:rsidRDefault="00D44D6C" w:rsidP="00D44D6C">
            <w:pPr>
              <w:jc w:val="center"/>
            </w:pPr>
            <w:r>
              <w:t>Career panel Q&amp;A</w:t>
            </w:r>
          </w:p>
        </w:tc>
      </w:tr>
      <w:tr w:rsidR="00D44D6C" w14:paraId="56256B3A" w14:textId="77777777" w:rsidTr="00722B66">
        <w:tc>
          <w:tcPr>
            <w:tcW w:w="1350" w:type="dxa"/>
          </w:tcPr>
          <w:p w14:paraId="3B48B46E" w14:textId="124B188F" w:rsidR="00D44D6C" w:rsidRPr="009D4597" w:rsidRDefault="00D44D6C" w:rsidP="00D44D6C">
            <w:pPr>
              <w:jc w:val="center"/>
              <w:rPr>
                <w:b/>
              </w:rPr>
            </w:pPr>
            <w:r>
              <w:t>F 12-3</w:t>
            </w:r>
          </w:p>
        </w:tc>
        <w:tc>
          <w:tcPr>
            <w:tcW w:w="7454" w:type="dxa"/>
          </w:tcPr>
          <w:p w14:paraId="6F3EC556" w14:textId="01CC3386" w:rsidR="00D44D6C" w:rsidRPr="00F352D0" w:rsidRDefault="00D44D6C" w:rsidP="00D44D6C">
            <w:pPr>
              <w:jc w:val="center"/>
              <w:rPr>
                <w:b/>
              </w:rPr>
            </w:pPr>
            <w:r w:rsidRPr="00234FD3">
              <w:t>Archaea</w:t>
            </w:r>
          </w:p>
        </w:tc>
      </w:tr>
      <w:tr w:rsidR="00D44D6C" w14:paraId="2BFB8C5A" w14:textId="77777777" w:rsidTr="00722B66">
        <w:tc>
          <w:tcPr>
            <w:tcW w:w="1350" w:type="dxa"/>
          </w:tcPr>
          <w:p w14:paraId="56100935" w14:textId="3C0BB3CD" w:rsidR="00D44D6C" w:rsidRPr="009D4597" w:rsidRDefault="00D44D6C" w:rsidP="00D44D6C">
            <w:pPr>
              <w:jc w:val="center"/>
              <w:rPr>
                <w:b/>
              </w:rPr>
            </w:pPr>
            <w:r>
              <w:t>M 12-6</w:t>
            </w:r>
          </w:p>
        </w:tc>
        <w:tc>
          <w:tcPr>
            <w:tcW w:w="7454" w:type="dxa"/>
          </w:tcPr>
          <w:p w14:paraId="361E40EF" w14:textId="77777777" w:rsidR="00D44D6C" w:rsidRDefault="00D44D6C" w:rsidP="00D44D6C">
            <w:pPr>
              <w:jc w:val="center"/>
              <w:rPr>
                <w:b/>
              </w:rPr>
            </w:pPr>
            <w:r>
              <w:rPr>
                <w:b/>
              </w:rPr>
              <w:t>Archaea paper review</w:t>
            </w:r>
          </w:p>
          <w:p w14:paraId="403E2AC5" w14:textId="41ADDFCD" w:rsidR="00D44D6C" w:rsidRPr="00F84E83" w:rsidRDefault="00D44D6C" w:rsidP="00D44D6C">
            <w:pPr>
              <w:jc w:val="center"/>
              <w:rPr>
                <w:bCs/>
              </w:rPr>
            </w:pPr>
            <w:r>
              <w:rPr>
                <w:bCs/>
              </w:rPr>
              <w:t xml:space="preserve">“Classification of methanogenic bacteria by 16S ribosomal RNA characterization” GE Fox </w:t>
            </w:r>
            <w:r>
              <w:rPr>
                <w:bCs/>
                <w:i/>
                <w:iCs/>
              </w:rPr>
              <w:t>et al</w:t>
            </w:r>
            <w:r>
              <w:rPr>
                <w:bCs/>
              </w:rPr>
              <w:t>.</w:t>
            </w:r>
          </w:p>
        </w:tc>
      </w:tr>
      <w:tr w:rsidR="00D44D6C" w14:paraId="20FA4200" w14:textId="77777777" w:rsidTr="00722B66">
        <w:tc>
          <w:tcPr>
            <w:tcW w:w="1350" w:type="dxa"/>
          </w:tcPr>
          <w:p w14:paraId="53B7B406" w14:textId="43436E06" w:rsidR="00D44D6C" w:rsidRPr="009D4597" w:rsidRDefault="00D44D6C" w:rsidP="00D44D6C">
            <w:pPr>
              <w:jc w:val="center"/>
              <w:rPr>
                <w:b/>
              </w:rPr>
            </w:pPr>
            <w:r>
              <w:t>Tu 12-7</w:t>
            </w:r>
          </w:p>
        </w:tc>
        <w:tc>
          <w:tcPr>
            <w:tcW w:w="7454" w:type="dxa"/>
          </w:tcPr>
          <w:p w14:paraId="4982260B" w14:textId="02E8F429" w:rsidR="00D44D6C" w:rsidRPr="00F352D0" w:rsidRDefault="00D44D6C" w:rsidP="00D44D6C">
            <w:pPr>
              <w:jc w:val="center"/>
              <w:rPr>
                <w:b/>
              </w:rPr>
            </w:pPr>
            <w:r>
              <w:rPr>
                <w:b/>
              </w:rPr>
              <w:t>Course review</w:t>
            </w:r>
          </w:p>
        </w:tc>
      </w:tr>
      <w:tr w:rsidR="00D44D6C" w14:paraId="23F46F2C" w14:textId="77777777" w:rsidTr="00722B66">
        <w:tc>
          <w:tcPr>
            <w:tcW w:w="1350" w:type="dxa"/>
          </w:tcPr>
          <w:p w14:paraId="73BA7CD2" w14:textId="297A2DAA" w:rsidR="00D44D6C" w:rsidRPr="00C35A49" w:rsidRDefault="00D44D6C" w:rsidP="00D44D6C">
            <w:pPr>
              <w:jc w:val="center"/>
            </w:pPr>
            <w:r>
              <w:rPr>
                <w:b/>
              </w:rPr>
              <w:t xml:space="preserve">W </w:t>
            </w:r>
            <w:r w:rsidRPr="00585442">
              <w:rPr>
                <w:b/>
              </w:rPr>
              <w:t>12-</w:t>
            </w:r>
            <w:r>
              <w:rPr>
                <w:b/>
              </w:rPr>
              <w:t>15</w:t>
            </w:r>
          </w:p>
        </w:tc>
        <w:tc>
          <w:tcPr>
            <w:tcW w:w="7454" w:type="dxa"/>
          </w:tcPr>
          <w:p w14:paraId="54538A7B" w14:textId="589A16A5" w:rsidR="00D44D6C" w:rsidRPr="00A63995" w:rsidRDefault="00D44D6C" w:rsidP="00D44D6C">
            <w:pPr>
              <w:jc w:val="center"/>
              <w:rPr>
                <w:b/>
              </w:rPr>
            </w:pPr>
            <w:r w:rsidRPr="00585442">
              <w:rPr>
                <w:b/>
              </w:rPr>
              <w:t>Final Exam (</w:t>
            </w:r>
            <w:r>
              <w:rPr>
                <w:b/>
              </w:rPr>
              <w:t>Exam 4</w:t>
            </w:r>
            <w:r w:rsidRPr="00585442">
              <w:rPr>
                <w:b/>
              </w:rPr>
              <w:t>) 12:00 pm</w:t>
            </w:r>
          </w:p>
        </w:tc>
      </w:tr>
    </w:tbl>
    <w:p w14:paraId="2E1E78EB" w14:textId="77777777" w:rsidR="001D56FC" w:rsidRDefault="001D56FC" w:rsidP="00150D3F"/>
    <w:sectPr w:rsidR="001D56FC" w:rsidSect="00902CA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040C7" w14:textId="77777777" w:rsidR="0048042E" w:rsidRDefault="0048042E" w:rsidP="00150D3F">
      <w:r>
        <w:separator/>
      </w:r>
    </w:p>
  </w:endnote>
  <w:endnote w:type="continuationSeparator" w:id="0">
    <w:p w14:paraId="7AF13D3E" w14:textId="77777777" w:rsidR="0048042E" w:rsidRDefault="0048042E" w:rsidP="0015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F3695" w14:textId="77777777" w:rsidR="0048042E" w:rsidRDefault="0048042E" w:rsidP="00150D3F">
      <w:r>
        <w:separator/>
      </w:r>
    </w:p>
  </w:footnote>
  <w:footnote w:type="continuationSeparator" w:id="0">
    <w:p w14:paraId="4F60AE8E" w14:textId="77777777" w:rsidR="0048042E" w:rsidRDefault="0048042E" w:rsidP="00150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2910"/>
    <w:multiLevelType w:val="hybridMultilevel"/>
    <w:tmpl w:val="E6B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2807"/>
    <w:multiLevelType w:val="hybridMultilevel"/>
    <w:tmpl w:val="AA70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61E56"/>
    <w:multiLevelType w:val="hybridMultilevel"/>
    <w:tmpl w:val="F7307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A0D4B"/>
    <w:multiLevelType w:val="multilevel"/>
    <w:tmpl w:val="6EA0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30EBD"/>
    <w:multiLevelType w:val="hybridMultilevel"/>
    <w:tmpl w:val="28C0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014B3"/>
    <w:multiLevelType w:val="hybridMultilevel"/>
    <w:tmpl w:val="9AD4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42369"/>
    <w:multiLevelType w:val="hybridMultilevel"/>
    <w:tmpl w:val="3E06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37384D"/>
    <w:multiLevelType w:val="hybridMultilevel"/>
    <w:tmpl w:val="6490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ED"/>
    <w:rsid w:val="00020B39"/>
    <w:rsid w:val="0003174B"/>
    <w:rsid w:val="000635B5"/>
    <w:rsid w:val="00063F39"/>
    <w:rsid w:val="000A6518"/>
    <w:rsid w:val="000C6755"/>
    <w:rsid w:val="000D46E9"/>
    <w:rsid w:val="0011119A"/>
    <w:rsid w:val="00125AE3"/>
    <w:rsid w:val="00133106"/>
    <w:rsid w:val="00150D3F"/>
    <w:rsid w:val="00157D27"/>
    <w:rsid w:val="00164C3A"/>
    <w:rsid w:val="001761FC"/>
    <w:rsid w:val="0018003D"/>
    <w:rsid w:val="001A0B4A"/>
    <w:rsid w:val="001C0FF8"/>
    <w:rsid w:val="001C1551"/>
    <w:rsid w:val="001D56FC"/>
    <w:rsid w:val="001E0493"/>
    <w:rsid w:val="001E1228"/>
    <w:rsid w:val="001E7E21"/>
    <w:rsid w:val="001F33E9"/>
    <w:rsid w:val="001F44BA"/>
    <w:rsid w:val="00243E33"/>
    <w:rsid w:val="00275FE5"/>
    <w:rsid w:val="002848A8"/>
    <w:rsid w:val="002A6188"/>
    <w:rsid w:val="002D144F"/>
    <w:rsid w:val="002E5F41"/>
    <w:rsid w:val="002E67B6"/>
    <w:rsid w:val="002E6A8F"/>
    <w:rsid w:val="002F6AAE"/>
    <w:rsid w:val="00300A82"/>
    <w:rsid w:val="0030567D"/>
    <w:rsid w:val="00370522"/>
    <w:rsid w:val="00373FAC"/>
    <w:rsid w:val="003A619A"/>
    <w:rsid w:val="003B0FE8"/>
    <w:rsid w:val="003D6557"/>
    <w:rsid w:val="003F2E1E"/>
    <w:rsid w:val="00404912"/>
    <w:rsid w:val="00410B8F"/>
    <w:rsid w:val="00441E4F"/>
    <w:rsid w:val="00443720"/>
    <w:rsid w:val="0047051C"/>
    <w:rsid w:val="0048042E"/>
    <w:rsid w:val="00485AC5"/>
    <w:rsid w:val="004C3CA8"/>
    <w:rsid w:val="004C6555"/>
    <w:rsid w:val="004D0D11"/>
    <w:rsid w:val="004D4DE1"/>
    <w:rsid w:val="004E6477"/>
    <w:rsid w:val="00515743"/>
    <w:rsid w:val="005164F6"/>
    <w:rsid w:val="00523B16"/>
    <w:rsid w:val="005340BA"/>
    <w:rsid w:val="00546F90"/>
    <w:rsid w:val="005474C7"/>
    <w:rsid w:val="00553E4B"/>
    <w:rsid w:val="00556389"/>
    <w:rsid w:val="005603F7"/>
    <w:rsid w:val="00586B1D"/>
    <w:rsid w:val="005B6D63"/>
    <w:rsid w:val="00622D70"/>
    <w:rsid w:val="0063601A"/>
    <w:rsid w:val="00641EE3"/>
    <w:rsid w:val="006A376A"/>
    <w:rsid w:val="006A7353"/>
    <w:rsid w:val="006B0E09"/>
    <w:rsid w:val="006F19C9"/>
    <w:rsid w:val="00711DE4"/>
    <w:rsid w:val="00712A32"/>
    <w:rsid w:val="00722AF4"/>
    <w:rsid w:val="00722B66"/>
    <w:rsid w:val="00726B77"/>
    <w:rsid w:val="007820A5"/>
    <w:rsid w:val="007907F4"/>
    <w:rsid w:val="007E581B"/>
    <w:rsid w:val="008037D6"/>
    <w:rsid w:val="00826188"/>
    <w:rsid w:val="008665F4"/>
    <w:rsid w:val="008A319B"/>
    <w:rsid w:val="008A54EC"/>
    <w:rsid w:val="008B1454"/>
    <w:rsid w:val="008B1A03"/>
    <w:rsid w:val="008E1567"/>
    <w:rsid w:val="008E35AE"/>
    <w:rsid w:val="00902CA4"/>
    <w:rsid w:val="00906D76"/>
    <w:rsid w:val="0091221E"/>
    <w:rsid w:val="0095328B"/>
    <w:rsid w:val="009647BC"/>
    <w:rsid w:val="009804D8"/>
    <w:rsid w:val="0098209B"/>
    <w:rsid w:val="00A157A4"/>
    <w:rsid w:val="00A23EC4"/>
    <w:rsid w:val="00A5004A"/>
    <w:rsid w:val="00A63995"/>
    <w:rsid w:val="00A83272"/>
    <w:rsid w:val="00A94692"/>
    <w:rsid w:val="00AA5EE3"/>
    <w:rsid w:val="00AF0335"/>
    <w:rsid w:val="00B12DCE"/>
    <w:rsid w:val="00B26490"/>
    <w:rsid w:val="00B3653B"/>
    <w:rsid w:val="00B41203"/>
    <w:rsid w:val="00B525AC"/>
    <w:rsid w:val="00B66CED"/>
    <w:rsid w:val="00B7184F"/>
    <w:rsid w:val="00BB6BD8"/>
    <w:rsid w:val="00BC1B3A"/>
    <w:rsid w:val="00BF0DA7"/>
    <w:rsid w:val="00C2545B"/>
    <w:rsid w:val="00C35A49"/>
    <w:rsid w:val="00C417E7"/>
    <w:rsid w:val="00C44E1C"/>
    <w:rsid w:val="00C773A8"/>
    <w:rsid w:val="00C91BD7"/>
    <w:rsid w:val="00CE3B3A"/>
    <w:rsid w:val="00CF2166"/>
    <w:rsid w:val="00D1424C"/>
    <w:rsid w:val="00D27297"/>
    <w:rsid w:val="00D401AC"/>
    <w:rsid w:val="00D44D6C"/>
    <w:rsid w:val="00D61C16"/>
    <w:rsid w:val="00D722F4"/>
    <w:rsid w:val="00D77C2F"/>
    <w:rsid w:val="00D907F1"/>
    <w:rsid w:val="00D92EC4"/>
    <w:rsid w:val="00D947D9"/>
    <w:rsid w:val="00DA36BF"/>
    <w:rsid w:val="00DE1F02"/>
    <w:rsid w:val="00DE50AF"/>
    <w:rsid w:val="00DF7381"/>
    <w:rsid w:val="00E027BB"/>
    <w:rsid w:val="00E1511E"/>
    <w:rsid w:val="00E15474"/>
    <w:rsid w:val="00E574E8"/>
    <w:rsid w:val="00E662F8"/>
    <w:rsid w:val="00E8001F"/>
    <w:rsid w:val="00E947F5"/>
    <w:rsid w:val="00EC6561"/>
    <w:rsid w:val="00ED4FD1"/>
    <w:rsid w:val="00EE291C"/>
    <w:rsid w:val="00EF3A64"/>
    <w:rsid w:val="00F13622"/>
    <w:rsid w:val="00F24519"/>
    <w:rsid w:val="00F334C0"/>
    <w:rsid w:val="00F4201A"/>
    <w:rsid w:val="00F47605"/>
    <w:rsid w:val="00F51300"/>
    <w:rsid w:val="00F6229A"/>
    <w:rsid w:val="00F64FC4"/>
    <w:rsid w:val="00F84E83"/>
    <w:rsid w:val="00F967A5"/>
    <w:rsid w:val="00FB44C9"/>
    <w:rsid w:val="00FD778D"/>
    <w:rsid w:val="00FE30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F48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66CED"/>
    <w:rPr>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CED"/>
    <w:rPr>
      <w:color w:val="0000FF" w:themeColor="hyperlink"/>
      <w:u w:val="single"/>
    </w:rPr>
  </w:style>
  <w:style w:type="table" w:styleId="TableGrid">
    <w:name w:val="Table Grid"/>
    <w:basedOn w:val="TableNormal"/>
    <w:uiPriority w:val="59"/>
    <w:rsid w:val="00B66CED"/>
    <w:rPr>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D77C2F"/>
    <w:rPr>
      <w:color w:val="800080" w:themeColor="followedHyperlink"/>
      <w:u w:val="single"/>
    </w:rPr>
  </w:style>
  <w:style w:type="character" w:styleId="UnresolvedMention">
    <w:name w:val="Unresolved Mention"/>
    <w:basedOn w:val="DefaultParagraphFont"/>
    <w:uiPriority w:val="99"/>
    <w:rsid w:val="008E1567"/>
    <w:rPr>
      <w:color w:val="605E5C"/>
      <w:shd w:val="clear" w:color="auto" w:fill="E1DFDD"/>
    </w:rPr>
  </w:style>
  <w:style w:type="character" w:styleId="Strong">
    <w:name w:val="Strong"/>
    <w:basedOn w:val="DefaultParagraphFont"/>
    <w:uiPriority w:val="22"/>
    <w:qFormat/>
    <w:rsid w:val="0018003D"/>
    <w:rPr>
      <w:b/>
      <w:bCs/>
    </w:rPr>
  </w:style>
  <w:style w:type="character" w:customStyle="1" w:styleId="apple-converted-space">
    <w:name w:val="apple-converted-space"/>
    <w:basedOn w:val="DefaultParagraphFont"/>
    <w:rsid w:val="0018003D"/>
  </w:style>
  <w:style w:type="paragraph" w:styleId="Header">
    <w:name w:val="header"/>
    <w:basedOn w:val="Normal"/>
    <w:link w:val="HeaderChar"/>
    <w:uiPriority w:val="99"/>
    <w:unhideWhenUsed/>
    <w:rsid w:val="00150D3F"/>
    <w:pPr>
      <w:tabs>
        <w:tab w:val="center" w:pos="4680"/>
        <w:tab w:val="right" w:pos="9360"/>
      </w:tabs>
    </w:pPr>
  </w:style>
  <w:style w:type="character" w:customStyle="1" w:styleId="HeaderChar">
    <w:name w:val="Header Char"/>
    <w:basedOn w:val="DefaultParagraphFont"/>
    <w:link w:val="Header"/>
    <w:uiPriority w:val="99"/>
    <w:rsid w:val="00150D3F"/>
    <w:rPr>
      <w:lang w:eastAsia="ja-JP"/>
    </w:rPr>
  </w:style>
  <w:style w:type="paragraph" w:styleId="Footer">
    <w:name w:val="footer"/>
    <w:basedOn w:val="Normal"/>
    <w:link w:val="FooterChar"/>
    <w:uiPriority w:val="99"/>
    <w:unhideWhenUsed/>
    <w:rsid w:val="00150D3F"/>
    <w:pPr>
      <w:tabs>
        <w:tab w:val="center" w:pos="4680"/>
        <w:tab w:val="right" w:pos="9360"/>
      </w:tabs>
    </w:pPr>
  </w:style>
  <w:style w:type="character" w:customStyle="1" w:styleId="FooterChar">
    <w:name w:val="Footer Char"/>
    <w:basedOn w:val="DefaultParagraphFont"/>
    <w:link w:val="Footer"/>
    <w:uiPriority w:val="99"/>
    <w:rsid w:val="00150D3F"/>
    <w:rPr>
      <w:lang w:eastAsia="ja-JP"/>
    </w:rPr>
  </w:style>
  <w:style w:type="character" w:styleId="Emphasis">
    <w:name w:val="Emphasis"/>
    <w:basedOn w:val="DefaultParagraphFont"/>
    <w:uiPriority w:val="20"/>
    <w:qFormat/>
    <w:rsid w:val="00ED4FD1"/>
    <w:rPr>
      <w:i/>
      <w:iCs/>
    </w:rPr>
  </w:style>
  <w:style w:type="paragraph" w:styleId="ListParagraph">
    <w:name w:val="List Paragraph"/>
    <w:basedOn w:val="Normal"/>
    <w:uiPriority w:val="34"/>
    <w:qFormat/>
    <w:rsid w:val="008665F4"/>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99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nesty.uga.edu/_resources/documents/academic_honesty_policy_2017.pdf" TargetMode="External"/><Relationship Id="rId13" Type="http://schemas.openxmlformats.org/officeDocument/2006/relationships/hyperlink" Target="https://www.uhs.uga.edu/bewelluga/bewellug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jstarai@uga.edu" TargetMode="External"/><Relationship Id="rId12" Type="http://schemas.openxmlformats.org/officeDocument/2006/relationships/hyperlink" Target="https://www.uhs.uga.edu/info/emergencies" TargetMode="External"/><Relationship Id="rId17" Type="http://schemas.openxmlformats.org/officeDocument/2006/relationships/hyperlink" Target="mailto:sco@uga.edu" TargetMode="External"/><Relationship Id="rId2" Type="http://schemas.openxmlformats.org/officeDocument/2006/relationships/styles" Target="styles.xml"/><Relationship Id="rId16" Type="http://schemas.openxmlformats.org/officeDocument/2006/relationships/hyperlink" Target="https://www.uhs.uga.edu/info/emergenc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hs.uga.edu/bewelluga/bewelluga" TargetMode="External"/><Relationship Id="rId5" Type="http://schemas.openxmlformats.org/officeDocument/2006/relationships/footnotes" Target="footnotes.xml"/><Relationship Id="rId15" Type="http://schemas.openxmlformats.org/officeDocument/2006/relationships/hyperlink" Target="https://dawgcheck.uga.edu/" TargetMode="External"/><Relationship Id="rId10" Type="http://schemas.openxmlformats.org/officeDocument/2006/relationships/hyperlink" Target="https://sco.uga.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onesty.uga.edu/" TargetMode="External"/><Relationship Id="rId14" Type="http://schemas.openxmlformats.org/officeDocument/2006/relationships/hyperlink" Target="https://georgia.gov/covid-vac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1119</TotalTime>
  <Pages>10</Pages>
  <Words>3345</Words>
  <Characters>19070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The University of Georgia</Company>
  <LinksUpToDate>false</LinksUpToDate>
  <CharactersWithSpaces>22371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Starai</dc:creator>
  <cp:keywords/>
  <dc:description/>
  <cp:lastModifiedBy>Vincent Starai</cp:lastModifiedBy>
  <cp:revision>12</cp:revision>
  <cp:lastPrinted>2021-08-10T15:40:00Z</cp:lastPrinted>
  <dcterms:created xsi:type="dcterms:W3CDTF">2021-07-29T20:46:00Z</dcterms:created>
  <dcterms:modified xsi:type="dcterms:W3CDTF">2021-08-11T15:28:00Z</dcterms:modified>
</cp:coreProperties>
</file>