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adea" w:cs="Caladea" w:eastAsia="Caladea" w:hAnsi="Caladea"/>
          <w:b w:val="1"/>
        </w:rPr>
      </w:pPr>
      <w:r w:rsidDel="00000000" w:rsidR="00000000" w:rsidRPr="00000000">
        <w:rPr>
          <w:rFonts w:ascii="Caladea" w:cs="Caladea" w:eastAsia="Caladea" w:hAnsi="Caladea"/>
          <w:b w:val="1"/>
          <w:rtl w:val="0"/>
        </w:rPr>
        <w:t xml:space="preserve">MARS 4500 – Field Study in Oceanography and Marine Methods</w:t>
      </w:r>
    </w:p>
    <w:p w:rsidR="00000000" w:rsidDel="00000000" w:rsidP="00000000" w:rsidRDefault="00000000" w:rsidRPr="00000000" w14:paraId="00000002">
      <w:pPr>
        <w:jc w:val="center"/>
        <w:rPr>
          <w:rFonts w:ascii="Caladea" w:cs="Caladea" w:eastAsia="Caladea" w:hAnsi="Caladea"/>
          <w:b w:val="1"/>
        </w:rPr>
      </w:pPr>
      <w:r w:rsidDel="00000000" w:rsidR="00000000" w:rsidRPr="00000000">
        <w:rPr>
          <w:rFonts w:ascii="Caladea" w:cs="Caladea" w:eastAsia="Caladea" w:hAnsi="Caladea"/>
          <w:b w:val="1"/>
          <w:rtl w:val="0"/>
        </w:rPr>
        <w:t xml:space="preserve">Fall 2022 – Semester at Skidaway</w:t>
      </w:r>
    </w:p>
    <w:p w:rsidR="00000000" w:rsidDel="00000000" w:rsidP="00000000" w:rsidRDefault="00000000" w:rsidRPr="00000000" w14:paraId="00000003">
      <w:pPr>
        <w:jc w:val="center"/>
        <w:rPr>
          <w:rFonts w:ascii="Caladea" w:cs="Caladea" w:eastAsia="Caladea" w:hAnsi="Caladea"/>
          <w:b w:val="1"/>
        </w:rPr>
      </w:pPr>
      <w:r w:rsidDel="00000000" w:rsidR="00000000" w:rsidRPr="00000000">
        <w:rPr>
          <w:rFonts w:ascii="Caladea" w:cs="Caladea" w:eastAsia="Caladea" w:hAnsi="Caladea"/>
          <w:rtl w:val="0"/>
        </w:rPr>
        <w:t xml:space="preserve">Course Information Sheet</w:t>
      </w:r>
      <w:r w:rsidDel="00000000" w:rsidR="00000000" w:rsidRPr="00000000">
        <w:rPr>
          <w:rtl w:val="0"/>
        </w:rPr>
      </w:r>
    </w:p>
    <w:p w:rsidR="00000000" w:rsidDel="00000000" w:rsidP="00000000" w:rsidRDefault="00000000" w:rsidRPr="00000000" w14:paraId="00000004">
      <w:pPr>
        <w:rPr>
          <w:rFonts w:ascii="Caladea" w:cs="Caladea" w:eastAsia="Caladea" w:hAnsi="Caladea"/>
        </w:rPr>
      </w:pPr>
      <w:r w:rsidDel="00000000" w:rsidR="00000000" w:rsidRPr="00000000">
        <w:rPr>
          <w:rFonts w:ascii="Caladea" w:cs="Caladea" w:eastAsia="Caladea" w:hAnsi="Caladea"/>
          <w:b w:val="1"/>
          <w:rtl w:val="0"/>
        </w:rPr>
        <w:t xml:space="preserve">Instructor:</w:t>
      </w:r>
      <w:r w:rsidDel="00000000" w:rsidR="00000000" w:rsidRPr="00000000">
        <w:rPr>
          <w:rtl w:val="0"/>
        </w:rPr>
      </w:r>
    </w:p>
    <w:p w:rsidR="00000000" w:rsidDel="00000000" w:rsidP="00000000" w:rsidRDefault="00000000" w:rsidRPr="00000000" w14:paraId="00000005">
      <w:pPr>
        <w:rPr>
          <w:rFonts w:ascii="Caladea" w:cs="Caladea" w:eastAsia="Caladea" w:hAnsi="Caladea"/>
        </w:rPr>
      </w:pPr>
      <w:r w:rsidDel="00000000" w:rsidR="00000000" w:rsidRPr="00000000">
        <w:rPr>
          <w:rFonts w:ascii="Caladea" w:cs="Caladea" w:eastAsia="Caladea" w:hAnsi="Caladea"/>
          <w:rtl w:val="0"/>
        </w:rPr>
        <w:t xml:space="preserve">Dr. Natalie Cohen</w:t>
      </w:r>
    </w:p>
    <w:p w:rsidR="00000000" w:rsidDel="00000000" w:rsidP="00000000" w:rsidRDefault="00000000" w:rsidRPr="00000000" w14:paraId="00000006">
      <w:pPr>
        <w:rPr>
          <w:rFonts w:ascii="Caladea" w:cs="Caladea" w:eastAsia="Caladea" w:hAnsi="Caladea"/>
        </w:rPr>
      </w:pPr>
      <w:r w:rsidDel="00000000" w:rsidR="00000000" w:rsidRPr="00000000">
        <w:rPr>
          <w:rFonts w:ascii="Caladea" w:cs="Caladea" w:eastAsia="Caladea" w:hAnsi="Caladea"/>
          <w:rtl w:val="0"/>
        </w:rPr>
        <w:t xml:space="preserve">Assistant Professor</w:t>
      </w:r>
    </w:p>
    <w:p w:rsidR="00000000" w:rsidDel="00000000" w:rsidP="00000000" w:rsidRDefault="00000000" w:rsidRPr="00000000" w14:paraId="00000007">
      <w:pPr>
        <w:rPr>
          <w:rFonts w:ascii="Caladea" w:cs="Caladea" w:eastAsia="Caladea" w:hAnsi="Caladea"/>
        </w:rPr>
      </w:pPr>
      <w:r w:rsidDel="00000000" w:rsidR="00000000" w:rsidRPr="00000000">
        <w:rPr>
          <w:rFonts w:ascii="Caladea" w:cs="Caladea" w:eastAsia="Caladea" w:hAnsi="Caladea"/>
          <w:rtl w:val="0"/>
        </w:rPr>
        <w:t xml:space="preserve">Department of Marine Sciences                                           </w:t>
      </w:r>
    </w:p>
    <w:p w:rsidR="00000000" w:rsidDel="00000000" w:rsidP="00000000" w:rsidRDefault="00000000" w:rsidRPr="00000000" w14:paraId="00000008">
      <w:pPr>
        <w:rPr>
          <w:rFonts w:ascii="Caladea" w:cs="Caladea" w:eastAsia="Caladea" w:hAnsi="Caladea"/>
          <w:color w:val="0000ff"/>
        </w:rPr>
      </w:pPr>
      <w:r w:rsidDel="00000000" w:rsidR="00000000" w:rsidRPr="00000000">
        <w:rPr>
          <w:rFonts w:ascii="Caladea" w:cs="Caladea" w:eastAsia="Caladea" w:hAnsi="Caladea"/>
          <w:color w:val="0000ff"/>
          <w:rtl w:val="0"/>
        </w:rPr>
        <w:t xml:space="preserve">cohen@uga.edu</w:t>
      </w:r>
    </w:p>
    <w:p w:rsidR="00000000" w:rsidDel="00000000" w:rsidP="00000000" w:rsidRDefault="00000000" w:rsidRPr="00000000" w14:paraId="00000009">
      <w:pPr>
        <w:rPr>
          <w:rFonts w:ascii="Caladea" w:cs="Caladea" w:eastAsia="Caladea" w:hAnsi="Caladea"/>
        </w:rPr>
      </w:pPr>
      <w:r w:rsidDel="00000000" w:rsidR="00000000" w:rsidRPr="00000000">
        <w:rPr>
          <w:rFonts w:ascii="Caladea" w:cs="Caladea" w:eastAsia="Caladea" w:hAnsi="Caladea"/>
          <w:rtl w:val="0"/>
        </w:rPr>
        <w:t xml:space="preserve">(912) 598-2312</w:t>
      </w:r>
    </w:p>
    <w:p w:rsidR="00000000" w:rsidDel="00000000" w:rsidP="00000000" w:rsidRDefault="00000000" w:rsidRPr="00000000" w14:paraId="0000000A">
      <w:pPr>
        <w:rPr>
          <w:rFonts w:ascii="Caladea" w:cs="Caladea" w:eastAsia="Caladea" w:hAnsi="Caladea"/>
        </w:rPr>
      </w:pPr>
      <w:r w:rsidDel="00000000" w:rsidR="00000000" w:rsidRPr="00000000">
        <w:rPr>
          <w:rFonts w:ascii="Caladea" w:cs="Caladea" w:eastAsia="Caladea" w:hAnsi="Caladea"/>
          <w:rtl w:val="0"/>
        </w:rPr>
        <w:t xml:space="preserve">Skidaway Campus</w:t>
      </w:r>
    </w:p>
    <w:p w:rsidR="00000000" w:rsidDel="00000000" w:rsidP="00000000" w:rsidRDefault="00000000" w:rsidRPr="00000000" w14:paraId="0000000B">
      <w:pPr>
        <w:rPr>
          <w:rFonts w:ascii="Caladea" w:cs="Caladea" w:eastAsia="Caladea" w:hAnsi="Caladea"/>
        </w:rPr>
      </w:pPr>
      <w:r w:rsidDel="00000000" w:rsidR="00000000" w:rsidRPr="00000000">
        <w:rPr>
          <w:rFonts w:ascii="Caladea" w:cs="Caladea" w:eastAsia="Caladea" w:hAnsi="Caladea"/>
          <w:rtl w:val="0"/>
        </w:rPr>
        <w:t xml:space="preserve">MCSRIC Building #108                </w:t>
      </w:r>
    </w:p>
    <w:p w:rsidR="00000000" w:rsidDel="00000000" w:rsidP="00000000" w:rsidRDefault="00000000" w:rsidRPr="00000000" w14:paraId="0000000C">
      <w:pPr>
        <w:rPr>
          <w:rFonts w:ascii="Caladea" w:cs="Caladea" w:eastAsia="Caladea" w:hAnsi="Caladea"/>
          <w:b w:val="1"/>
        </w:rPr>
      </w:pPr>
      <w:r w:rsidDel="00000000" w:rsidR="00000000" w:rsidRPr="00000000">
        <w:rPr>
          <w:rFonts w:ascii="Caladea" w:cs="Caladea" w:eastAsia="Caladea" w:hAnsi="Caladea"/>
          <w:b w:val="1"/>
          <w:rtl w:val="0"/>
        </w:rPr>
        <w:t xml:space="preserve"> </w:t>
      </w:r>
    </w:p>
    <w:p w:rsidR="00000000" w:rsidDel="00000000" w:rsidP="00000000" w:rsidRDefault="00000000" w:rsidRPr="00000000" w14:paraId="0000000D">
      <w:pPr>
        <w:rPr>
          <w:rFonts w:ascii="Caladea" w:cs="Caladea" w:eastAsia="Caladea" w:hAnsi="Caladea"/>
        </w:rPr>
      </w:pPr>
      <w:r w:rsidDel="00000000" w:rsidR="00000000" w:rsidRPr="00000000">
        <w:rPr>
          <w:rFonts w:ascii="Caladea" w:cs="Caladea" w:eastAsia="Caladea" w:hAnsi="Caladea"/>
          <w:b w:val="1"/>
          <w:rtl w:val="0"/>
        </w:rPr>
        <w:t xml:space="preserve">Grading Policy: </w:t>
      </w:r>
      <w:r w:rsidDel="00000000" w:rsidR="00000000" w:rsidRPr="00000000">
        <w:rPr>
          <w:rFonts w:ascii="Caladea" w:cs="Caladea" w:eastAsia="Caladea" w:hAnsi="Caladea"/>
          <w:rtl w:val="0"/>
        </w:rPr>
        <w:t xml:space="preserve">Two exams and a practical exam will be given, each of which will count for 13.33% of the course grade.</w:t>
      </w:r>
    </w:p>
    <w:p w:rsidR="00000000" w:rsidDel="00000000" w:rsidP="00000000" w:rsidRDefault="00000000" w:rsidRPr="00000000" w14:paraId="0000000E">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0F">
      <w:pPr>
        <w:rPr>
          <w:rFonts w:ascii="Caladea" w:cs="Caladea" w:eastAsia="Caladea" w:hAnsi="Caladea"/>
        </w:rPr>
      </w:pPr>
      <w:r w:rsidDel="00000000" w:rsidR="00000000" w:rsidRPr="00000000">
        <w:rPr>
          <w:rFonts w:ascii="Caladea" w:cs="Caladea" w:eastAsia="Caladea" w:hAnsi="Caladea"/>
          <w:rtl w:val="0"/>
        </w:rPr>
        <w:t xml:space="preserve">In-class activities count for the remaining 60% of the course grade, consisting of grades for lab activities,  learning exercises, and class presentations.</w:t>
      </w:r>
    </w:p>
    <w:p w:rsidR="00000000" w:rsidDel="00000000" w:rsidP="00000000" w:rsidRDefault="00000000" w:rsidRPr="00000000" w14:paraId="00000010">
      <w:pPr>
        <w:rPr>
          <w:rFonts w:ascii="Caladea" w:cs="Caladea" w:eastAsia="Caladea" w:hAnsi="Caladea"/>
        </w:rPr>
      </w:pPr>
      <w:r w:rsidDel="00000000" w:rsidR="00000000" w:rsidRPr="00000000">
        <w:rPr>
          <w:rtl w:val="0"/>
        </w:rPr>
      </w:r>
    </w:p>
    <w:p w:rsidR="00000000" w:rsidDel="00000000" w:rsidP="00000000" w:rsidRDefault="00000000" w:rsidRPr="00000000" w14:paraId="00000011">
      <w:pPr>
        <w:rPr>
          <w:rFonts w:ascii="Caladea" w:cs="Caladea" w:eastAsia="Caladea" w:hAnsi="Caladea"/>
        </w:rPr>
      </w:pPr>
      <w:r w:rsidDel="00000000" w:rsidR="00000000" w:rsidRPr="00000000">
        <w:rPr>
          <w:rFonts w:ascii="Caladea" w:cs="Caladea" w:eastAsia="Caladea" w:hAnsi="Caladea"/>
          <w:rtl w:val="0"/>
        </w:rPr>
        <w:t xml:space="preserve">The following is a general guide for letter-grade assignment in this course.  The exact correspondence between calculated number grades and assigned letter-grades is at the discretion of Dr. Cohen, but grade cutoffs will not be higher than indicated here (for example, the cutoff for an A- could be lower than 90, but will not be higher). </w:t>
      </w:r>
    </w:p>
    <w:tbl>
      <w:tblPr>
        <w:tblStyle w:val="Table1"/>
        <w:tblW w:w="86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80"/>
        <w:gridCol w:w="1365"/>
        <w:gridCol w:w="855"/>
        <w:gridCol w:w="1365"/>
        <w:gridCol w:w="870"/>
        <w:gridCol w:w="1365"/>
        <w:gridCol w:w="645"/>
        <w:tblGridChange w:id="0">
          <w:tblGrid>
            <w:gridCol w:w="1365"/>
            <w:gridCol w:w="780"/>
            <w:gridCol w:w="1365"/>
            <w:gridCol w:w="855"/>
            <w:gridCol w:w="1365"/>
            <w:gridCol w:w="870"/>
            <w:gridCol w:w="1365"/>
            <w:gridCol w:w="645"/>
          </w:tblGrid>
        </w:tblGridChange>
      </w:tblGrid>
      <w:tr>
        <w:trPr>
          <w:cantSplit w:val="0"/>
          <w:trHeight w:val="935" w:hRule="atLeast"/>
          <w:tblHeader w:val="0"/>
        </w:trPr>
        <w:tc>
          <w:tcPr>
            <w:vMerge w:val="restart"/>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100 – 93.00</w:t>
            </w:r>
          </w:p>
        </w:tc>
        <w:tc>
          <w:tcPr>
            <w:vMerge w:val="restart"/>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3">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89.99 – 87.00</w:t>
            </w:r>
          </w:p>
        </w:tc>
        <w:tc>
          <w:tcPr>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5">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79.99 – 77.00</w:t>
            </w:r>
          </w:p>
        </w:tc>
        <w:tc>
          <w:tcPr>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7">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69.99 – 60.00</w:t>
            </w:r>
          </w:p>
        </w:tc>
        <w:tc>
          <w:tcPr>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9">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D</w:t>
            </w:r>
          </w:p>
        </w:tc>
      </w:tr>
      <w:tr>
        <w:trPr>
          <w:cantSplit w:val="0"/>
          <w:trHeight w:val="935" w:hRule="atLeast"/>
          <w:tblHeader w:val="0"/>
        </w:trPr>
        <w:tc>
          <w:tcPr>
            <w:vMerge w:val="continue"/>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adea" w:cs="Caladea" w:eastAsia="Caladea" w:hAnsi="Calade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86.99 – 84.00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D">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76.99 – 74.00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F">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&lt; 60.00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21">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F</w:t>
            </w:r>
          </w:p>
        </w:tc>
      </w:tr>
      <w:tr>
        <w:trPr>
          <w:cantSplit w:val="0"/>
          <w:trHeight w:val="9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92.99 – 90.00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23">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83.99 – 80.00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25">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73.99 – 70.00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27">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9">
            <w:pPr>
              <w:spacing w:after="120" w:before="120" w:lineRule="auto"/>
              <w:rPr>
                <w:rFonts w:ascii="Caladea" w:cs="Caladea" w:eastAsia="Caladea" w:hAnsi="Caladea"/>
              </w:rPr>
            </w:pPr>
            <w:r w:rsidDel="00000000" w:rsidR="00000000" w:rsidRPr="00000000">
              <w:rPr>
                <w:rFonts w:ascii="Caladea" w:cs="Caladea" w:eastAsia="Caladea" w:hAnsi="Caladea"/>
                <w:rtl w:val="0"/>
              </w:rPr>
              <w:t xml:space="preserve"> </w:t>
            </w:r>
          </w:p>
        </w:tc>
      </w:tr>
    </w:tbl>
    <w:p w:rsidR="00000000" w:rsidDel="00000000" w:rsidP="00000000" w:rsidRDefault="00000000" w:rsidRPr="00000000" w14:paraId="0000002A">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2B">
      <w:pPr>
        <w:rPr>
          <w:rFonts w:ascii="Caladea" w:cs="Caladea" w:eastAsia="Caladea" w:hAnsi="Caladea"/>
        </w:rPr>
      </w:pPr>
      <w:r w:rsidDel="00000000" w:rsidR="00000000" w:rsidRPr="00000000">
        <w:rPr>
          <w:rFonts w:ascii="Caladea" w:cs="Caladea" w:eastAsia="Caladea" w:hAnsi="Caladea"/>
          <w:b w:val="1"/>
          <w:rtl w:val="0"/>
        </w:rPr>
        <w:t xml:space="preserve">Course Objective: </w:t>
      </w:r>
      <w:r w:rsidDel="00000000" w:rsidR="00000000" w:rsidRPr="00000000">
        <w:rPr>
          <w:rFonts w:ascii="Caladea" w:cs="Caladea" w:eastAsia="Caladea" w:hAnsi="Caladea"/>
          <w:rtl w:val="0"/>
        </w:rPr>
        <w:t xml:space="preserve">Students will learn the basic physical, chemical, and geological oceanographic processes which operate in the coastal zone. Emphasis will be placed on the interrelationship among the</w:t>
      </w:r>
    </w:p>
    <w:p w:rsidR="00000000" w:rsidDel="00000000" w:rsidP="00000000" w:rsidRDefault="00000000" w:rsidRPr="00000000" w14:paraId="0000002C">
      <w:pPr>
        <w:rPr>
          <w:rFonts w:ascii="Caladea" w:cs="Caladea" w:eastAsia="Caladea" w:hAnsi="Caladea"/>
          <w:color w:val="e06666"/>
        </w:rPr>
      </w:pPr>
      <w:r w:rsidDel="00000000" w:rsidR="00000000" w:rsidRPr="00000000">
        <w:rPr>
          <w:rFonts w:ascii="Caladea" w:cs="Caladea" w:eastAsia="Caladea" w:hAnsi="Caladea"/>
          <w:rtl w:val="0"/>
        </w:rPr>
        <w:t xml:space="preserve">subdisciplines of coastal oceanography,with intensive instruction in laboratory methods and field measurements. Field trips will include day trips on small boats and participation in ongoing investigations on estuarine, coastal, and shelf processes locally on Skidaway Island. In addition to learning about the basic oceanographic research problems in the nearshore zone, students will also learn about environmental problems inherent to this region. Students will be evaluated on their participation in the lecture, laboratory, and field components.</w:t>
      </w:r>
      <w:r w:rsidDel="00000000" w:rsidR="00000000" w:rsidRPr="00000000">
        <w:rPr>
          <w:rtl w:val="0"/>
        </w:rPr>
      </w:r>
    </w:p>
    <w:p w:rsidR="00000000" w:rsidDel="00000000" w:rsidP="00000000" w:rsidRDefault="00000000" w:rsidRPr="00000000" w14:paraId="0000002D">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2E">
      <w:pPr>
        <w:rPr>
          <w:rFonts w:ascii="Caladea" w:cs="Caladea" w:eastAsia="Caladea" w:hAnsi="Caladea"/>
          <w:b w:val="1"/>
        </w:rPr>
      </w:pPr>
      <w:r w:rsidDel="00000000" w:rsidR="00000000" w:rsidRPr="00000000">
        <w:rPr>
          <w:rFonts w:ascii="Caladea" w:cs="Caladea" w:eastAsia="Caladea" w:hAnsi="Caladea"/>
          <w:b w:val="1"/>
          <w:rtl w:val="0"/>
        </w:rPr>
        <w:t xml:space="preserve">Expected Learning Outcomes</w:t>
      </w:r>
    </w:p>
    <w:p w:rsidR="00000000" w:rsidDel="00000000" w:rsidP="00000000" w:rsidRDefault="00000000" w:rsidRPr="00000000" w14:paraId="0000002F">
      <w:pPr>
        <w:numPr>
          <w:ilvl w:val="0"/>
          <w:numId w:val="1"/>
        </w:numPr>
        <w:ind w:left="720" w:hanging="360"/>
        <w:rPr>
          <w:rFonts w:ascii="Caladea" w:cs="Caladea" w:eastAsia="Caladea" w:hAnsi="Caladea"/>
        </w:rPr>
      </w:pPr>
      <w:r w:rsidDel="00000000" w:rsidR="00000000" w:rsidRPr="00000000">
        <w:rPr>
          <w:rFonts w:ascii="Caladea" w:cs="Caladea" w:eastAsia="Caladea" w:hAnsi="Caladea"/>
          <w:rtl w:val="0"/>
        </w:rPr>
        <w:t xml:space="preserve">Students will be familiar with the transformation of chemical species in coastal systems and methods for quantifying them</w:t>
      </w:r>
    </w:p>
    <w:p w:rsidR="00000000" w:rsidDel="00000000" w:rsidP="00000000" w:rsidRDefault="00000000" w:rsidRPr="00000000" w14:paraId="00000030">
      <w:pPr>
        <w:numPr>
          <w:ilvl w:val="0"/>
          <w:numId w:val="1"/>
        </w:numPr>
        <w:ind w:left="720" w:hanging="360"/>
        <w:rPr>
          <w:rFonts w:ascii="Caladea" w:cs="Caladea" w:eastAsia="Caladea" w:hAnsi="Caladea"/>
        </w:rPr>
      </w:pPr>
      <w:r w:rsidDel="00000000" w:rsidR="00000000" w:rsidRPr="00000000">
        <w:rPr>
          <w:rFonts w:ascii="Caladea" w:cs="Caladea" w:eastAsia="Caladea" w:hAnsi="Caladea"/>
          <w:rtl w:val="0"/>
        </w:rPr>
        <w:t xml:space="preserve">Students will be familiar with the types of microorganisms commonly found in coastal environments, the ways in which they interact with their environment, and how to identify them</w:t>
      </w:r>
    </w:p>
    <w:p w:rsidR="00000000" w:rsidDel="00000000" w:rsidP="00000000" w:rsidRDefault="00000000" w:rsidRPr="00000000" w14:paraId="00000031">
      <w:pPr>
        <w:numPr>
          <w:ilvl w:val="0"/>
          <w:numId w:val="1"/>
        </w:numPr>
        <w:ind w:left="720" w:hanging="360"/>
        <w:rPr>
          <w:rFonts w:ascii="Caladea" w:cs="Caladea" w:eastAsia="Caladea" w:hAnsi="Caladea"/>
        </w:rPr>
      </w:pPr>
      <w:r w:rsidDel="00000000" w:rsidR="00000000" w:rsidRPr="00000000">
        <w:rPr>
          <w:rFonts w:ascii="Caladea" w:cs="Caladea" w:eastAsia="Caladea" w:hAnsi="Caladea"/>
          <w:rtl w:val="0"/>
        </w:rPr>
        <w:t xml:space="preserve">Students will be familiar with physical processes structuring coastal systems and gain experience working with physicochemical data</w:t>
      </w:r>
    </w:p>
    <w:p w:rsidR="00000000" w:rsidDel="00000000" w:rsidP="00000000" w:rsidRDefault="00000000" w:rsidRPr="00000000" w14:paraId="00000032">
      <w:pPr>
        <w:numPr>
          <w:ilvl w:val="0"/>
          <w:numId w:val="1"/>
        </w:numPr>
        <w:ind w:left="720" w:hanging="360"/>
        <w:rPr>
          <w:rFonts w:ascii="Caladea" w:cs="Caladea" w:eastAsia="Caladea" w:hAnsi="Caladea"/>
        </w:rPr>
      </w:pPr>
      <w:r w:rsidDel="00000000" w:rsidR="00000000" w:rsidRPr="00000000">
        <w:rPr>
          <w:rFonts w:ascii="Caladea" w:cs="Caladea" w:eastAsia="Caladea" w:hAnsi="Caladea"/>
          <w:rtl w:val="0"/>
        </w:rPr>
        <w:t xml:space="preserve">Students will be familiar with geological features of the coastal ocean</w:t>
      </w:r>
    </w:p>
    <w:p w:rsidR="00000000" w:rsidDel="00000000" w:rsidP="00000000" w:rsidRDefault="00000000" w:rsidRPr="00000000" w14:paraId="00000033">
      <w:pPr>
        <w:numPr>
          <w:ilvl w:val="0"/>
          <w:numId w:val="1"/>
        </w:numPr>
        <w:ind w:left="720" w:hanging="360"/>
        <w:rPr>
          <w:rFonts w:ascii="Caladea" w:cs="Caladea" w:eastAsia="Caladea" w:hAnsi="Caladea"/>
        </w:rPr>
      </w:pPr>
      <w:r w:rsidDel="00000000" w:rsidR="00000000" w:rsidRPr="00000000">
        <w:rPr>
          <w:rFonts w:ascii="Caladea" w:cs="Caladea" w:eastAsia="Caladea" w:hAnsi="Caladea"/>
          <w:rtl w:val="0"/>
        </w:rPr>
        <w:t xml:space="preserve">Student mastery of the material will be measured by 2 exams, 1 practical, in-class activities, and 1 research presentation.</w:t>
      </w:r>
    </w:p>
    <w:p w:rsidR="00000000" w:rsidDel="00000000" w:rsidP="00000000" w:rsidRDefault="00000000" w:rsidRPr="00000000" w14:paraId="00000034">
      <w:pPr>
        <w:rPr>
          <w:rFonts w:ascii="Caladea" w:cs="Caladea" w:eastAsia="Caladea" w:hAnsi="Caladea"/>
        </w:rPr>
      </w:pPr>
      <w:r w:rsidDel="00000000" w:rsidR="00000000" w:rsidRPr="00000000">
        <w:rPr>
          <w:rtl w:val="0"/>
        </w:rPr>
      </w:r>
    </w:p>
    <w:p w:rsidR="00000000" w:rsidDel="00000000" w:rsidP="00000000" w:rsidRDefault="00000000" w:rsidRPr="00000000" w14:paraId="00000035">
      <w:pPr>
        <w:rPr>
          <w:rFonts w:ascii="Caladea" w:cs="Caladea" w:eastAsia="Caladea" w:hAnsi="Caladea"/>
        </w:rPr>
      </w:pPr>
      <w:r w:rsidDel="00000000" w:rsidR="00000000" w:rsidRPr="00000000">
        <w:rPr>
          <w:rFonts w:ascii="Caladea" w:cs="Caladea" w:eastAsia="Caladea" w:hAnsi="Caladea"/>
          <w:b w:val="1"/>
          <w:rtl w:val="0"/>
        </w:rPr>
        <w:t xml:space="preserve">Experiential Learning</w:t>
      </w:r>
      <w:r w:rsidDel="00000000" w:rsidR="00000000" w:rsidRPr="00000000">
        <w:rPr>
          <w:rFonts w:ascii="Caladea" w:cs="Caladea" w:eastAsia="Caladea" w:hAnsi="Caladea"/>
          <w:rtl w:val="0"/>
        </w:rPr>
        <w:t xml:space="preserve">: This course is at its core experiential; it gives students hands-on experience with state-of-the-art oceanographic equipment and techniques. It provides students with the opportunity to analyze samples collected during the accompanying MARS 4850 (Oceanographic Field Expedition) course, synthesize results, and communicate those research findings in a professional oral presentation.</w:t>
      </w:r>
    </w:p>
    <w:p w:rsidR="00000000" w:rsidDel="00000000" w:rsidP="00000000" w:rsidRDefault="00000000" w:rsidRPr="00000000" w14:paraId="00000036">
      <w:pPr>
        <w:rPr>
          <w:rFonts w:ascii="Caladea" w:cs="Caladea" w:eastAsia="Caladea" w:hAnsi="Caladea"/>
        </w:rPr>
      </w:pPr>
      <w:r w:rsidDel="00000000" w:rsidR="00000000" w:rsidRPr="00000000">
        <w:rPr>
          <w:rtl w:val="0"/>
        </w:rPr>
      </w:r>
    </w:p>
    <w:p w:rsidR="00000000" w:rsidDel="00000000" w:rsidP="00000000" w:rsidRDefault="00000000" w:rsidRPr="00000000" w14:paraId="00000037">
      <w:pPr>
        <w:rPr>
          <w:rFonts w:ascii="Caladea" w:cs="Caladea" w:eastAsia="Caladea" w:hAnsi="Caladea"/>
        </w:rPr>
      </w:pPr>
      <w:r w:rsidDel="00000000" w:rsidR="00000000" w:rsidRPr="00000000">
        <w:rPr>
          <w:rFonts w:ascii="Caladea" w:cs="Caladea" w:eastAsia="Caladea" w:hAnsi="Caladea"/>
          <w:b w:val="1"/>
          <w:rtl w:val="0"/>
        </w:rPr>
        <w:t xml:space="preserve">Purpose</w:t>
      </w:r>
      <w:r w:rsidDel="00000000" w:rsidR="00000000" w:rsidRPr="00000000">
        <w:rPr>
          <w:rFonts w:ascii="Caladea" w:cs="Caladea" w:eastAsia="Caladea" w:hAnsi="Caladea"/>
          <w:rtl w:val="0"/>
        </w:rPr>
        <w:t xml:space="preserve">: To introduce undergraduate students to common oceanographic field methods and laboratory sampling techniques. Students will receive background information in sampling approaches during lectures, and hands-on training during guided lab activities and field trips.  This course is a required component of the UGA Ocean Science Major (B.S.) and the Semester of Skidaway program.</w:t>
      </w:r>
    </w:p>
    <w:p w:rsidR="00000000" w:rsidDel="00000000" w:rsidP="00000000" w:rsidRDefault="00000000" w:rsidRPr="00000000" w14:paraId="00000038">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39">
      <w:pPr>
        <w:rPr>
          <w:rFonts w:ascii="Caladea" w:cs="Caladea" w:eastAsia="Caladea" w:hAnsi="Caladea"/>
          <w:b w:val="1"/>
        </w:rPr>
      </w:pPr>
      <w:r w:rsidDel="00000000" w:rsidR="00000000" w:rsidRPr="00000000">
        <w:rPr>
          <w:rFonts w:ascii="Caladea" w:cs="Caladea" w:eastAsia="Caladea" w:hAnsi="Caladea"/>
          <w:b w:val="1"/>
          <w:rtl w:val="0"/>
        </w:rPr>
        <w:t xml:space="preserve">Structure</w:t>
      </w:r>
      <w:r w:rsidDel="00000000" w:rsidR="00000000" w:rsidRPr="00000000">
        <w:rPr>
          <w:rFonts w:ascii="Caladea" w:cs="Caladea" w:eastAsia="Caladea" w:hAnsi="Caladea"/>
          <w:rtl w:val="0"/>
        </w:rPr>
        <w:t xml:space="preserve">: MARS 4500 is a 3-credit course held during the fall semester of the Semester at Skidaway program. Housing on campus will be included in the course cost. The Semester at Skidaway will commence</w:t>
      </w:r>
      <w:r w:rsidDel="00000000" w:rsidR="00000000" w:rsidRPr="00000000">
        <w:rPr>
          <w:rFonts w:ascii="Caladea" w:cs="Caladea" w:eastAsia="Caladea" w:hAnsi="Caladea"/>
          <w:b w:val="1"/>
          <w:rtl w:val="0"/>
        </w:rPr>
        <w:t xml:space="preserve"> </w:t>
      </w:r>
      <w:r w:rsidDel="00000000" w:rsidR="00000000" w:rsidRPr="00000000">
        <w:rPr>
          <w:rFonts w:ascii="Caladea" w:cs="Caladea" w:eastAsia="Caladea" w:hAnsi="Caladea"/>
          <w:rtl w:val="0"/>
        </w:rPr>
        <w:t xml:space="preserve">Aug. 29 and end on Nov. 22.</w:t>
      </w:r>
      <w:r w:rsidDel="00000000" w:rsidR="00000000" w:rsidRPr="00000000">
        <w:rPr>
          <w:rFonts w:ascii="Caladea" w:cs="Caladea" w:eastAsia="Caladea" w:hAnsi="Caladea"/>
          <w:b w:val="1"/>
          <w:rtl w:val="0"/>
        </w:rPr>
        <w:t xml:space="preserve"> To allow for sample collection onboard the research cruise before this class begins, MARS 4500 will meet for the first time on Sept. 13 and run until Nov. 10, on a Tuesday/Thursday schedule. Class time will be broken into two 125 min periods to facilitate classroom-based lectures followed by hands-on lab or field activities. </w:t>
      </w:r>
    </w:p>
    <w:p w:rsidR="00000000" w:rsidDel="00000000" w:rsidP="00000000" w:rsidRDefault="00000000" w:rsidRPr="00000000" w14:paraId="0000003A">
      <w:pPr>
        <w:rPr>
          <w:rFonts w:ascii="Caladea" w:cs="Caladea" w:eastAsia="Caladea" w:hAnsi="Caladea"/>
        </w:rPr>
      </w:pPr>
      <w:r w:rsidDel="00000000" w:rsidR="00000000" w:rsidRPr="00000000">
        <w:rPr>
          <w:rtl w:val="0"/>
        </w:rPr>
      </w:r>
    </w:p>
    <w:p w:rsidR="00000000" w:rsidDel="00000000" w:rsidP="00000000" w:rsidRDefault="00000000" w:rsidRPr="00000000" w14:paraId="0000003B">
      <w:pPr>
        <w:rPr>
          <w:rFonts w:ascii="Caladea" w:cs="Caladea" w:eastAsia="Caladea" w:hAnsi="Caladea"/>
        </w:rPr>
      </w:pPr>
      <w:r w:rsidDel="00000000" w:rsidR="00000000" w:rsidRPr="00000000">
        <w:rPr>
          <w:rFonts w:ascii="Caladea" w:cs="Caladea" w:eastAsia="Caladea" w:hAnsi="Caladea"/>
          <w:rtl w:val="0"/>
        </w:rPr>
        <w:t xml:space="preserve">Lectures, laboratory, and field exercises will cover the following topics as they apply to the coastal zone. Emphasis will be placed on interrelationships between physical, chemical, biological, and geological processes, with some consideration of anthropogenic influences on coastal processes. Laboratory analyses are concentrated at the beginning of the course to allow skills to be developed before applying to samples collected on the MARS 4850 research cruise. Empty lab slots are time allocated to working up cruise data from MARS 4850 and preparing for the final presentation (*).</w:t>
      </w:r>
    </w:p>
    <w:p w:rsidR="00000000" w:rsidDel="00000000" w:rsidP="00000000" w:rsidRDefault="00000000" w:rsidRPr="00000000" w14:paraId="0000003C">
      <w:pPr>
        <w:rPr>
          <w:rFonts w:ascii="Caladea" w:cs="Caladea" w:eastAsia="Caladea" w:hAnsi="Caladea"/>
        </w:rPr>
      </w:pPr>
      <w:r w:rsidDel="00000000" w:rsidR="00000000" w:rsidRPr="00000000">
        <w:rPr>
          <w:rtl w:val="0"/>
        </w:rPr>
      </w:r>
    </w:p>
    <w:p w:rsidR="00000000" w:rsidDel="00000000" w:rsidP="00000000" w:rsidRDefault="00000000" w:rsidRPr="00000000" w14:paraId="0000003D">
      <w:pPr>
        <w:jc w:val="center"/>
        <w:rPr>
          <w:rFonts w:ascii="Caladea" w:cs="Caladea" w:eastAsia="Caladea" w:hAnsi="Caladea"/>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Caladea" w:cs="Caladea" w:eastAsia="Caladea" w:hAnsi="Caladea"/>
        </w:rPr>
      </w:pPr>
      <w:r w:rsidDel="00000000" w:rsidR="00000000" w:rsidRPr="00000000">
        <w:rPr>
          <w:rFonts w:ascii="Caladea" w:cs="Caladea" w:eastAsia="Caladea" w:hAnsi="Caladea"/>
          <w:b w:val="1"/>
          <w:rtl w:val="0"/>
        </w:rPr>
        <w:t xml:space="preserve">Schedule </w:t>
      </w:r>
      <w:r w:rsidDel="00000000" w:rsidR="00000000" w:rsidRPr="00000000">
        <w:rPr>
          <w:rFonts w:ascii="Caladea" w:cs="Caladea" w:eastAsia="Caladea" w:hAnsi="Caladea"/>
          <w:rtl w:val="0"/>
        </w:rPr>
        <w:t xml:space="preserve">(subject to revision; updated August 15, 2022):</w:t>
      </w:r>
    </w:p>
    <w:tbl>
      <w:tblPr>
        <w:tblStyle w:val="Table2"/>
        <w:tblW w:w="7695.0" w:type="dxa"/>
        <w:jc w:val="left"/>
        <w:tblInd w:w="955.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600"/>
      </w:tblPr>
      <w:tblGrid>
        <w:gridCol w:w="1290"/>
        <w:gridCol w:w="3555"/>
        <w:gridCol w:w="2850"/>
        <w:tblGridChange w:id="0">
          <w:tblGrid>
            <w:gridCol w:w="1290"/>
            <w:gridCol w:w="3555"/>
            <w:gridCol w:w="2850"/>
          </w:tblGrid>
        </w:tblGridChange>
      </w:tblGrid>
      <w:tr>
        <w:trPr>
          <w:cantSplit w:val="0"/>
          <w:trHeight w:val="368" w:hRule="atLeast"/>
          <w:tblHeader w:val="1"/>
        </w:trPr>
        <w:tc>
          <w:tcPr>
            <w:tcBorders>
              <w:top w:color="bfbfbf" w:space="0" w:sz="8" w:val="single"/>
              <w:left w:color="bfbfbf" w:space="0" w:sz="8" w:val="single"/>
              <w:bottom w:color="bfbfbf" w:space="0" w:sz="8" w:val="single"/>
              <w:right w:color="bfbfbf" w:space="0" w:sz="8" w:val="single"/>
            </w:tcBorders>
            <w:tcMar>
              <w:top w:w="100.0" w:type="dxa"/>
              <w:left w:w="40.0" w:type="dxa"/>
              <w:bottom w:w="100.0" w:type="dxa"/>
              <w:right w:w="40.0" w:type="dxa"/>
            </w:tcMar>
          </w:tcPr>
          <w:p w:rsidR="00000000" w:rsidDel="00000000" w:rsidP="00000000" w:rsidRDefault="00000000" w:rsidRPr="00000000" w14:paraId="0000003F">
            <w:pPr>
              <w:keepNext w:val="1"/>
              <w:widowControl w:val="0"/>
              <w:spacing w:line="240" w:lineRule="auto"/>
              <w:jc w:val="center"/>
              <w:rPr>
                <w:b w:val="1"/>
                <w:sz w:val="16"/>
                <w:szCs w:val="16"/>
              </w:rPr>
            </w:pPr>
            <w:r w:rsidDel="00000000" w:rsidR="00000000" w:rsidRPr="00000000">
              <w:rPr>
                <w:b w:val="1"/>
                <w:sz w:val="16"/>
                <w:szCs w:val="16"/>
                <w:rtl w:val="0"/>
              </w:rPr>
              <w:t xml:space="preserve">Date</w:t>
            </w:r>
          </w:p>
        </w:tc>
        <w:tc>
          <w:tcPr>
            <w:tcBorders>
              <w:top w:color="bfbfbf" w:space="0" w:sz="8" w:val="single"/>
              <w:left w:color="bfbfbf" w:space="0" w:sz="8" w:val="single"/>
              <w:bottom w:color="bfbfbf" w:space="0" w:sz="8" w:val="single"/>
              <w:right w:color="bfbfbf" w:space="0" w:sz="8" w:val="single"/>
            </w:tcBorders>
            <w:tcMar>
              <w:top w:w="100.0" w:type="dxa"/>
              <w:left w:w="40.0" w:type="dxa"/>
              <w:bottom w:w="100.0" w:type="dxa"/>
              <w:right w:w="100.0" w:type="dxa"/>
            </w:tcMar>
          </w:tcPr>
          <w:p w:rsidR="00000000" w:rsidDel="00000000" w:rsidP="00000000" w:rsidRDefault="00000000" w:rsidRPr="00000000" w14:paraId="00000040">
            <w:pPr>
              <w:keepNext w:val="1"/>
              <w:widowControl w:val="0"/>
              <w:spacing w:line="240" w:lineRule="auto"/>
              <w:jc w:val="center"/>
              <w:rPr>
                <w:b w:val="1"/>
                <w:sz w:val="16"/>
                <w:szCs w:val="16"/>
              </w:rPr>
            </w:pPr>
            <w:r w:rsidDel="00000000" w:rsidR="00000000" w:rsidRPr="00000000">
              <w:rPr>
                <w:b w:val="1"/>
                <w:sz w:val="16"/>
                <w:szCs w:val="16"/>
                <w:rtl w:val="0"/>
              </w:rPr>
              <w:t xml:space="preserve">Lecture Topic</w:t>
            </w:r>
          </w:p>
        </w:tc>
        <w:tc>
          <w:tcPr>
            <w:tcBorders>
              <w:top w:color="bfbfbf" w:space="0" w:sz="8" w:val="single"/>
              <w:left w:color="bfbfbf" w:space="0" w:sz="8" w:val="single"/>
              <w:bottom w:color="bfbfbf" w:space="0" w:sz="8" w:val="single"/>
              <w:right w:color="bfbfbf" w:space="0" w:sz="8" w:val="single"/>
            </w:tcBorders>
            <w:tcMar>
              <w:top w:w="100.0" w:type="dxa"/>
              <w:left w:w="120.0" w:type="dxa"/>
              <w:bottom w:w="100.0" w:type="dxa"/>
              <w:right w:w="20.0" w:type="dxa"/>
            </w:tcMar>
          </w:tcPr>
          <w:p w:rsidR="00000000" w:rsidDel="00000000" w:rsidP="00000000" w:rsidRDefault="00000000" w:rsidRPr="00000000" w14:paraId="00000041">
            <w:pPr>
              <w:keepNext w:val="1"/>
              <w:widowControl w:val="0"/>
              <w:spacing w:line="240" w:lineRule="auto"/>
              <w:jc w:val="center"/>
              <w:rPr>
                <w:b w:val="1"/>
                <w:sz w:val="16"/>
                <w:szCs w:val="16"/>
              </w:rPr>
            </w:pPr>
            <w:r w:rsidDel="00000000" w:rsidR="00000000" w:rsidRPr="00000000">
              <w:rPr>
                <w:b w:val="1"/>
                <w:sz w:val="16"/>
                <w:szCs w:val="16"/>
                <w:rtl w:val="0"/>
              </w:rPr>
              <w:t xml:space="preserve">Lab/Field Topic</w:t>
            </w:r>
          </w:p>
        </w:tc>
      </w:tr>
      <w:tr>
        <w:trPr>
          <w:cantSplit w:val="0"/>
          <w:trHeight w:val="230" w:hRule="atLeast"/>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42">
            <w:pPr>
              <w:keepNext w:val="1"/>
              <w:widowControl w:val="0"/>
              <w:spacing w:line="240" w:lineRule="auto"/>
              <w:jc w:val="center"/>
              <w:rPr>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43">
            <w:pPr>
              <w:keepNext w:val="1"/>
              <w:widowControl w:val="0"/>
              <w:spacing w:line="240" w:lineRule="auto"/>
              <w:jc w:val="center"/>
              <w:rPr>
                <w:b w:val="1"/>
                <w:sz w:val="16"/>
                <w:szCs w:val="16"/>
              </w:rPr>
            </w:pPr>
            <w:r w:rsidDel="00000000" w:rsidR="00000000" w:rsidRPr="00000000">
              <w:rPr>
                <w:b w:val="1"/>
                <w:sz w:val="16"/>
                <w:szCs w:val="16"/>
                <w:rtl w:val="0"/>
              </w:rPr>
              <w:t xml:space="preserve">I. BIOLOGICAL SYSTEM</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44">
            <w:pPr>
              <w:keepNext w:val="1"/>
              <w:widowControl w:val="0"/>
              <w:spacing w:line="240" w:lineRule="auto"/>
              <w:jc w:val="center"/>
              <w:rPr>
                <w:b w:val="1"/>
                <w:sz w:val="16"/>
                <w:szCs w:val="16"/>
              </w:rPr>
            </w:pPr>
            <w:r w:rsidDel="00000000" w:rsidR="00000000" w:rsidRPr="00000000">
              <w:rPr>
                <w:rtl w:val="0"/>
              </w:rPr>
            </w:r>
          </w:p>
        </w:tc>
      </w:tr>
      <w:tr>
        <w:trPr>
          <w:cantSplit w:val="0"/>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45">
            <w:pPr>
              <w:keepNext w:val="1"/>
              <w:widowControl w:val="0"/>
              <w:spacing w:line="240" w:lineRule="auto"/>
              <w:jc w:val="center"/>
              <w:rPr>
                <w:sz w:val="16"/>
                <w:szCs w:val="16"/>
              </w:rPr>
            </w:pPr>
            <w:r w:rsidDel="00000000" w:rsidR="00000000" w:rsidRPr="00000000">
              <w:rPr>
                <w:sz w:val="16"/>
                <w:szCs w:val="16"/>
                <w:rtl w:val="0"/>
              </w:rPr>
              <w:t xml:space="preserve">Sept. 13</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46">
            <w:pPr>
              <w:keepNext w:val="1"/>
              <w:widowControl w:val="0"/>
              <w:spacing w:line="240" w:lineRule="auto"/>
              <w:jc w:val="center"/>
              <w:rPr>
                <w:sz w:val="16"/>
                <w:szCs w:val="16"/>
              </w:rPr>
            </w:pPr>
            <w:r w:rsidDel="00000000" w:rsidR="00000000" w:rsidRPr="00000000">
              <w:rPr>
                <w:sz w:val="16"/>
                <w:szCs w:val="16"/>
                <w:rtl w:val="0"/>
              </w:rPr>
              <w:t xml:space="preserve">Biological carbon pump</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47">
            <w:pPr>
              <w:keepNext w:val="1"/>
              <w:widowControl w:val="0"/>
              <w:spacing w:line="240" w:lineRule="auto"/>
              <w:jc w:val="center"/>
              <w:rPr>
                <w:sz w:val="16"/>
                <w:szCs w:val="16"/>
              </w:rPr>
            </w:pPr>
            <w:bookmarkStart w:colFirst="0" w:colLast="0" w:name="_heading=h.gjdgxs" w:id="0"/>
            <w:bookmarkEnd w:id="0"/>
            <w:r w:rsidDel="00000000" w:rsidR="00000000" w:rsidRPr="00000000">
              <w:rPr>
                <w:sz w:val="16"/>
                <w:szCs w:val="16"/>
                <w:rtl w:val="0"/>
              </w:rPr>
              <w:t xml:space="preserve">Microscopy &amp; diversity lab</w:t>
            </w:r>
          </w:p>
        </w:tc>
      </w:tr>
      <w:tr>
        <w:trPr>
          <w:cantSplit w:val="0"/>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48">
            <w:pPr>
              <w:keepNext w:val="1"/>
              <w:widowControl w:val="0"/>
              <w:spacing w:line="240" w:lineRule="auto"/>
              <w:jc w:val="center"/>
              <w:rPr>
                <w:sz w:val="16"/>
                <w:szCs w:val="16"/>
              </w:rPr>
            </w:pPr>
            <w:r w:rsidDel="00000000" w:rsidR="00000000" w:rsidRPr="00000000">
              <w:rPr>
                <w:sz w:val="16"/>
                <w:szCs w:val="16"/>
                <w:rtl w:val="0"/>
              </w:rPr>
              <w:t xml:space="preserve">Sept. 15</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49">
            <w:pPr>
              <w:keepNext w:val="1"/>
              <w:widowControl w:val="0"/>
              <w:spacing w:line="240" w:lineRule="auto"/>
              <w:jc w:val="center"/>
              <w:rPr>
                <w:sz w:val="16"/>
                <w:szCs w:val="16"/>
              </w:rPr>
            </w:pPr>
            <w:r w:rsidDel="00000000" w:rsidR="00000000" w:rsidRPr="00000000">
              <w:rPr>
                <w:sz w:val="16"/>
                <w:szCs w:val="16"/>
                <w:rtl w:val="0"/>
              </w:rPr>
              <w:t xml:space="preserve">Microbial food webs I</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4A">
            <w:pPr>
              <w:keepNext w:val="1"/>
              <w:widowControl w:val="0"/>
              <w:spacing w:line="240" w:lineRule="auto"/>
              <w:jc w:val="center"/>
              <w:rPr>
                <w:sz w:val="16"/>
                <w:szCs w:val="16"/>
              </w:rPr>
            </w:pPr>
            <w:bookmarkStart w:colFirst="0" w:colLast="0" w:name="_heading=h.qhe6h1ulqiw3" w:id="1"/>
            <w:bookmarkEnd w:id="1"/>
            <w:r w:rsidDel="00000000" w:rsidR="00000000" w:rsidRPr="00000000">
              <w:rPr>
                <w:sz w:val="16"/>
                <w:szCs w:val="16"/>
                <w:rtl w:val="0"/>
              </w:rPr>
              <w:t xml:space="preserve">Chlorophyll extractions &amp; FlowCAM</w:t>
            </w:r>
          </w:p>
        </w:tc>
      </w:tr>
      <w:tr>
        <w:trPr>
          <w:cantSplit w:val="0"/>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4B">
            <w:pPr>
              <w:keepNext w:val="1"/>
              <w:widowControl w:val="0"/>
              <w:spacing w:line="240" w:lineRule="auto"/>
              <w:jc w:val="center"/>
              <w:rPr>
                <w:sz w:val="16"/>
                <w:szCs w:val="16"/>
              </w:rPr>
            </w:pPr>
            <w:r w:rsidDel="00000000" w:rsidR="00000000" w:rsidRPr="00000000">
              <w:rPr>
                <w:sz w:val="16"/>
                <w:szCs w:val="16"/>
                <w:rtl w:val="0"/>
              </w:rPr>
              <w:t xml:space="preserve">Sept. 20</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4C">
            <w:pPr>
              <w:keepNext w:val="1"/>
              <w:widowControl w:val="0"/>
              <w:spacing w:line="240" w:lineRule="auto"/>
              <w:jc w:val="center"/>
              <w:rPr>
                <w:sz w:val="16"/>
                <w:szCs w:val="16"/>
              </w:rPr>
            </w:pPr>
            <w:r w:rsidDel="00000000" w:rsidR="00000000" w:rsidRPr="00000000">
              <w:rPr>
                <w:sz w:val="16"/>
                <w:szCs w:val="16"/>
                <w:rtl w:val="0"/>
              </w:rPr>
              <w:t xml:space="preserve">Microbial food webs II</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4D">
            <w:pPr>
              <w:keepNext w:val="1"/>
              <w:widowControl w:val="0"/>
              <w:spacing w:line="240" w:lineRule="auto"/>
              <w:jc w:val="center"/>
              <w:rPr>
                <w:sz w:val="16"/>
                <w:szCs w:val="16"/>
              </w:rPr>
            </w:pPr>
            <w:r w:rsidDel="00000000" w:rsidR="00000000" w:rsidRPr="00000000">
              <w:rPr>
                <w:sz w:val="16"/>
                <w:szCs w:val="16"/>
                <w:rtl w:val="0"/>
              </w:rPr>
              <w:t xml:space="preserve">Flow cytometry &amp; Zooscan </w:t>
            </w:r>
          </w:p>
        </w:tc>
      </w:tr>
      <w:tr>
        <w:trPr>
          <w:cantSplit w:val="0"/>
          <w:trHeight w:val="230" w:hRule="atLeast"/>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4E">
            <w:pPr>
              <w:keepNext w:val="1"/>
              <w:widowControl w:val="0"/>
              <w:spacing w:line="240" w:lineRule="auto"/>
              <w:jc w:val="center"/>
              <w:rPr>
                <w:sz w:val="16"/>
                <w:szCs w:val="16"/>
              </w:rPr>
            </w:pPr>
            <w:r w:rsidDel="00000000" w:rsidR="00000000" w:rsidRPr="00000000">
              <w:rPr>
                <w:sz w:val="16"/>
                <w:szCs w:val="16"/>
                <w:rtl w:val="0"/>
              </w:rPr>
              <w:t xml:space="preserve">Sept. 22</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4F">
            <w:pPr>
              <w:keepNext w:val="1"/>
              <w:widowControl w:val="0"/>
              <w:spacing w:line="240" w:lineRule="auto"/>
              <w:jc w:val="center"/>
              <w:rPr>
                <w:sz w:val="16"/>
                <w:szCs w:val="16"/>
              </w:rPr>
            </w:pPr>
            <w:r w:rsidDel="00000000" w:rsidR="00000000" w:rsidRPr="00000000">
              <w:rPr>
                <w:sz w:val="16"/>
                <w:szCs w:val="16"/>
                <w:rtl w:val="0"/>
              </w:rPr>
              <w:t xml:space="preserve">Organism-Geochemical Interactions</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50">
            <w:pPr>
              <w:keepNext w:val="1"/>
              <w:widowControl w:val="0"/>
              <w:spacing w:line="240" w:lineRule="auto"/>
              <w:jc w:val="center"/>
              <w:rPr>
                <w:sz w:val="16"/>
                <w:szCs w:val="16"/>
              </w:rPr>
            </w:pPr>
            <w:r w:rsidDel="00000000" w:rsidR="00000000" w:rsidRPr="00000000">
              <w:rPr>
                <w:sz w:val="16"/>
                <w:szCs w:val="16"/>
                <w:rtl w:val="0"/>
              </w:rPr>
              <w:t xml:space="preserve">Nutrient amendments</w:t>
            </w:r>
          </w:p>
        </w:tc>
      </w:tr>
      <w:tr>
        <w:trPr>
          <w:cantSplit w:val="0"/>
          <w:trHeight w:val="230" w:hRule="atLeast"/>
          <w:tblHeader w:val="1"/>
        </w:trPr>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40.0" w:type="dxa"/>
            </w:tcMar>
          </w:tcPr>
          <w:p w:rsidR="00000000" w:rsidDel="00000000" w:rsidP="00000000" w:rsidRDefault="00000000" w:rsidRPr="00000000" w14:paraId="00000051">
            <w:pPr>
              <w:keepNext w:val="1"/>
              <w:widowControl w:val="0"/>
              <w:spacing w:line="240" w:lineRule="auto"/>
              <w:jc w:val="center"/>
              <w:rPr>
                <w:sz w:val="16"/>
                <w:szCs w:val="16"/>
                <w:shd w:fill="fce5cd" w:val="clear"/>
              </w:rPr>
            </w:pPr>
            <w:r w:rsidDel="00000000" w:rsidR="00000000" w:rsidRPr="00000000">
              <w:rPr>
                <w:sz w:val="16"/>
                <w:szCs w:val="16"/>
                <w:shd w:fill="fce5cd" w:val="clear"/>
                <w:rtl w:val="0"/>
              </w:rPr>
              <w:t xml:space="preserve">Sept. 27</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40.0" w:type="dxa"/>
              <w:bottom w:w="100.0" w:type="dxa"/>
              <w:right w:w="100.0" w:type="dxa"/>
            </w:tcMar>
          </w:tcPr>
          <w:p w:rsidR="00000000" w:rsidDel="00000000" w:rsidP="00000000" w:rsidRDefault="00000000" w:rsidRPr="00000000" w14:paraId="00000052">
            <w:pPr>
              <w:keepNext w:val="1"/>
              <w:widowControl w:val="0"/>
              <w:spacing w:line="240" w:lineRule="auto"/>
              <w:jc w:val="center"/>
              <w:rPr>
                <w:sz w:val="16"/>
                <w:szCs w:val="16"/>
              </w:rPr>
            </w:pPr>
            <w:r w:rsidDel="00000000" w:rsidR="00000000" w:rsidRPr="00000000">
              <w:rPr>
                <w:sz w:val="16"/>
                <w:szCs w:val="16"/>
                <w:rtl w:val="0"/>
              </w:rPr>
              <w:t xml:space="preserve">Continental shelf biogeochemistry</w:t>
            </w:r>
          </w:p>
        </w:tc>
        <w:tc>
          <w:tcPr>
            <w:tcBorders>
              <w:top w:color="bfbfbf" w:space="0" w:sz="8" w:val="single"/>
              <w:left w:color="bfbfbf" w:space="0" w:sz="8" w:val="single"/>
              <w:bottom w:color="bfbfbf" w:space="0" w:sz="8" w:val="single"/>
              <w:right w:color="bfbfbf" w:space="0" w:sz="8" w:val="single"/>
            </w:tcBorders>
            <w:shd w:fill="fce5cd" w:val="clear"/>
            <w:tcMar>
              <w:top w:w="100.0" w:type="dxa"/>
              <w:left w:w="120.0" w:type="dxa"/>
              <w:bottom w:w="100.0" w:type="dxa"/>
              <w:right w:w="20.0" w:type="dxa"/>
            </w:tcMar>
          </w:tcPr>
          <w:p w:rsidR="00000000" w:rsidDel="00000000" w:rsidP="00000000" w:rsidRDefault="00000000" w:rsidRPr="00000000" w14:paraId="00000053">
            <w:pPr>
              <w:keepNext w:val="1"/>
              <w:widowControl w:val="0"/>
              <w:spacing w:line="240" w:lineRule="auto"/>
              <w:jc w:val="center"/>
              <w:rPr>
                <w:sz w:val="16"/>
                <w:szCs w:val="16"/>
                <w:u w:val="single"/>
                <w:shd w:fill="fce5cd" w:val="clear"/>
              </w:rPr>
            </w:pPr>
            <w:r w:rsidDel="00000000" w:rsidR="00000000" w:rsidRPr="00000000">
              <w:rPr>
                <w:b w:val="1"/>
                <w:sz w:val="16"/>
                <w:szCs w:val="16"/>
                <w:u w:val="single"/>
                <w:rtl w:val="0"/>
              </w:rPr>
              <w:t xml:space="preserve">Cruise prep</w:t>
            </w:r>
            <w:r w:rsidDel="00000000" w:rsidR="00000000" w:rsidRPr="00000000">
              <w:rPr>
                <w:rtl w:val="0"/>
              </w:rPr>
            </w:r>
          </w:p>
        </w:tc>
      </w:tr>
      <w:tr>
        <w:trPr>
          <w:cantSplit w:val="0"/>
          <w:trHeight w:val="230" w:hRule="atLeast"/>
          <w:tblHeader w:val="1"/>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54">
            <w:pPr>
              <w:keepNext w:val="1"/>
              <w:widowControl w:val="0"/>
              <w:spacing w:line="240" w:lineRule="auto"/>
              <w:jc w:val="center"/>
              <w:rPr>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100.0" w:type="dxa"/>
            </w:tcMar>
          </w:tcPr>
          <w:p w:rsidR="00000000" w:rsidDel="00000000" w:rsidP="00000000" w:rsidRDefault="00000000" w:rsidRPr="00000000" w14:paraId="00000055">
            <w:pPr>
              <w:keepNext w:val="1"/>
              <w:widowControl w:val="0"/>
              <w:spacing w:line="240" w:lineRule="auto"/>
              <w:jc w:val="center"/>
              <w:rPr>
                <w:b w:val="1"/>
                <w:sz w:val="16"/>
                <w:szCs w:val="16"/>
              </w:rPr>
            </w:pPr>
            <w:r w:rsidDel="00000000" w:rsidR="00000000" w:rsidRPr="00000000">
              <w:rPr>
                <w:b w:val="1"/>
                <w:sz w:val="16"/>
                <w:szCs w:val="16"/>
                <w:rtl w:val="0"/>
              </w:rPr>
              <w:t xml:space="preserve">II. CHEMICAL CONTROLS</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120.0" w:type="dxa"/>
              <w:bottom w:w="100.0" w:type="dxa"/>
              <w:right w:w="20.0" w:type="dxa"/>
            </w:tcMar>
          </w:tcPr>
          <w:p w:rsidR="00000000" w:rsidDel="00000000" w:rsidP="00000000" w:rsidRDefault="00000000" w:rsidRPr="00000000" w14:paraId="00000056">
            <w:pPr>
              <w:keepNext w:val="1"/>
              <w:widowControl w:val="0"/>
              <w:spacing w:line="240" w:lineRule="auto"/>
              <w:jc w:val="center"/>
              <w:rPr>
                <w:sz w:val="16"/>
                <w:szCs w:val="16"/>
              </w:rPr>
            </w:pPr>
            <w:r w:rsidDel="00000000" w:rsidR="00000000" w:rsidRPr="00000000">
              <w:rPr>
                <w:rtl w:val="0"/>
              </w:rPr>
            </w:r>
          </w:p>
        </w:tc>
      </w:tr>
      <w:tr>
        <w:trPr>
          <w:cantSplit w:val="0"/>
          <w:trHeight w:val="359" w:hRule="atLeast"/>
          <w:tblHeader w:val="1"/>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57">
            <w:pPr>
              <w:keepNext w:val="1"/>
              <w:widowControl w:val="0"/>
              <w:spacing w:line="240" w:lineRule="auto"/>
              <w:jc w:val="center"/>
              <w:rPr>
                <w:sz w:val="16"/>
                <w:szCs w:val="16"/>
              </w:rPr>
            </w:pPr>
            <w:r w:rsidDel="00000000" w:rsidR="00000000" w:rsidRPr="00000000">
              <w:rPr>
                <w:sz w:val="16"/>
                <w:szCs w:val="16"/>
                <w:rtl w:val="0"/>
              </w:rPr>
              <w:t xml:space="preserve">Sept. 29</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100.0" w:type="dxa"/>
            </w:tcMar>
          </w:tcPr>
          <w:p w:rsidR="00000000" w:rsidDel="00000000" w:rsidP="00000000" w:rsidRDefault="00000000" w:rsidRPr="00000000" w14:paraId="00000058">
            <w:pPr>
              <w:keepNext w:val="1"/>
              <w:widowControl w:val="0"/>
              <w:spacing w:line="240" w:lineRule="auto"/>
              <w:jc w:val="center"/>
              <w:rPr>
                <w:sz w:val="16"/>
                <w:szCs w:val="16"/>
              </w:rPr>
            </w:pPr>
            <w:r w:rsidDel="00000000" w:rsidR="00000000" w:rsidRPr="00000000">
              <w:rPr>
                <w:sz w:val="16"/>
                <w:szCs w:val="16"/>
                <w:rtl w:val="0"/>
              </w:rPr>
              <w:t xml:space="preserve">Water column processes </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120.0" w:type="dxa"/>
              <w:bottom w:w="100.0" w:type="dxa"/>
              <w:right w:w="20.0" w:type="dxa"/>
            </w:tcMar>
          </w:tcPr>
          <w:p w:rsidR="00000000" w:rsidDel="00000000" w:rsidP="00000000" w:rsidRDefault="00000000" w:rsidRPr="00000000" w14:paraId="00000059">
            <w:pPr>
              <w:keepNext w:val="1"/>
              <w:widowControl w:val="0"/>
              <w:spacing w:line="240" w:lineRule="auto"/>
              <w:jc w:val="center"/>
              <w:rPr>
                <w:b w:val="1"/>
                <w:sz w:val="16"/>
                <w:szCs w:val="16"/>
              </w:rPr>
            </w:pPr>
            <w:r w:rsidDel="00000000" w:rsidR="00000000" w:rsidRPr="00000000">
              <w:rPr>
                <w:sz w:val="16"/>
                <w:szCs w:val="16"/>
                <w:rtl w:val="0"/>
              </w:rPr>
              <w:t xml:space="preserve">Dissolved oxygen titrations </w:t>
            </w:r>
            <w:r w:rsidDel="00000000" w:rsidR="00000000" w:rsidRPr="00000000">
              <w:rPr>
                <w:rtl w:val="0"/>
              </w:rPr>
            </w:r>
          </w:p>
        </w:tc>
      </w:tr>
      <w:tr>
        <w:trPr>
          <w:cantSplit w:val="0"/>
          <w:trHeight w:val="359" w:hRule="atLeast"/>
          <w:tblHeader w:val="1"/>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5A">
            <w:pPr>
              <w:keepNext w:val="1"/>
              <w:widowControl w:val="0"/>
              <w:spacing w:line="240" w:lineRule="auto"/>
              <w:jc w:val="center"/>
              <w:rPr>
                <w:sz w:val="16"/>
                <w:szCs w:val="16"/>
              </w:rPr>
            </w:pPr>
            <w:r w:rsidDel="00000000" w:rsidR="00000000" w:rsidRPr="00000000">
              <w:rPr>
                <w:sz w:val="16"/>
                <w:szCs w:val="16"/>
                <w:rtl w:val="0"/>
              </w:rPr>
              <w:t xml:space="preserve">Oct. 4</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100.0" w:type="dxa"/>
            </w:tcMar>
          </w:tcPr>
          <w:p w:rsidR="00000000" w:rsidDel="00000000" w:rsidP="00000000" w:rsidRDefault="00000000" w:rsidRPr="00000000" w14:paraId="0000005B">
            <w:pPr>
              <w:keepNext w:val="1"/>
              <w:widowControl w:val="0"/>
              <w:spacing w:line="240" w:lineRule="auto"/>
              <w:jc w:val="center"/>
              <w:rPr>
                <w:sz w:val="16"/>
                <w:szCs w:val="16"/>
              </w:rPr>
            </w:pPr>
            <w:r w:rsidDel="00000000" w:rsidR="00000000" w:rsidRPr="00000000">
              <w:rPr>
                <w:sz w:val="16"/>
                <w:szCs w:val="16"/>
                <w:rtl w:val="0"/>
              </w:rPr>
              <w:t xml:space="preserve">Organic matter sources and sinks</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120.0" w:type="dxa"/>
              <w:bottom w:w="100.0" w:type="dxa"/>
              <w:right w:w="20.0" w:type="dxa"/>
            </w:tcMar>
          </w:tcPr>
          <w:p w:rsidR="00000000" w:rsidDel="00000000" w:rsidP="00000000" w:rsidRDefault="00000000" w:rsidRPr="00000000" w14:paraId="0000005C">
            <w:pPr>
              <w:keepNext w:val="1"/>
              <w:widowControl w:val="0"/>
              <w:spacing w:line="240" w:lineRule="auto"/>
              <w:jc w:val="center"/>
              <w:rPr>
                <w:sz w:val="16"/>
                <w:szCs w:val="16"/>
              </w:rPr>
            </w:pPr>
            <w:r w:rsidDel="00000000" w:rsidR="00000000" w:rsidRPr="00000000">
              <w:rPr>
                <w:sz w:val="16"/>
                <w:szCs w:val="16"/>
                <w:rtl w:val="0"/>
              </w:rPr>
              <w:t xml:space="preserve">Ammonium quantification </w:t>
            </w:r>
          </w:p>
        </w:tc>
      </w:tr>
      <w:tr>
        <w:trPr>
          <w:cantSplit w:val="0"/>
          <w:trHeight w:val="359" w:hRule="atLeast"/>
          <w:tblHeader w:val="1"/>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5D">
            <w:pPr>
              <w:keepNext w:val="1"/>
              <w:widowControl w:val="0"/>
              <w:spacing w:line="240" w:lineRule="auto"/>
              <w:jc w:val="center"/>
              <w:rPr>
                <w:sz w:val="16"/>
                <w:szCs w:val="16"/>
              </w:rPr>
            </w:pPr>
            <w:r w:rsidDel="00000000" w:rsidR="00000000" w:rsidRPr="00000000">
              <w:rPr>
                <w:sz w:val="16"/>
                <w:szCs w:val="16"/>
                <w:rtl w:val="0"/>
              </w:rPr>
              <w:t xml:space="preserve">Oct. 6</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100.0" w:type="dxa"/>
            </w:tcMar>
          </w:tcPr>
          <w:p w:rsidR="00000000" w:rsidDel="00000000" w:rsidP="00000000" w:rsidRDefault="00000000" w:rsidRPr="00000000" w14:paraId="0000005E">
            <w:pPr>
              <w:keepNext w:val="1"/>
              <w:widowControl w:val="0"/>
              <w:spacing w:line="240" w:lineRule="auto"/>
              <w:jc w:val="center"/>
              <w:rPr>
                <w:sz w:val="16"/>
                <w:szCs w:val="16"/>
              </w:rPr>
            </w:pPr>
            <w:r w:rsidDel="00000000" w:rsidR="00000000" w:rsidRPr="00000000">
              <w:rPr>
                <w:sz w:val="16"/>
                <w:szCs w:val="16"/>
                <w:rtl w:val="0"/>
              </w:rPr>
              <w:t xml:space="preserve">Biogeochemical and elemental cycling In the coastal zone I</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120.0" w:type="dxa"/>
              <w:bottom w:w="100.0" w:type="dxa"/>
              <w:right w:w="20.0" w:type="dxa"/>
            </w:tcMar>
          </w:tcPr>
          <w:p w:rsidR="00000000" w:rsidDel="00000000" w:rsidP="00000000" w:rsidRDefault="00000000" w:rsidRPr="00000000" w14:paraId="0000005F">
            <w:pPr>
              <w:keepNext w:val="1"/>
              <w:widowControl w:val="0"/>
              <w:spacing w:line="240" w:lineRule="auto"/>
              <w:jc w:val="center"/>
              <w:rPr>
                <w:sz w:val="16"/>
                <w:szCs w:val="16"/>
              </w:rPr>
            </w:pPr>
            <w:r w:rsidDel="00000000" w:rsidR="00000000" w:rsidRPr="00000000">
              <w:rPr>
                <w:sz w:val="16"/>
                <w:szCs w:val="16"/>
                <w:rtl w:val="0"/>
              </w:rPr>
              <w:t xml:space="preserve">Dock sampling &amp; vertical profiling</w:t>
            </w:r>
          </w:p>
        </w:tc>
      </w:tr>
      <w:tr>
        <w:trPr>
          <w:cantSplit w:val="0"/>
          <w:trHeight w:val="359" w:hRule="atLeast"/>
          <w:tblHeader w:val="0"/>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60">
            <w:pPr>
              <w:keepNext w:val="1"/>
              <w:widowControl w:val="0"/>
              <w:spacing w:line="240" w:lineRule="auto"/>
              <w:jc w:val="center"/>
              <w:rPr>
                <w:sz w:val="16"/>
                <w:szCs w:val="16"/>
              </w:rPr>
            </w:pPr>
            <w:r w:rsidDel="00000000" w:rsidR="00000000" w:rsidRPr="00000000">
              <w:rPr>
                <w:sz w:val="16"/>
                <w:szCs w:val="16"/>
                <w:rtl w:val="0"/>
              </w:rPr>
              <w:t xml:space="preserve">Oct. 11</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100.0" w:type="dxa"/>
            </w:tcMar>
          </w:tcPr>
          <w:p w:rsidR="00000000" w:rsidDel="00000000" w:rsidP="00000000" w:rsidRDefault="00000000" w:rsidRPr="00000000" w14:paraId="00000061">
            <w:pPr>
              <w:keepNext w:val="1"/>
              <w:widowControl w:val="0"/>
              <w:spacing w:line="240" w:lineRule="auto"/>
              <w:jc w:val="center"/>
              <w:rPr>
                <w:b w:val="1"/>
                <w:sz w:val="16"/>
                <w:szCs w:val="16"/>
              </w:rPr>
            </w:pPr>
            <w:r w:rsidDel="00000000" w:rsidR="00000000" w:rsidRPr="00000000">
              <w:rPr>
                <w:b w:val="1"/>
                <w:sz w:val="16"/>
                <w:szCs w:val="16"/>
                <w:rtl w:val="0"/>
              </w:rPr>
              <w:t xml:space="preserve">Exam 1</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100.0" w:type="dxa"/>
            </w:tcMar>
          </w:tcPr>
          <w:p w:rsidR="00000000" w:rsidDel="00000000" w:rsidP="00000000" w:rsidRDefault="00000000" w:rsidRPr="00000000" w14:paraId="00000062">
            <w:pPr>
              <w:keepNext w:val="1"/>
              <w:widowControl w:val="0"/>
              <w:spacing w:line="240" w:lineRule="auto"/>
              <w:jc w:val="center"/>
              <w:rPr>
                <w:b w:val="1"/>
                <w:sz w:val="16"/>
                <w:szCs w:val="16"/>
              </w:rPr>
            </w:pPr>
            <w:r w:rsidDel="00000000" w:rsidR="00000000" w:rsidRPr="00000000">
              <w:rPr>
                <w:b w:val="1"/>
                <w:sz w:val="16"/>
                <w:szCs w:val="16"/>
                <w:rtl w:val="0"/>
              </w:rPr>
              <w:t xml:space="preserve">Practical</w:t>
            </w:r>
          </w:p>
        </w:tc>
      </w:tr>
      <w:tr>
        <w:trPr>
          <w:cantSplit w:val="0"/>
          <w:trHeight w:val="359" w:hRule="atLeast"/>
          <w:tblHeader w:val="0"/>
        </w:trPr>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40.0" w:type="dxa"/>
            </w:tcMar>
          </w:tcPr>
          <w:p w:rsidR="00000000" w:rsidDel="00000000" w:rsidP="00000000" w:rsidRDefault="00000000" w:rsidRPr="00000000" w14:paraId="00000063">
            <w:pPr>
              <w:keepNext w:val="1"/>
              <w:widowControl w:val="0"/>
              <w:spacing w:line="240" w:lineRule="auto"/>
              <w:jc w:val="center"/>
              <w:rPr>
                <w:sz w:val="16"/>
                <w:szCs w:val="16"/>
              </w:rPr>
            </w:pPr>
            <w:r w:rsidDel="00000000" w:rsidR="00000000" w:rsidRPr="00000000">
              <w:rPr>
                <w:sz w:val="16"/>
                <w:szCs w:val="16"/>
                <w:rtl w:val="0"/>
              </w:rPr>
              <w:t xml:space="preserve">Oct. 13</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40.0" w:type="dxa"/>
              <w:bottom w:w="100.0" w:type="dxa"/>
              <w:right w:w="100.0" w:type="dxa"/>
            </w:tcMar>
          </w:tcPr>
          <w:p w:rsidR="00000000" w:rsidDel="00000000" w:rsidP="00000000" w:rsidRDefault="00000000" w:rsidRPr="00000000" w14:paraId="00000064">
            <w:pPr>
              <w:keepNext w:val="1"/>
              <w:widowControl w:val="0"/>
              <w:spacing w:line="240" w:lineRule="auto"/>
              <w:jc w:val="center"/>
              <w:rPr>
                <w:sz w:val="16"/>
                <w:szCs w:val="16"/>
              </w:rPr>
            </w:pPr>
            <w:r w:rsidDel="00000000" w:rsidR="00000000" w:rsidRPr="00000000">
              <w:rPr>
                <w:sz w:val="16"/>
                <w:szCs w:val="16"/>
                <w:rtl w:val="0"/>
              </w:rPr>
              <w:t xml:space="preserve">Biogeochemical and elemental cycling In the coastal zone II</w:t>
            </w:r>
          </w:p>
        </w:tc>
        <w:tc>
          <w:tcPr>
            <w:tcBorders>
              <w:top w:color="bfbfbf" w:space="0" w:sz="8" w:val="single"/>
              <w:left w:color="bfbfbf" w:space="0" w:sz="8" w:val="single"/>
              <w:bottom w:color="bfbfbf" w:space="0" w:sz="8" w:val="single"/>
              <w:right w:color="bfbfbf" w:space="0" w:sz="8" w:val="single"/>
            </w:tcBorders>
            <w:shd w:fill="d9ead3" w:val="clear"/>
            <w:tcMar>
              <w:top w:w="100.0" w:type="dxa"/>
              <w:left w:w="120.0" w:type="dxa"/>
              <w:bottom w:w="100.0" w:type="dxa"/>
              <w:right w:w="20.0" w:type="dxa"/>
            </w:tcMar>
          </w:tcPr>
          <w:p w:rsidR="00000000" w:rsidDel="00000000" w:rsidP="00000000" w:rsidRDefault="00000000" w:rsidRPr="00000000" w14:paraId="00000065">
            <w:pPr>
              <w:keepNext w:val="1"/>
              <w:widowControl w:val="0"/>
              <w:spacing w:line="240" w:lineRule="auto"/>
              <w:jc w:val="center"/>
              <w:rPr>
                <w:sz w:val="16"/>
                <w:szCs w:val="16"/>
              </w:rPr>
            </w:pPr>
            <w:r w:rsidDel="00000000" w:rsidR="00000000" w:rsidRPr="00000000">
              <w:rPr>
                <w:sz w:val="16"/>
                <w:szCs w:val="16"/>
                <w:rtl w:val="0"/>
              </w:rPr>
              <w:t xml:space="preserve">Dissolved &amp; dissolvable Fe quantification</w:t>
            </w:r>
          </w:p>
        </w:tc>
      </w:tr>
      <w:tr>
        <w:trPr>
          <w:cantSplit w:val="0"/>
          <w:trHeight w:val="272" w:hRule="atLeast"/>
          <w:tblHeader w:val="0"/>
        </w:trPr>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40.0" w:type="dxa"/>
            </w:tcMar>
          </w:tcPr>
          <w:p w:rsidR="00000000" w:rsidDel="00000000" w:rsidP="00000000" w:rsidRDefault="00000000" w:rsidRPr="00000000" w14:paraId="00000066">
            <w:pPr>
              <w:keepNext w:val="1"/>
              <w:widowControl w:val="0"/>
              <w:spacing w:line="240" w:lineRule="auto"/>
              <w:jc w:val="center"/>
              <w:rPr>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100.0" w:type="dxa"/>
            </w:tcMar>
          </w:tcPr>
          <w:p w:rsidR="00000000" w:rsidDel="00000000" w:rsidP="00000000" w:rsidRDefault="00000000" w:rsidRPr="00000000" w14:paraId="00000067">
            <w:pPr>
              <w:keepNext w:val="1"/>
              <w:widowControl w:val="0"/>
              <w:spacing w:line="240" w:lineRule="auto"/>
              <w:jc w:val="center"/>
              <w:rPr>
                <w:b w:val="1"/>
                <w:sz w:val="16"/>
                <w:szCs w:val="16"/>
              </w:rPr>
            </w:pPr>
            <w:r w:rsidDel="00000000" w:rsidR="00000000" w:rsidRPr="00000000">
              <w:rPr>
                <w:b w:val="1"/>
                <w:sz w:val="16"/>
                <w:szCs w:val="16"/>
                <w:rtl w:val="0"/>
              </w:rPr>
              <w:t xml:space="preserve">III. GEOLOGICAL PROCESSES</w:t>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120.0" w:type="dxa"/>
              <w:bottom w:w="100.0" w:type="dxa"/>
              <w:right w:w="20.0" w:type="dxa"/>
            </w:tcMar>
          </w:tcPr>
          <w:p w:rsidR="00000000" w:rsidDel="00000000" w:rsidP="00000000" w:rsidRDefault="00000000" w:rsidRPr="00000000" w14:paraId="00000068">
            <w:pPr>
              <w:keepNext w:val="1"/>
              <w:widowControl w:val="0"/>
              <w:spacing w:line="240" w:lineRule="auto"/>
              <w:jc w:val="center"/>
              <w:rPr>
                <w:sz w:val="16"/>
                <w:szCs w:val="16"/>
              </w:rPr>
            </w:pPr>
            <w:r w:rsidDel="00000000" w:rsidR="00000000" w:rsidRPr="00000000">
              <w:rPr>
                <w:rtl w:val="0"/>
              </w:rPr>
            </w:r>
          </w:p>
        </w:tc>
      </w:tr>
      <w:tr>
        <w:trPr>
          <w:cantSplit w:val="0"/>
          <w:trHeight w:val="272" w:hRule="atLeast"/>
          <w:tblHeader w:val="0"/>
        </w:trPr>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40.0" w:type="dxa"/>
            </w:tcMar>
          </w:tcPr>
          <w:p w:rsidR="00000000" w:rsidDel="00000000" w:rsidP="00000000" w:rsidRDefault="00000000" w:rsidRPr="00000000" w14:paraId="00000069">
            <w:pPr>
              <w:keepNext w:val="1"/>
              <w:widowControl w:val="0"/>
              <w:spacing w:line="240" w:lineRule="auto"/>
              <w:jc w:val="center"/>
              <w:rPr>
                <w:sz w:val="16"/>
                <w:szCs w:val="16"/>
              </w:rPr>
            </w:pPr>
            <w:r w:rsidDel="00000000" w:rsidR="00000000" w:rsidRPr="00000000">
              <w:rPr>
                <w:sz w:val="16"/>
                <w:szCs w:val="16"/>
                <w:rtl w:val="0"/>
              </w:rPr>
              <w:t xml:space="preserve">Oct. 18</w:t>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100.0" w:type="dxa"/>
            </w:tcMar>
          </w:tcPr>
          <w:p w:rsidR="00000000" w:rsidDel="00000000" w:rsidP="00000000" w:rsidRDefault="00000000" w:rsidRPr="00000000" w14:paraId="0000006A">
            <w:pPr>
              <w:keepNext w:val="1"/>
              <w:widowControl w:val="0"/>
              <w:spacing w:line="240" w:lineRule="auto"/>
              <w:jc w:val="center"/>
              <w:rPr>
                <w:sz w:val="16"/>
                <w:szCs w:val="16"/>
              </w:rPr>
            </w:pPr>
            <w:r w:rsidDel="00000000" w:rsidR="00000000" w:rsidRPr="00000000">
              <w:rPr>
                <w:sz w:val="16"/>
                <w:szCs w:val="16"/>
                <w:rtl w:val="0"/>
              </w:rPr>
              <w:t xml:space="preserve">Coastal and marine sediments (Guest Lecture by Clark Alexander)</w:t>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120.0" w:type="dxa"/>
              <w:bottom w:w="100.0" w:type="dxa"/>
              <w:right w:w="20.0" w:type="dxa"/>
            </w:tcMar>
          </w:tcPr>
          <w:p w:rsidR="00000000" w:rsidDel="00000000" w:rsidP="00000000" w:rsidRDefault="00000000" w:rsidRPr="00000000" w14:paraId="0000006B">
            <w:pPr>
              <w:keepNext w:val="1"/>
              <w:widowControl w:val="0"/>
              <w:spacing w:line="240" w:lineRule="auto"/>
              <w:jc w:val="center"/>
              <w:rPr>
                <w:sz w:val="16"/>
                <w:szCs w:val="16"/>
              </w:rPr>
            </w:pPr>
            <w:r w:rsidDel="00000000" w:rsidR="00000000" w:rsidRPr="00000000">
              <w:rPr>
                <w:sz w:val="16"/>
                <w:szCs w:val="16"/>
                <w:rtl w:val="0"/>
              </w:rPr>
              <w:t xml:space="preserve">Sediment analysis</w:t>
            </w:r>
          </w:p>
        </w:tc>
      </w:tr>
      <w:tr>
        <w:trPr>
          <w:cantSplit w:val="0"/>
          <w:trHeight w:val="324" w:hRule="atLeast"/>
          <w:tblHeader w:val="0"/>
        </w:trPr>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40.0" w:type="dxa"/>
            </w:tcMar>
          </w:tcPr>
          <w:p w:rsidR="00000000" w:rsidDel="00000000" w:rsidP="00000000" w:rsidRDefault="00000000" w:rsidRPr="00000000" w14:paraId="0000006C">
            <w:pPr>
              <w:keepNext w:val="1"/>
              <w:widowControl w:val="0"/>
              <w:spacing w:line="240" w:lineRule="auto"/>
              <w:jc w:val="center"/>
              <w:rPr>
                <w:sz w:val="16"/>
                <w:szCs w:val="16"/>
              </w:rPr>
            </w:pPr>
            <w:r w:rsidDel="00000000" w:rsidR="00000000" w:rsidRPr="00000000">
              <w:rPr>
                <w:sz w:val="16"/>
                <w:szCs w:val="16"/>
                <w:rtl w:val="0"/>
              </w:rPr>
              <w:t xml:space="preserve">Oct. 20</w:t>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100.0" w:type="dxa"/>
            </w:tcMar>
          </w:tcPr>
          <w:p w:rsidR="00000000" w:rsidDel="00000000" w:rsidP="00000000" w:rsidRDefault="00000000" w:rsidRPr="00000000" w14:paraId="0000006D">
            <w:pPr>
              <w:keepNext w:val="1"/>
              <w:widowControl w:val="0"/>
              <w:spacing w:line="240" w:lineRule="auto"/>
              <w:jc w:val="center"/>
              <w:rPr>
                <w:sz w:val="16"/>
                <w:szCs w:val="16"/>
              </w:rPr>
            </w:pPr>
            <w:r w:rsidDel="00000000" w:rsidR="00000000" w:rsidRPr="00000000">
              <w:rPr>
                <w:sz w:val="16"/>
                <w:szCs w:val="16"/>
                <w:rtl w:val="0"/>
              </w:rPr>
              <w:t xml:space="preserve">Coastal geologic processes &amp; barrier islands </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100.0" w:type="dxa"/>
            </w:tcMar>
          </w:tcPr>
          <w:p w:rsidR="00000000" w:rsidDel="00000000" w:rsidP="00000000" w:rsidRDefault="00000000" w:rsidRPr="00000000" w14:paraId="0000006E">
            <w:pPr>
              <w:keepNext w:val="1"/>
              <w:widowControl w:val="0"/>
              <w:spacing w:line="240" w:lineRule="auto"/>
              <w:jc w:val="center"/>
              <w:rPr>
                <w:sz w:val="16"/>
                <w:szCs w:val="16"/>
              </w:rPr>
            </w:pPr>
            <w:r w:rsidDel="00000000" w:rsidR="00000000" w:rsidRPr="00000000">
              <w:rPr>
                <w:sz w:val="16"/>
                <w:szCs w:val="16"/>
                <w:rtl w:val="0"/>
              </w:rPr>
              <w:t xml:space="preserve">Class time for cruise processing</w:t>
            </w:r>
          </w:p>
        </w:tc>
      </w:tr>
      <w:tr>
        <w:trPr>
          <w:cantSplit w:val="0"/>
          <w:trHeight w:val="324" w:hRule="atLeast"/>
          <w:tblHeader w:val="0"/>
        </w:trPr>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40.0" w:type="dxa"/>
            </w:tcMar>
          </w:tcPr>
          <w:p w:rsidR="00000000" w:rsidDel="00000000" w:rsidP="00000000" w:rsidRDefault="00000000" w:rsidRPr="00000000" w14:paraId="0000006F">
            <w:pPr>
              <w:keepNext w:val="1"/>
              <w:widowControl w:val="0"/>
              <w:spacing w:line="240" w:lineRule="auto"/>
              <w:jc w:val="center"/>
              <w:rPr>
                <w:sz w:val="16"/>
                <w:szCs w:val="16"/>
              </w:rPr>
            </w:pPr>
            <w:r w:rsidDel="00000000" w:rsidR="00000000" w:rsidRPr="00000000">
              <w:rPr>
                <w:sz w:val="16"/>
                <w:szCs w:val="16"/>
                <w:rtl w:val="0"/>
              </w:rPr>
              <w:t xml:space="preserve">Oct. 25</w:t>
            </w:r>
          </w:p>
        </w:tc>
        <w:tc>
          <w:tcPr>
            <w:tcBorders>
              <w:top w:color="bfbfbf" w:space="0" w:sz="8" w:val="single"/>
              <w:left w:color="bfbfbf" w:space="0" w:sz="8" w:val="single"/>
              <w:bottom w:color="bfbfbf" w:space="0" w:sz="8" w:val="single"/>
              <w:right w:color="bfbfbf" w:space="0" w:sz="8" w:val="single"/>
            </w:tcBorders>
            <w:shd w:fill="cfe2f3" w:val="clear"/>
            <w:tcMar>
              <w:top w:w="100.0" w:type="dxa"/>
              <w:left w:w="40.0" w:type="dxa"/>
              <w:bottom w:w="100.0" w:type="dxa"/>
              <w:right w:w="100.0" w:type="dxa"/>
            </w:tcMar>
          </w:tcPr>
          <w:p w:rsidR="00000000" w:rsidDel="00000000" w:rsidP="00000000" w:rsidRDefault="00000000" w:rsidRPr="00000000" w14:paraId="00000070">
            <w:pPr>
              <w:keepNext w:val="1"/>
              <w:widowControl w:val="0"/>
              <w:spacing w:line="240" w:lineRule="auto"/>
              <w:jc w:val="center"/>
              <w:rPr>
                <w:sz w:val="16"/>
                <w:szCs w:val="16"/>
              </w:rPr>
            </w:pPr>
            <w:r w:rsidDel="00000000" w:rsidR="00000000" w:rsidRPr="00000000">
              <w:rPr>
                <w:sz w:val="16"/>
                <w:szCs w:val="16"/>
                <w:rtl w:val="0"/>
              </w:rPr>
              <w:t xml:space="preserve">Anthropogenic impacts </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100.0" w:type="dxa"/>
            </w:tcMar>
          </w:tcPr>
          <w:p w:rsidR="00000000" w:rsidDel="00000000" w:rsidP="00000000" w:rsidRDefault="00000000" w:rsidRPr="00000000" w14:paraId="00000071">
            <w:pPr>
              <w:keepNext w:val="1"/>
              <w:widowControl w:val="0"/>
              <w:spacing w:line="240" w:lineRule="auto"/>
              <w:jc w:val="center"/>
              <w:rPr>
                <w:sz w:val="16"/>
                <w:szCs w:val="16"/>
              </w:rPr>
            </w:pPr>
            <w:r w:rsidDel="00000000" w:rsidR="00000000" w:rsidRPr="00000000">
              <w:rPr>
                <w:sz w:val="16"/>
                <w:szCs w:val="16"/>
                <w:rtl w:val="0"/>
              </w:rPr>
              <w:t xml:space="preserve">Class time for cruise processing</w:t>
            </w:r>
          </w:p>
        </w:tc>
      </w:tr>
      <w:tr>
        <w:trPr>
          <w:cantSplit w:val="0"/>
          <w:trHeight w:val="324" w:hRule="atLeast"/>
          <w:tblHeader w:val="0"/>
        </w:trPr>
        <w:tc>
          <w:tcPr>
            <w:tcBorders>
              <w:top w:color="bfbfbf" w:space="0" w:sz="8" w:val="single"/>
              <w:left w:color="bfbfbf" w:space="0" w:sz="8" w:val="single"/>
              <w:bottom w:color="bfbfbf" w:space="0" w:sz="8" w:val="single"/>
              <w:right w:color="bfbfbf" w:space="0" w:sz="8" w:val="single"/>
            </w:tcBorders>
            <w:shd w:fill="f3f3f3" w:val="clear"/>
            <w:tcMar>
              <w:top w:w="100.0" w:type="dxa"/>
              <w:left w:w="40.0" w:type="dxa"/>
              <w:bottom w:w="100.0" w:type="dxa"/>
              <w:right w:w="40.0" w:type="dxa"/>
            </w:tcMar>
          </w:tcPr>
          <w:p w:rsidR="00000000" w:rsidDel="00000000" w:rsidP="00000000" w:rsidRDefault="00000000" w:rsidRPr="00000000" w14:paraId="00000072">
            <w:pPr>
              <w:keepNext w:val="1"/>
              <w:widowControl w:val="0"/>
              <w:spacing w:line="240" w:lineRule="auto"/>
              <w:jc w:val="center"/>
              <w:rPr>
                <w:sz w:val="16"/>
                <w:szCs w:val="16"/>
              </w:rPr>
            </w:pPr>
            <w:r w:rsidDel="00000000" w:rsidR="00000000" w:rsidRPr="00000000">
              <w:rPr>
                <w:sz w:val="16"/>
                <w:szCs w:val="16"/>
                <w:rtl w:val="0"/>
              </w:rPr>
              <w:t xml:space="preserve">Oct. 27</w:t>
            </w:r>
          </w:p>
        </w:tc>
        <w:tc>
          <w:tcPr>
            <w:tcBorders>
              <w:top w:color="bfbfbf" w:space="0" w:sz="8" w:val="single"/>
              <w:left w:color="bfbfbf" w:space="0" w:sz="8" w:val="single"/>
              <w:bottom w:color="bfbfbf" w:space="0" w:sz="8" w:val="single"/>
              <w:right w:color="bfbfbf" w:space="0" w:sz="8" w:val="single"/>
            </w:tcBorders>
            <w:shd w:fill="f3f3f3" w:val="clear"/>
            <w:tcMar>
              <w:top w:w="100.0" w:type="dxa"/>
              <w:left w:w="40.0" w:type="dxa"/>
              <w:bottom w:w="100.0" w:type="dxa"/>
              <w:right w:w="100.0" w:type="dxa"/>
            </w:tcMar>
          </w:tcPr>
          <w:p w:rsidR="00000000" w:rsidDel="00000000" w:rsidP="00000000" w:rsidRDefault="00000000" w:rsidRPr="00000000" w14:paraId="00000073">
            <w:pPr>
              <w:keepNext w:val="1"/>
              <w:widowControl w:val="0"/>
              <w:spacing w:line="240" w:lineRule="auto"/>
              <w:jc w:val="center"/>
              <w:rPr>
                <w:b w:val="1"/>
                <w:sz w:val="16"/>
                <w:szCs w:val="16"/>
              </w:rPr>
            </w:pPr>
            <w:r w:rsidDel="00000000" w:rsidR="00000000" w:rsidRPr="00000000">
              <w:rPr>
                <w:b w:val="1"/>
                <w:sz w:val="16"/>
                <w:szCs w:val="16"/>
                <w:rtl w:val="0"/>
              </w:rPr>
              <w:t xml:space="preserve">Class presentations</w:t>
            </w:r>
          </w:p>
        </w:tc>
        <w:tc>
          <w:tcPr>
            <w:tcBorders>
              <w:top w:color="bfbfbf" w:space="0" w:sz="8" w:val="single"/>
              <w:left w:color="bfbfbf" w:space="0" w:sz="8" w:val="single"/>
              <w:bottom w:color="bfbfbf" w:space="0" w:sz="8" w:val="single"/>
              <w:right w:color="bfbfbf" w:space="0" w:sz="8" w:val="single"/>
            </w:tcBorders>
            <w:shd w:fill="f3f3f3" w:val="clear"/>
            <w:tcMar>
              <w:top w:w="100.0" w:type="dxa"/>
              <w:left w:w="120.0" w:type="dxa"/>
              <w:bottom w:w="100.0" w:type="dxa"/>
              <w:right w:w="20.0" w:type="dxa"/>
            </w:tcMar>
          </w:tcPr>
          <w:p w:rsidR="00000000" w:rsidDel="00000000" w:rsidP="00000000" w:rsidRDefault="00000000" w:rsidRPr="00000000" w14:paraId="00000074">
            <w:pPr>
              <w:keepNext w:val="1"/>
              <w:widowControl w:val="0"/>
              <w:spacing w:line="240" w:lineRule="auto"/>
              <w:jc w:val="center"/>
              <w:rPr>
                <w:sz w:val="16"/>
                <w:szCs w:val="16"/>
              </w:rPr>
            </w:pPr>
            <w:r w:rsidDel="00000000" w:rsidR="00000000" w:rsidRPr="00000000">
              <w:rPr>
                <w:rtl w:val="0"/>
              </w:rPr>
            </w:r>
          </w:p>
        </w:tc>
      </w:tr>
      <w:tr>
        <w:trPr>
          <w:cantSplit w:val="0"/>
          <w:trHeight w:val="324" w:hRule="atLeast"/>
          <w:tblHeader w:val="0"/>
        </w:trPr>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40.0" w:type="dxa"/>
            </w:tcMar>
          </w:tcPr>
          <w:p w:rsidR="00000000" w:rsidDel="00000000" w:rsidP="00000000" w:rsidRDefault="00000000" w:rsidRPr="00000000" w14:paraId="00000075">
            <w:pPr>
              <w:keepNext w:val="1"/>
              <w:widowControl w:val="0"/>
              <w:spacing w:line="240" w:lineRule="auto"/>
              <w:jc w:val="center"/>
              <w:rPr>
                <w:sz w:val="16"/>
                <w:szCs w:val="16"/>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100.0" w:type="dxa"/>
            </w:tcMar>
          </w:tcPr>
          <w:p w:rsidR="00000000" w:rsidDel="00000000" w:rsidP="00000000" w:rsidRDefault="00000000" w:rsidRPr="00000000" w14:paraId="00000076">
            <w:pPr>
              <w:keepNext w:val="1"/>
              <w:widowControl w:val="0"/>
              <w:spacing w:line="240" w:lineRule="auto"/>
              <w:jc w:val="center"/>
              <w:rPr>
                <w:b w:val="1"/>
                <w:sz w:val="16"/>
                <w:szCs w:val="16"/>
              </w:rPr>
            </w:pPr>
            <w:r w:rsidDel="00000000" w:rsidR="00000000" w:rsidRPr="00000000">
              <w:rPr>
                <w:b w:val="1"/>
                <w:sz w:val="16"/>
                <w:szCs w:val="16"/>
                <w:rtl w:val="0"/>
              </w:rPr>
              <w:t xml:space="preserve">IV. PHYSICAL ENVIRONMENT</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120.0" w:type="dxa"/>
              <w:bottom w:w="100.0" w:type="dxa"/>
              <w:right w:w="20.0" w:type="dxa"/>
            </w:tcMar>
          </w:tcPr>
          <w:p w:rsidR="00000000" w:rsidDel="00000000" w:rsidP="00000000" w:rsidRDefault="00000000" w:rsidRPr="00000000" w14:paraId="00000077">
            <w:pPr>
              <w:keepNext w:val="1"/>
              <w:widowControl w:val="0"/>
              <w:spacing w:line="240" w:lineRule="auto"/>
              <w:jc w:val="center"/>
              <w:rPr>
                <w:sz w:val="16"/>
                <w:szCs w:val="16"/>
              </w:rPr>
            </w:pPr>
            <w:r w:rsidDel="00000000" w:rsidR="00000000" w:rsidRPr="00000000">
              <w:rPr>
                <w:sz w:val="16"/>
                <w:szCs w:val="16"/>
                <w:rtl w:val="0"/>
              </w:rPr>
              <w:t xml:space="preserve"> </w:t>
            </w:r>
          </w:p>
        </w:tc>
      </w:tr>
      <w:tr>
        <w:trPr>
          <w:cantSplit w:val="0"/>
          <w:trHeight w:val="324" w:hRule="atLeast"/>
          <w:tblHeader w:val="0"/>
        </w:trPr>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40.0" w:type="dxa"/>
            </w:tcMar>
          </w:tcPr>
          <w:p w:rsidR="00000000" w:rsidDel="00000000" w:rsidP="00000000" w:rsidRDefault="00000000" w:rsidRPr="00000000" w14:paraId="00000078">
            <w:pPr>
              <w:keepNext w:val="1"/>
              <w:widowControl w:val="0"/>
              <w:spacing w:line="240" w:lineRule="auto"/>
              <w:jc w:val="center"/>
              <w:rPr>
                <w:sz w:val="16"/>
                <w:szCs w:val="16"/>
              </w:rPr>
            </w:pPr>
            <w:r w:rsidDel="00000000" w:rsidR="00000000" w:rsidRPr="00000000">
              <w:rPr>
                <w:sz w:val="16"/>
                <w:szCs w:val="16"/>
                <w:rtl w:val="0"/>
              </w:rPr>
              <w:t xml:space="preserve">Nov. 1</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100.0" w:type="dxa"/>
            </w:tcMar>
          </w:tcPr>
          <w:p w:rsidR="00000000" w:rsidDel="00000000" w:rsidP="00000000" w:rsidRDefault="00000000" w:rsidRPr="00000000" w14:paraId="00000079">
            <w:pPr>
              <w:keepNext w:val="1"/>
              <w:widowControl w:val="0"/>
              <w:spacing w:line="240" w:lineRule="auto"/>
              <w:jc w:val="center"/>
              <w:rPr>
                <w:sz w:val="16"/>
                <w:szCs w:val="16"/>
              </w:rPr>
            </w:pPr>
            <w:r w:rsidDel="00000000" w:rsidR="00000000" w:rsidRPr="00000000">
              <w:rPr>
                <w:sz w:val="16"/>
                <w:szCs w:val="16"/>
                <w:rtl w:val="0"/>
              </w:rPr>
              <w:t xml:space="preserve">Coastal physical oceanographic processes I</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120.0" w:type="dxa"/>
              <w:bottom w:w="100.0" w:type="dxa"/>
              <w:right w:w="20.0" w:type="dxa"/>
            </w:tcMar>
          </w:tcPr>
          <w:p w:rsidR="00000000" w:rsidDel="00000000" w:rsidP="00000000" w:rsidRDefault="00000000" w:rsidRPr="00000000" w14:paraId="0000007A">
            <w:pPr>
              <w:keepNext w:val="1"/>
              <w:widowControl w:val="0"/>
              <w:spacing w:line="240" w:lineRule="auto"/>
              <w:jc w:val="center"/>
              <w:rPr>
                <w:sz w:val="16"/>
                <w:szCs w:val="16"/>
              </w:rPr>
            </w:pPr>
            <w:r w:rsidDel="00000000" w:rsidR="00000000" w:rsidRPr="00000000">
              <w:rPr>
                <w:sz w:val="16"/>
                <w:szCs w:val="16"/>
                <w:rtl w:val="0"/>
              </w:rPr>
              <w:t xml:space="preserve">Small boat surveys &amp; YSIs</w:t>
            </w:r>
          </w:p>
        </w:tc>
      </w:tr>
      <w:tr>
        <w:trPr>
          <w:cantSplit w:val="0"/>
          <w:trHeight w:val="272" w:hRule="atLeast"/>
          <w:tblHeader w:val="0"/>
        </w:trPr>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40.0" w:type="dxa"/>
            </w:tcMar>
          </w:tcPr>
          <w:p w:rsidR="00000000" w:rsidDel="00000000" w:rsidP="00000000" w:rsidRDefault="00000000" w:rsidRPr="00000000" w14:paraId="0000007B">
            <w:pPr>
              <w:keepNext w:val="1"/>
              <w:widowControl w:val="0"/>
              <w:spacing w:line="240" w:lineRule="auto"/>
              <w:jc w:val="center"/>
              <w:rPr>
                <w:sz w:val="16"/>
                <w:szCs w:val="16"/>
              </w:rPr>
            </w:pPr>
            <w:r w:rsidDel="00000000" w:rsidR="00000000" w:rsidRPr="00000000">
              <w:rPr>
                <w:sz w:val="16"/>
                <w:szCs w:val="16"/>
                <w:rtl w:val="0"/>
              </w:rPr>
              <w:t xml:space="preserve"> Nov. 3</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100.0" w:type="dxa"/>
            </w:tcMar>
          </w:tcPr>
          <w:p w:rsidR="00000000" w:rsidDel="00000000" w:rsidP="00000000" w:rsidRDefault="00000000" w:rsidRPr="00000000" w14:paraId="0000007C">
            <w:pPr>
              <w:keepNext w:val="1"/>
              <w:widowControl w:val="0"/>
              <w:spacing w:line="240" w:lineRule="auto"/>
              <w:jc w:val="center"/>
              <w:rPr>
                <w:sz w:val="16"/>
                <w:szCs w:val="16"/>
              </w:rPr>
            </w:pPr>
            <w:r w:rsidDel="00000000" w:rsidR="00000000" w:rsidRPr="00000000">
              <w:rPr>
                <w:sz w:val="16"/>
                <w:szCs w:val="16"/>
                <w:rtl w:val="0"/>
              </w:rPr>
              <w:t xml:space="preserve">Coastal physical oceanographic processes II</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120.0" w:type="dxa"/>
              <w:bottom w:w="100.0" w:type="dxa"/>
              <w:right w:w="20.0" w:type="dxa"/>
            </w:tcMar>
          </w:tcPr>
          <w:p w:rsidR="00000000" w:rsidDel="00000000" w:rsidP="00000000" w:rsidRDefault="00000000" w:rsidRPr="00000000" w14:paraId="0000007D">
            <w:pPr>
              <w:keepNext w:val="1"/>
              <w:widowControl w:val="0"/>
              <w:spacing w:line="240" w:lineRule="auto"/>
              <w:jc w:val="center"/>
              <w:rPr>
                <w:sz w:val="16"/>
                <w:szCs w:val="16"/>
              </w:rPr>
            </w:pPr>
            <w:r w:rsidDel="00000000" w:rsidR="00000000" w:rsidRPr="00000000">
              <w:rPr>
                <w:sz w:val="16"/>
                <w:szCs w:val="16"/>
                <w:rtl w:val="0"/>
              </w:rPr>
              <w:t xml:space="preserve">Water mass mixing</w:t>
            </w:r>
          </w:p>
        </w:tc>
      </w:tr>
      <w:tr>
        <w:trPr>
          <w:cantSplit w:val="0"/>
          <w:trHeight w:val="359" w:hRule="atLeast"/>
          <w:tblHeader w:val="0"/>
        </w:trPr>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40.0" w:type="dxa"/>
            </w:tcMar>
          </w:tcPr>
          <w:p w:rsidR="00000000" w:rsidDel="00000000" w:rsidP="00000000" w:rsidRDefault="00000000" w:rsidRPr="00000000" w14:paraId="0000007E">
            <w:pPr>
              <w:keepNext w:val="1"/>
              <w:widowControl w:val="0"/>
              <w:spacing w:line="240" w:lineRule="auto"/>
              <w:jc w:val="center"/>
              <w:rPr>
                <w:sz w:val="16"/>
                <w:szCs w:val="16"/>
              </w:rPr>
            </w:pPr>
            <w:r w:rsidDel="00000000" w:rsidR="00000000" w:rsidRPr="00000000">
              <w:rPr>
                <w:sz w:val="16"/>
                <w:szCs w:val="16"/>
                <w:rtl w:val="0"/>
              </w:rPr>
              <w:t xml:space="preserve"> Nov. 8</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40.0" w:type="dxa"/>
              <w:bottom w:w="100.0" w:type="dxa"/>
              <w:right w:w="100.0" w:type="dxa"/>
            </w:tcMar>
          </w:tcPr>
          <w:p w:rsidR="00000000" w:rsidDel="00000000" w:rsidP="00000000" w:rsidRDefault="00000000" w:rsidRPr="00000000" w14:paraId="0000007F">
            <w:pPr>
              <w:keepNext w:val="1"/>
              <w:widowControl w:val="0"/>
              <w:spacing w:line="240" w:lineRule="auto"/>
              <w:jc w:val="center"/>
              <w:rPr>
                <w:sz w:val="16"/>
                <w:szCs w:val="16"/>
              </w:rPr>
            </w:pPr>
            <w:r w:rsidDel="00000000" w:rsidR="00000000" w:rsidRPr="00000000">
              <w:rPr>
                <w:sz w:val="16"/>
                <w:szCs w:val="16"/>
                <w:rtl w:val="0"/>
              </w:rPr>
              <w:t xml:space="preserve">Offshore physical oceanographic processes</w:t>
            </w:r>
          </w:p>
        </w:tc>
        <w:tc>
          <w:tcPr>
            <w:tcBorders>
              <w:top w:color="bfbfbf" w:space="0" w:sz="8" w:val="single"/>
              <w:left w:color="bfbfbf" w:space="0" w:sz="8" w:val="single"/>
              <w:bottom w:color="bfbfbf" w:space="0" w:sz="8" w:val="single"/>
              <w:right w:color="bfbfbf" w:space="0" w:sz="8" w:val="single"/>
            </w:tcBorders>
            <w:shd w:fill="f4cccc" w:val="clear"/>
            <w:tcMar>
              <w:top w:w="100.0" w:type="dxa"/>
              <w:left w:w="120.0" w:type="dxa"/>
              <w:bottom w:w="100.0" w:type="dxa"/>
              <w:right w:w="20.0" w:type="dxa"/>
            </w:tcMar>
          </w:tcPr>
          <w:p w:rsidR="00000000" w:rsidDel="00000000" w:rsidP="00000000" w:rsidRDefault="00000000" w:rsidRPr="00000000" w14:paraId="00000080">
            <w:pPr>
              <w:keepNext w:val="1"/>
              <w:widowControl w:val="0"/>
              <w:spacing w:line="240" w:lineRule="auto"/>
              <w:jc w:val="center"/>
              <w:rPr>
                <w:sz w:val="16"/>
                <w:szCs w:val="16"/>
              </w:rPr>
            </w:pPr>
            <w:r w:rsidDel="00000000" w:rsidR="00000000" w:rsidRPr="00000000">
              <w:rPr>
                <w:sz w:val="16"/>
                <w:szCs w:val="16"/>
                <w:rtl w:val="0"/>
              </w:rPr>
              <w:t xml:space="preserve">Plotting ocean sections with Ocean Data View</w:t>
            </w:r>
          </w:p>
        </w:tc>
      </w:tr>
      <w:tr>
        <w:trPr>
          <w:cantSplit w:val="0"/>
          <w:trHeight w:val="359" w:hRule="atLeast"/>
          <w:tblHeader w:val="0"/>
        </w:trPr>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40.0" w:type="dxa"/>
            </w:tcMar>
          </w:tcPr>
          <w:p w:rsidR="00000000" w:rsidDel="00000000" w:rsidP="00000000" w:rsidRDefault="00000000" w:rsidRPr="00000000" w14:paraId="00000081">
            <w:pPr>
              <w:keepNext w:val="1"/>
              <w:widowControl w:val="0"/>
              <w:spacing w:line="240" w:lineRule="auto"/>
              <w:jc w:val="center"/>
              <w:rPr>
                <w:sz w:val="16"/>
                <w:szCs w:val="16"/>
              </w:rPr>
            </w:pPr>
            <w:r w:rsidDel="00000000" w:rsidR="00000000" w:rsidRPr="00000000">
              <w:rPr>
                <w:sz w:val="16"/>
                <w:szCs w:val="16"/>
                <w:rtl w:val="0"/>
              </w:rPr>
              <w:t xml:space="preserve"> Nov. 10</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40.0" w:type="dxa"/>
              <w:bottom w:w="100.0" w:type="dxa"/>
              <w:right w:w="100.0" w:type="dxa"/>
            </w:tcMar>
          </w:tcPr>
          <w:p w:rsidR="00000000" w:rsidDel="00000000" w:rsidP="00000000" w:rsidRDefault="00000000" w:rsidRPr="00000000" w14:paraId="00000082">
            <w:pPr>
              <w:keepNext w:val="1"/>
              <w:widowControl w:val="0"/>
              <w:spacing w:line="240" w:lineRule="auto"/>
              <w:jc w:val="center"/>
              <w:rPr>
                <w:b w:val="1"/>
                <w:sz w:val="16"/>
                <w:szCs w:val="16"/>
              </w:rPr>
            </w:pPr>
            <w:r w:rsidDel="00000000" w:rsidR="00000000" w:rsidRPr="00000000">
              <w:rPr>
                <w:b w:val="1"/>
                <w:sz w:val="16"/>
                <w:szCs w:val="16"/>
                <w:rtl w:val="0"/>
              </w:rPr>
              <w:t xml:space="preserve">Exam 2</w:t>
            </w:r>
          </w:p>
        </w:tc>
        <w:tc>
          <w:tcPr>
            <w:tcBorders>
              <w:top w:color="bfbfbf" w:space="0" w:sz="8" w:val="single"/>
              <w:left w:color="bfbfbf" w:space="0" w:sz="8" w:val="single"/>
              <w:bottom w:color="bfbfbf" w:space="0" w:sz="8" w:val="single"/>
              <w:right w:color="bfbfbf" w:space="0" w:sz="8" w:val="single"/>
            </w:tcBorders>
            <w:shd w:fill="efefef" w:val="clear"/>
            <w:tcMar>
              <w:top w:w="100.0" w:type="dxa"/>
              <w:left w:w="120.0" w:type="dxa"/>
              <w:bottom w:w="100.0" w:type="dxa"/>
              <w:right w:w="20.0" w:type="dxa"/>
            </w:tcMar>
          </w:tcPr>
          <w:p w:rsidR="00000000" w:rsidDel="00000000" w:rsidP="00000000" w:rsidRDefault="00000000" w:rsidRPr="00000000" w14:paraId="00000083">
            <w:pPr>
              <w:keepNext w:val="1"/>
              <w:widowControl w:val="0"/>
              <w:spacing w:line="240" w:lineRule="auto"/>
              <w:jc w:val="center"/>
              <w:rPr>
                <w:sz w:val="16"/>
                <w:szCs w:val="16"/>
              </w:rPr>
            </w:pPr>
            <w:r w:rsidDel="00000000" w:rsidR="00000000" w:rsidRPr="00000000">
              <w:rPr>
                <w:sz w:val="16"/>
                <w:szCs w:val="16"/>
                <w:rtl w:val="0"/>
              </w:rPr>
              <w:t xml:space="preserve">Lab clean-up</w:t>
            </w:r>
          </w:p>
        </w:tc>
      </w:tr>
    </w:tbl>
    <w:p w:rsidR="00000000" w:rsidDel="00000000" w:rsidP="00000000" w:rsidRDefault="00000000" w:rsidRPr="00000000" w14:paraId="00000084">
      <w:pPr>
        <w:rPr>
          <w:rFonts w:ascii="Caladea" w:cs="Caladea" w:eastAsia="Caladea" w:hAnsi="Caladea"/>
          <w:color w:val="e06666"/>
        </w:rPr>
      </w:pPr>
      <w:r w:rsidDel="00000000" w:rsidR="00000000" w:rsidRPr="00000000">
        <w:rPr>
          <w:rtl w:val="0"/>
        </w:rPr>
      </w:r>
    </w:p>
    <w:p w:rsidR="00000000" w:rsidDel="00000000" w:rsidP="00000000" w:rsidRDefault="00000000" w:rsidRPr="00000000" w14:paraId="00000085">
      <w:pPr>
        <w:rPr>
          <w:rFonts w:ascii="Caladea" w:cs="Caladea" w:eastAsia="Caladea" w:hAnsi="Caladea"/>
        </w:rPr>
      </w:pPr>
      <w:r w:rsidDel="00000000" w:rsidR="00000000" w:rsidRPr="00000000">
        <w:rPr>
          <w:rFonts w:ascii="Caladea" w:cs="Caladea" w:eastAsia="Caladea" w:hAnsi="Caladea"/>
          <w:b w:val="1"/>
          <w:rtl w:val="0"/>
        </w:rPr>
        <w:t xml:space="preserve">Changes to the course syllabus: </w:t>
      </w:r>
      <w:r w:rsidDel="00000000" w:rsidR="00000000" w:rsidRPr="00000000">
        <w:rPr>
          <w:rFonts w:ascii="Caladea" w:cs="Caladea" w:eastAsia="Caladea" w:hAnsi="Caladea"/>
          <w:rtl w:val="0"/>
        </w:rPr>
        <w:t xml:space="preserve">The course syllabus is a general plan for the course; deviations announced to the class by the instructor may be necessary. Failure to regularly attend class may result in your being uninformed about changes in the course content or timing of assignments. Students who miss class are responsible for all announcements and assignments given in lecture.</w:t>
      </w:r>
    </w:p>
    <w:p w:rsidR="00000000" w:rsidDel="00000000" w:rsidP="00000000" w:rsidRDefault="00000000" w:rsidRPr="00000000" w14:paraId="00000086">
      <w:pPr>
        <w:rPr>
          <w:rFonts w:ascii="Caladea" w:cs="Caladea" w:eastAsia="Caladea" w:hAnsi="Caladea"/>
        </w:rPr>
      </w:pPr>
      <w:r w:rsidDel="00000000" w:rsidR="00000000" w:rsidRPr="00000000">
        <w:rPr>
          <w:rtl w:val="0"/>
        </w:rPr>
      </w:r>
    </w:p>
    <w:p w:rsidR="00000000" w:rsidDel="00000000" w:rsidP="00000000" w:rsidRDefault="00000000" w:rsidRPr="00000000" w14:paraId="00000087">
      <w:pPr>
        <w:rPr>
          <w:rFonts w:ascii="Caladea" w:cs="Caladea" w:eastAsia="Caladea" w:hAnsi="Caladea"/>
        </w:rPr>
      </w:pPr>
      <w:r w:rsidDel="00000000" w:rsidR="00000000" w:rsidRPr="00000000">
        <w:rPr>
          <w:rFonts w:ascii="Caladea" w:cs="Caladea" w:eastAsia="Caladea" w:hAnsi="Caladea"/>
          <w:b w:val="1"/>
          <w:rtl w:val="0"/>
        </w:rPr>
        <w:t xml:space="preserve">Attendance: </w:t>
      </w:r>
      <w:r w:rsidDel="00000000" w:rsidR="00000000" w:rsidRPr="00000000">
        <w:rPr>
          <w:rFonts w:ascii="Caladea" w:cs="Caladea" w:eastAsia="Caladea" w:hAnsi="Caladea"/>
          <w:rtl w:val="0"/>
        </w:rPr>
        <w:t xml:space="preserve">You must be in class to participate in an activity, and these cannot be made up.</w:t>
      </w:r>
    </w:p>
    <w:p w:rsidR="00000000" w:rsidDel="00000000" w:rsidP="00000000" w:rsidRDefault="00000000" w:rsidRPr="00000000" w14:paraId="00000088">
      <w:pPr>
        <w:rPr>
          <w:rFonts w:ascii="Caladea" w:cs="Caladea" w:eastAsia="Caladea" w:hAnsi="Caladea"/>
          <w:b w:val="1"/>
        </w:rPr>
      </w:pPr>
      <w:r w:rsidDel="00000000" w:rsidR="00000000" w:rsidRPr="00000000">
        <w:rPr>
          <w:rFonts w:ascii="Caladea" w:cs="Caladea" w:eastAsia="Caladea" w:hAnsi="Caladea"/>
          <w:b w:val="1"/>
          <w:rtl w:val="0"/>
        </w:rPr>
        <w:t xml:space="preserve"> </w:t>
      </w:r>
    </w:p>
    <w:p w:rsidR="00000000" w:rsidDel="00000000" w:rsidP="00000000" w:rsidRDefault="00000000" w:rsidRPr="00000000" w14:paraId="00000089">
      <w:pPr>
        <w:rPr>
          <w:rFonts w:ascii="Caladea" w:cs="Caladea" w:eastAsia="Caladea" w:hAnsi="Caladea"/>
        </w:rPr>
      </w:pPr>
      <w:r w:rsidDel="00000000" w:rsidR="00000000" w:rsidRPr="00000000">
        <w:rPr>
          <w:rFonts w:ascii="Caladea" w:cs="Caladea" w:eastAsia="Caladea" w:hAnsi="Caladea"/>
          <w:b w:val="1"/>
          <w:rtl w:val="0"/>
        </w:rPr>
        <w:t xml:space="preserve">Electronics Use Policy: </w:t>
      </w:r>
      <w:r w:rsidDel="00000000" w:rsidR="00000000" w:rsidRPr="00000000">
        <w:rPr>
          <w:rFonts w:ascii="Caladea" w:cs="Caladea" w:eastAsia="Caladea" w:hAnsi="Caladea"/>
          <w:rtl w:val="0"/>
        </w:rPr>
        <w:t xml:space="preserve">Please refrain from using your phone during class and use your computer only for lecture related activities.</w:t>
      </w:r>
    </w:p>
    <w:p w:rsidR="00000000" w:rsidDel="00000000" w:rsidP="00000000" w:rsidRDefault="00000000" w:rsidRPr="00000000" w14:paraId="0000008A">
      <w:pPr>
        <w:rPr>
          <w:rFonts w:ascii="Caladea" w:cs="Caladea" w:eastAsia="Caladea" w:hAnsi="Caladea"/>
          <w:b w:val="1"/>
        </w:rPr>
      </w:pPr>
      <w:r w:rsidDel="00000000" w:rsidR="00000000" w:rsidRPr="00000000">
        <w:rPr>
          <w:rFonts w:ascii="Caladea" w:cs="Caladea" w:eastAsia="Caladea" w:hAnsi="Caladea"/>
          <w:b w:val="1"/>
          <w:rtl w:val="0"/>
        </w:rPr>
        <w:t xml:space="preserve"> </w:t>
      </w:r>
    </w:p>
    <w:p w:rsidR="00000000" w:rsidDel="00000000" w:rsidP="00000000" w:rsidRDefault="00000000" w:rsidRPr="00000000" w14:paraId="0000008B">
      <w:pPr>
        <w:rPr>
          <w:rFonts w:ascii="Caladea" w:cs="Caladea" w:eastAsia="Caladea" w:hAnsi="Caladea"/>
        </w:rPr>
      </w:pPr>
      <w:r w:rsidDel="00000000" w:rsidR="00000000" w:rsidRPr="00000000">
        <w:rPr>
          <w:rFonts w:ascii="Caladea" w:cs="Caladea" w:eastAsia="Caladea" w:hAnsi="Caladea"/>
          <w:b w:val="1"/>
          <w:rtl w:val="0"/>
        </w:rPr>
        <w:t xml:space="preserve">Academic Honesty Policy: </w:t>
      </w:r>
      <w:r w:rsidDel="00000000" w:rsidR="00000000" w:rsidRPr="00000000">
        <w:rPr>
          <w:rFonts w:ascii="Caladea" w:cs="Caladea" w:eastAsia="Caladea" w:hAnsi="Caladea"/>
          <w:rtl w:val="0"/>
        </w:rPr>
        <w:t xml:space="preserve">Academic honesty: "I will be academically honest in all of my academic work and will not tolerate academic dishonesty of others." A Culture of Honesty, the University's policy and procedures for handling cases of suspected dishonesty, can be found can be found at: </w:t>
      </w:r>
      <w:hyperlink r:id="rId7">
        <w:r w:rsidDel="00000000" w:rsidR="00000000" w:rsidRPr="00000000">
          <w:rPr>
            <w:rFonts w:ascii="Caladea" w:cs="Caladea" w:eastAsia="Caladea" w:hAnsi="Caladea"/>
            <w:color w:val="1155cc"/>
            <w:u w:val="single"/>
            <w:rtl w:val="0"/>
          </w:rPr>
          <w:t xml:space="preserve">https://honesty.uga.edu/Academic-Honesty-Policy/</w:t>
        </w:r>
      </w:hyperlink>
      <w:r w:rsidDel="00000000" w:rsidR="00000000" w:rsidRPr="00000000">
        <w:rPr>
          <w:rFonts w:ascii="Caladea" w:cs="Caladea" w:eastAsia="Caladea" w:hAnsi="Caladea"/>
          <w:rtl w:val="0"/>
        </w:rPr>
        <w:t xml:space="preserve">. All academic work must meet the standards outlined in “A Culture of Honesty” found at: </w:t>
      </w:r>
      <w:hyperlink r:id="rId8">
        <w:r w:rsidDel="00000000" w:rsidR="00000000" w:rsidRPr="00000000">
          <w:rPr>
            <w:rFonts w:ascii="Caladea" w:cs="Caladea" w:eastAsia="Caladea" w:hAnsi="Caladea"/>
            <w:color w:val="1155cc"/>
            <w:u w:val="single"/>
            <w:rtl w:val="0"/>
          </w:rPr>
          <w:t xml:space="preserve">http://honesty.uga.edu/</w:t>
        </w:r>
      </w:hyperlink>
      <w:r w:rsidDel="00000000" w:rsidR="00000000" w:rsidRPr="00000000">
        <w:rPr>
          <w:rFonts w:ascii="Caladea" w:cs="Caladea" w:eastAsia="Caladea" w:hAnsi="Caladea"/>
          <w:rtl w:val="0"/>
        </w:rPr>
        <w:t xml:space="preserve">.</w:t>
      </w:r>
    </w:p>
    <w:p w:rsidR="00000000" w:rsidDel="00000000" w:rsidP="00000000" w:rsidRDefault="00000000" w:rsidRPr="00000000" w14:paraId="0000008C">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8D">
      <w:pPr>
        <w:rPr>
          <w:rFonts w:ascii="Caladea" w:cs="Caladea" w:eastAsia="Caladea" w:hAnsi="Caladea"/>
        </w:rPr>
      </w:pPr>
      <w:r w:rsidDel="00000000" w:rsidR="00000000" w:rsidRPr="00000000">
        <w:rPr>
          <w:rFonts w:ascii="Caladea" w:cs="Caladea" w:eastAsia="Caladea" w:hAnsi="Caladea"/>
          <w:b w:val="1"/>
          <w:rtl w:val="0"/>
        </w:rPr>
        <w:t xml:space="preserve">Resources for student-parents: </w:t>
      </w:r>
      <w:r w:rsidDel="00000000" w:rsidR="00000000" w:rsidRPr="00000000">
        <w:rPr>
          <w:rFonts w:ascii="Caladea" w:cs="Caladea" w:eastAsia="Caladea" w:hAnsi="Caladea"/>
          <w:rtl w:val="0"/>
        </w:rPr>
        <w:t xml:space="preserve">Resources for Student-Parents: If you or someone you know is in a phase of life that involves parenting (or the expectation of parenting), there are resources available to assist you. Student Care and Outreach within the Office of the Dean of Students is available to provide you with important information and resources; you can contact them at 706-542-7774.</w:t>
      </w:r>
      <w:r w:rsidDel="00000000" w:rsidR="00000000" w:rsidRPr="00000000">
        <w:rPr>
          <w:rtl w:val="0"/>
        </w:rPr>
      </w:r>
    </w:p>
    <w:p w:rsidR="00000000" w:rsidDel="00000000" w:rsidP="00000000" w:rsidRDefault="00000000" w:rsidRPr="00000000" w14:paraId="0000008E">
      <w:pPr>
        <w:rPr>
          <w:rFonts w:ascii="Caladea" w:cs="Caladea" w:eastAsia="Caladea" w:hAnsi="Caladea"/>
        </w:rPr>
      </w:pPr>
      <w:r w:rsidDel="00000000" w:rsidR="00000000" w:rsidRPr="00000000">
        <w:rPr>
          <w:rFonts w:ascii="Caladea" w:cs="Caladea" w:eastAsia="Caladea" w:hAnsi="Caladea"/>
          <w:rtl w:val="0"/>
        </w:rPr>
        <w:t xml:space="preserve"> </w:t>
      </w:r>
    </w:p>
    <w:p w:rsidR="00000000" w:rsidDel="00000000" w:rsidP="00000000" w:rsidRDefault="00000000" w:rsidRPr="00000000" w14:paraId="0000008F">
      <w:pPr>
        <w:rPr>
          <w:rFonts w:ascii="Caladea" w:cs="Caladea" w:eastAsia="Caladea" w:hAnsi="Caladea"/>
        </w:rPr>
      </w:pPr>
      <w:r w:rsidDel="00000000" w:rsidR="00000000" w:rsidRPr="00000000">
        <w:rPr>
          <w:rFonts w:ascii="Caladea" w:cs="Caladea" w:eastAsia="Caladea" w:hAnsi="Caladea"/>
          <w:b w:val="1"/>
          <w:rtl w:val="0"/>
        </w:rPr>
        <w:t xml:space="preserve">Mental health and wellness resources: </w:t>
      </w:r>
      <w:r w:rsidDel="00000000" w:rsidR="00000000" w:rsidRPr="00000000">
        <w:rPr>
          <w:rFonts w:ascii="Caladea" w:cs="Caladea" w:eastAsia="Caladea" w:hAnsi="Caladea"/>
          <w:rtl w:val="0"/>
        </w:rPr>
        <w:t xml:space="preserve">If you or someone you know needs assistance, you are encouraged to contact Student Care and Outreach in the Division of Student Affairs at 706-542-7774 or visit </w:t>
      </w:r>
      <w:hyperlink r:id="rId9">
        <w:r w:rsidDel="00000000" w:rsidR="00000000" w:rsidRPr="00000000">
          <w:rPr>
            <w:rFonts w:ascii="Caladea" w:cs="Caladea" w:eastAsia="Caladea" w:hAnsi="Caladea"/>
            <w:color w:val="1155cc"/>
            <w:u w:val="single"/>
            <w:rtl w:val="0"/>
          </w:rPr>
          <w:t xml:space="preserve">https://sco.uga.edu</w:t>
        </w:r>
      </w:hyperlink>
      <w:r w:rsidDel="00000000" w:rsidR="00000000" w:rsidRPr="00000000">
        <w:rPr>
          <w:rFonts w:ascii="Caladea" w:cs="Caladea" w:eastAsia="Caladea" w:hAnsi="Caladea"/>
          <w:rtl w:val="0"/>
        </w:rPr>
        <w:t xml:space="preserve">. They will help you navigate any difficult circumstances you may be facing by connecting you with the appropriate resources or services. UGA has several resources for a student seeking mental health services (</w:t>
      </w:r>
      <w:hyperlink r:id="rId10">
        <w:r w:rsidDel="00000000" w:rsidR="00000000" w:rsidRPr="00000000">
          <w:rPr>
            <w:rFonts w:ascii="Caladea" w:cs="Caladea" w:eastAsia="Caladea" w:hAnsi="Caladea"/>
            <w:color w:val="1155cc"/>
            <w:u w:val="single"/>
            <w:rtl w:val="0"/>
          </w:rPr>
          <w:t xml:space="preserve">https://www.uhs.uga.edu/bewelluga/bewelluga</w:t>
        </w:r>
      </w:hyperlink>
      <w:r w:rsidDel="00000000" w:rsidR="00000000" w:rsidRPr="00000000">
        <w:rPr>
          <w:rFonts w:ascii="Caladea" w:cs="Caladea" w:eastAsia="Caladea" w:hAnsi="Caladea"/>
          <w:rtl w:val="0"/>
        </w:rPr>
        <w:t xml:space="preserve">) or crisis support (</w:t>
      </w:r>
      <w:hyperlink r:id="rId11">
        <w:r w:rsidDel="00000000" w:rsidR="00000000" w:rsidRPr="00000000">
          <w:rPr>
            <w:rFonts w:ascii="Caladea" w:cs="Caladea" w:eastAsia="Caladea" w:hAnsi="Caladea"/>
            <w:color w:val="1155cc"/>
            <w:u w:val="single"/>
            <w:rtl w:val="0"/>
          </w:rPr>
          <w:t xml:space="preserve">https://www.uhs.uga.edu/info/emergencies</w:t>
        </w:r>
      </w:hyperlink>
      <w:r w:rsidDel="00000000" w:rsidR="00000000" w:rsidRPr="00000000">
        <w:rPr>
          <w:rFonts w:ascii="Caladea" w:cs="Caladea" w:eastAsia="Caladea" w:hAnsi="Caladea"/>
          <w:rtl w:val="0"/>
        </w:rPr>
        <w:t xml:space="preserve">). Counseling and Psychiatric Services (CAPS) is your go-to, on-campus resource for emotional, social and behavioral-health support: </w:t>
      </w:r>
      <w:hyperlink r:id="rId12">
        <w:r w:rsidDel="00000000" w:rsidR="00000000" w:rsidRPr="00000000">
          <w:rPr>
            <w:rFonts w:ascii="Caladea" w:cs="Caladea" w:eastAsia="Caladea" w:hAnsi="Caladea"/>
            <w:color w:val="1155cc"/>
            <w:u w:val="single"/>
            <w:rtl w:val="0"/>
          </w:rPr>
          <w:t xml:space="preserve">https://caps.uga.edu/</w:t>
        </w:r>
      </w:hyperlink>
      <w:r w:rsidDel="00000000" w:rsidR="00000000" w:rsidRPr="00000000">
        <w:rPr>
          <w:rFonts w:ascii="Caladea" w:cs="Caladea" w:eastAsia="Caladea" w:hAnsi="Caladea"/>
          <w:rtl w:val="0"/>
        </w:rPr>
        <w:t xml:space="preserve">, TAO Online Support (</w:t>
      </w:r>
      <w:hyperlink r:id="rId13">
        <w:r w:rsidDel="00000000" w:rsidR="00000000" w:rsidRPr="00000000">
          <w:rPr>
            <w:rFonts w:ascii="Caladea" w:cs="Caladea" w:eastAsia="Caladea" w:hAnsi="Caladea"/>
            <w:color w:val="1155cc"/>
            <w:u w:val="single"/>
            <w:rtl w:val="0"/>
          </w:rPr>
          <w:t xml:space="preserve">https://caps.uga.edu/tao/</w:t>
        </w:r>
      </w:hyperlink>
      <w:r w:rsidDel="00000000" w:rsidR="00000000" w:rsidRPr="00000000">
        <w:rPr>
          <w:rFonts w:ascii="Caladea" w:cs="Caladea" w:eastAsia="Caladea" w:hAnsi="Caladea"/>
          <w:rtl w:val="0"/>
        </w:rPr>
        <w:t xml:space="preserve">), 24/7 support at 706-542-2273.</w:t>
      </w:r>
    </w:p>
    <w:p w:rsidR="00000000" w:rsidDel="00000000" w:rsidP="00000000" w:rsidRDefault="00000000" w:rsidRPr="00000000" w14:paraId="00000090">
      <w:pPr>
        <w:rPr>
          <w:rFonts w:ascii="Caladea" w:cs="Caladea" w:eastAsia="Caladea" w:hAnsi="Caladea"/>
        </w:rPr>
      </w:pPr>
      <w:r w:rsidDel="00000000" w:rsidR="00000000" w:rsidRPr="00000000">
        <w:rPr>
          <w:rtl w:val="0"/>
        </w:rPr>
      </w:r>
    </w:p>
    <w:p w:rsidR="00000000" w:rsidDel="00000000" w:rsidP="00000000" w:rsidRDefault="00000000" w:rsidRPr="00000000" w14:paraId="00000091">
      <w:pPr>
        <w:rPr>
          <w:rFonts w:ascii="Caladea" w:cs="Caladea" w:eastAsia="Caladea" w:hAnsi="Caladea"/>
        </w:rPr>
      </w:pPr>
      <w:r w:rsidDel="00000000" w:rsidR="00000000" w:rsidRPr="00000000">
        <w:rPr>
          <w:rFonts w:ascii="Caladea" w:cs="Caladea" w:eastAsia="Caladea" w:hAnsi="Caladea"/>
          <w:rtl w:val="0"/>
        </w:rPr>
        <w:t xml:space="preserve">If you need help managing stress anxiety, relationships, etc., please visit BeWellUGA (</w:t>
      </w:r>
      <w:hyperlink r:id="rId14">
        <w:r w:rsidDel="00000000" w:rsidR="00000000" w:rsidRPr="00000000">
          <w:rPr>
            <w:rFonts w:ascii="Caladea" w:cs="Caladea" w:eastAsia="Caladea" w:hAnsi="Caladea"/>
            <w:color w:val="1155cc"/>
            <w:u w:val="single"/>
            <w:rtl w:val="0"/>
          </w:rPr>
          <w:t xml:space="preserve">https://www.uhs.uga.edu/bewelluga/bewelluga</w:t>
        </w:r>
      </w:hyperlink>
      <w:r w:rsidDel="00000000" w:rsidR="00000000" w:rsidRPr="00000000">
        <w:rPr>
          <w:rFonts w:ascii="Caladea" w:cs="Caladea" w:eastAsia="Caladea" w:hAnsi="Caladea"/>
          <w:rtl w:val="0"/>
        </w:rPr>
        <w:t xml:space="preserve">) for a list of FREE workshops, classes, mentoring, and health coaching led by licensed clinicians and health educators in the University Health Center. Additional resources can be accessed through the UGA App.</w:t>
      </w:r>
    </w:p>
    <w:p w:rsidR="00000000" w:rsidDel="00000000" w:rsidP="00000000" w:rsidRDefault="00000000" w:rsidRPr="00000000" w14:paraId="00000092">
      <w:pPr>
        <w:ind w:left="0" w:firstLine="0"/>
        <w:rPr>
          <w:rFonts w:ascii="Caladea" w:cs="Caladea" w:eastAsia="Caladea" w:hAnsi="Caladea"/>
          <w:i w:val="1"/>
        </w:rPr>
      </w:pPr>
      <w:r w:rsidDel="00000000" w:rsidR="00000000" w:rsidRPr="00000000">
        <w:rPr>
          <w:rtl w:val="0"/>
        </w:rPr>
      </w:r>
    </w:p>
    <w:p w:rsidR="00000000" w:rsidDel="00000000" w:rsidP="00000000" w:rsidRDefault="00000000" w:rsidRPr="00000000" w14:paraId="00000093">
      <w:pPr>
        <w:rPr>
          <w:rFonts w:ascii="Caladea" w:cs="Caladea" w:eastAsia="Caladea" w:hAnsi="Caladea"/>
        </w:rPr>
      </w:pPr>
      <w:r w:rsidDel="00000000" w:rsidR="00000000" w:rsidRPr="00000000">
        <w:rPr>
          <w:rFonts w:ascii="Caladea" w:cs="Caladea" w:eastAsia="Caladea" w:hAnsi="Caladea"/>
          <w:b w:val="1"/>
          <w:rtl w:val="0"/>
        </w:rPr>
        <w:t xml:space="preserve">Accommodations due to disabilities: </w:t>
      </w:r>
      <w:r w:rsidDel="00000000" w:rsidR="00000000" w:rsidRPr="00000000">
        <w:rPr>
          <w:rFonts w:ascii="Caladea" w:cs="Caladea" w:eastAsia="Caladea" w:hAnsi="Caladea"/>
          <w:rtl w:val="0"/>
        </w:rPr>
        <w:t xml:space="preserve">I am committed to making sure my course and materials are affirming of students living with disabilities. If you plan to request accommodations for a disability, please register with the Disability Resource Center (DRC). The DRC can be reached by visiting Clark Howell Hall, by calling 706-542-8719 (voice) or 706-542-8778 (TTY), or by visiting </w:t>
      </w:r>
      <w:hyperlink r:id="rId15">
        <w:r w:rsidDel="00000000" w:rsidR="00000000" w:rsidRPr="00000000">
          <w:rPr>
            <w:rFonts w:ascii="Caladea" w:cs="Caladea" w:eastAsia="Caladea" w:hAnsi="Caladea"/>
            <w:color w:val="1155cc"/>
            <w:u w:val="single"/>
            <w:rtl w:val="0"/>
          </w:rPr>
          <w:t xml:space="preserve">http://drc.uga.edu</w:t>
        </w:r>
      </w:hyperlink>
      <w:r w:rsidDel="00000000" w:rsidR="00000000" w:rsidRPr="00000000">
        <w:rPr>
          <w:rFonts w:ascii="Caladea" w:cs="Caladea" w:eastAsia="Caladea" w:hAnsi="Caladea"/>
          <w:rtl w:val="0"/>
        </w:rPr>
        <w:t xml:space="preserve">.</w:t>
      </w:r>
    </w:p>
    <w:p w:rsidR="00000000" w:rsidDel="00000000" w:rsidP="00000000" w:rsidRDefault="00000000" w:rsidRPr="00000000" w14:paraId="00000094">
      <w:pPr>
        <w:rPr>
          <w:rFonts w:ascii="Caladea" w:cs="Caladea" w:eastAsia="Caladea" w:hAnsi="Caladea"/>
        </w:rPr>
      </w:pPr>
      <w:r w:rsidDel="00000000" w:rsidR="00000000" w:rsidRPr="00000000">
        <w:rPr>
          <w:rtl w:val="0"/>
        </w:rPr>
      </w:r>
    </w:p>
    <w:p w:rsidR="00000000" w:rsidDel="00000000" w:rsidP="00000000" w:rsidRDefault="00000000" w:rsidRPr="00000000" w14:paraId="00000095">
      <w:pPr>
        <w:rPr>
          <w:rFonts w:ascii="Caladea" w:cs="Caladea" w:eastAsia="Caladea" w:hAnsi="Caladea"/>
        </w:rPr>
      </w:pPr>
      <w:r w:rsidDel="00000000" w:rsidR="00000000" w:rsidRPr="00000000">
        <w:rPr>
          <w:rFonts w:ascii="Caladea" w:cs="Caladea" w:eastAsia="Caladea" w:hAnsi="Caladea"/>
          <w:b w:val="1"/>
          <w:rtl w:val="0"/>
        </w:rPr>
        <w:t xml:space="preserve">Diversity, equity and inclusion</w:t>
      </w:r>
      <w:r w:rsidDel="00000000" w:rsidR="00000000" w:rsidRPr="00000000">
        <w:rPr>
          <w:rFonts w:ascii="Caladea" w:cs="Caladea" w:eastAsia="Caladea" w:hAnsi="Caladea"/>
          <w:rtl w:val="0"/>
        </w:rPr>
        <w:t xml:space="preserve">: Diversity encompasses acceptance and respect. The term "diversity" encompasses differences of culture, background and experience among individuals and groups. Such differences include, but are not limited to, differences of race, ethnicity, national origin, color, gender, sexual orientation, gender identity, age, and abilities, as well as political and religious affiliation and socioeconomic status. The College of Family and Consumer Sciences at the University of Georgia embraces a commitment to diversity by modeling for the state and nation, a community of individuals and programs which seek to reduce prejudice, disparities, and discrimination and build a supportive environment for all. </w:t>
      </w:r>
      <w:hyperlink r:id="rId16">
        <w:r w:rsidDel="00000000" w:rsidR="00000000" w:rsidRPr="00000000">
          <w:rPr>
            <w:rFonts w:ascii="Caladea" w:cs="Caladea" w:eastAsia="Caladea" w:hAnsi="Caladea"/>
            <w:color w:val="1155cc"/>
            <w:u w:val="single"/>
            <w:rtl w:val="0"/>
          </w:rPr>
          <w:t xml:space="preserve">More about diversity</w:t>
        </w:r>
      </w:hyperlink>
      <w:r w:rsidDel="00000000" w:rsidR="00000000" w:rsidRPr="00000000">
        <w:rPr>
          <w:rFonts w:ascii="Caladea" w:cs="Caladea" w:eastAsia="Caladea" w:hAnsi="Caladea"/>
          <w:rtl w:val="0"/>
        </w:rPr>
        <w:t xml:space="preserve">.</w:t>
      </w:r>
    </w:p>
    <w:p w:rsidR="00000000" w:rsidDel="00000000" w:rsidP="00000000" w:rsidRDefault="00000000" w:rsidRPr="00000000" w14:paraId="00000096">
      <w:pPr>
        <w:rPr>
          <w:rFonts w:ascii="Caladea" w:cs="Caladea" w:eastAsia="Caladea" w:hAnsi="Caladea"/>
        </w:rPr>
      </w:pPr>
      <w:r w:rsidDel="00000000" w:rsidR="00000000" w:rsidRPr="00000000">
        <w:rPr>
          <w:rtl w:val="0"/>
        </w:rPr>
      </w:r>
    </w:p>
    <w:p w:rsidR="00000000" w:rsidDel="00000000" w:rsidP="00000000" w:rsidRDefault="00000000" w:rsidRPr="00000000" w14:paraId="00000097">
      <w:pPr>
        <w:rPr>
          <w:rFonts w:ascii="Caladea" w:cs="Caladea" w:eastAsia="Caladea" w:hAnsi="Caladea"/>
        </w:rPr>
      </w:pPr>
      <w:r w:rsidDel="00000000" w:rsidR="00000000" w:rsidRPr="00000000">
        <w:rPr>
          <w:rFonts w:ascii="Caladea" w:cs="Caladea" w:eastAsia="Caladea" w:hAnsi="Caladea"/>
          <w:rtl w:val="0"/>
        </w:rPr>
        <w:t xml:space="preserve">Any student who faces challenges securing their food and believes this may affect their performance in the course is urged to contact Semester at Skidaway administration for support. Furthermore, please notify me as the professor if you are comfortable in doing so. This will enable me to provide resources in the College and University.</w:t>
      </w:r>
    </w:p>
    <w:p w:rsidR="00000000" w:rsidDel="00000000" w:rsidP="00000000" w:rsidRDefault="00000000" w:rsidRPr="00000000" w14:paraId="00000098">
      <w:pPr>
        <w:rPr>
          <w:rFonts w:ascii="Caladea" w:cs="Caladea" w:eastAsia="Caladea" w:hAnsi="Caladea"/>
        </w:rPr>
      </w:pPr>
      <w:r w:rsidDel="00000000" w:rsidR="00000000" w:rsidRPr="00000000">
        <w:rPr>
          <w:rtl w:val="0"/>
        </w:rPr>
      </w:r>
    </w:p>
    <w:p w:rsidR="00000000" w:rsidDel="00000000" w:rsidP="00000000" w:rsidRDefault="00000000" w:rsidRPr="00000000" w14:paraId="00000099">
      <w:pPr>
        <w:rPr>
          <w:rFonts w:ascii="Caladea" w:cs="Caladea" w:eastAsia="Caladea" w:hAnsi="Caladea"/>
        </w:rPr>
      </w:pPr>
      <w:r w:rsidDel="00000000" w:rsidR="00000000" w:rsidRPr="00000000">
        <w:rPr>
          <w:rFonts w:ascii="Caladea" w:cs="Caladea" w:eastAsia="Caladea" w:hAnsi="Caladea"/>
          <w:b w:val="1"/>
          <w:rtl w:val="0"/>
        </w:rPr>
        <w:t xml:space="preserve">FERPA Notice</w:t>
      </w:r>
      <w:r w:rsidDel="00000000" w:rsidR="00000000" w:rsidRPr="00000000">
        <w:rPr>
          <w:rFonts w:ascii="Caladea" w:cs="Caladea" w:eastAsia="Caladea" w:hAnsi="Caladea"/>
          <w:rtl w:val="0"/>
        </w:rPr>
        <w:t xml:space="preserve">: The Federal Family Educational Rights and Privacy Act (FERPA) grants students certain information privacy rights. FERPA allows disclosure of directory information (name, address, telephone, email, date of birth, place of birth, major, activities, degrees, awards, prior schools), unless a </w:t>
      </w:r>
      <w:hyperlink r:id="rId17">
        <w:r w:rsidDel="00000000" w:rsidR="00000000" w:rsidRPr="00000000">
          <w:rPr>
            <w:rFonts w:ascii="Caladea" w:cs="Caladea" w:eastAsia="Caladea" w:hAnsi="Caladea"/>
            <w:color w:val="1155cc"/>
            <w:u w:val="single"/>
            <w:rtl w:val="0"/>
          </w:rPr>
          <w:t xml:space="preserve">https://reg.uga.edu/_resources/documents/imported/FERPARequestForRestriction.pdf </w:t>
        </w:r>
      </w:hyperlink>
      <w:r w:rsidDel="00000000" w:rsidR="00000000" w:rsidRPr="00000000">
        <w:rPr>
          <w:rFonts w:ascii="Caladea" w:cs="Caladea" w:eastAsia="Caladea" w:hAnsi="Caladea"/>
          <w:rtl w:val="0"/>
        </w:rPr>
        <w:t xml:space="preserve"> is submitted to the Registrar's Office.</w:t>
      </w:r>
    </w:p>
    <w:p w:rsidR="00000000" w:rsidDel="00000000" w:rsidP="00000000" w:rsidRDefault="00000000" w:rsidRPr="00000000" w14:paraId="0000009A">
      <w:pPr>
        <w:rPr>
          <w:rFonts w:ascii="Caladea" w:cs="Caladea" w:eastAsia="Caladea" w:hAnsi="Caladea"/>
        </w:rPr>
      </w:pPr>
      <w:r w:rsidDel="00000000" w:rsidR="00000000" w:rsidRPr="00000000">
        <w:rPr>
          <w:rtl w:val="0"/>
        </w:rPr>
      </w:r>
    </w:p>
    <w:p w:rsidR="00000000" w:rsidDel="00000000" w:rsidP="00000000" w:rsidRDefault="00000000" w:rsidRPr="00000000" w14:paraId="0000009B">
      <w:pPr>
        <w:rPr>
          <w:rFonts w:ascii="Caladea" w:cs="Caladea" w:eastAsia="Caladea" w:hAnsi="Caladea"/>
        </w:rPr>
      </w:pPr>
      <w:r w:rsidDel="00000000" w:rsidR="00000000" w:rsidRPr="00000000">
        <w:rPr>
          <w:rFonts w:ascii="Caladea" w:cs="Caladea" w:eastAsia="Caladea" w:hAnsi="Caladea"/>
          <w:b w:val="1"/>
          <w:rtl w:val="0"/>
        </w:rPr>
        <w:t xml:space="preserve">UGA Coronavirus (COVID-19) Information and Resources: </w:t>
      </w:r>
      <w:r w:rsidDel="00000000" w:rsidR="00000000" w:rsidRPr="00000000">
        <w:rPr>
          <w:rFonts w:ascii="Caladea" w:cs="Caladea" w:eastAsia="Caladea" w:hAnsi="Caladea"/>
          <w:rtl w:val="0"/>
        </w:rPr>
        <w:t xml:space="preserve">As the COVID-19 pandemic transitions and public health conditions and treatments improve, UGA will begin treating COVID-19 as we do any other infectious disease cases. </w:t>
      </w:r>
      <w:hyperlink r:id="rId18">
        <w:r w:rsidDel="00000000" w:rsidR="00000000" w:rsidRPr="00000000">
          <w:rPr>
            <w:rFonts w:ascii="Caladea" w:cs="Caladea" w:eastAsia="Caladea" w:hAnsi="Caladea"/>
            <w:color w:val="1155cc"/>
            <w:u w:val="single"/>
            <w:rtl w:val="0"/>
          </w:rPr>
          <w:t xml:space="preserve">Read more about the changes to UGA’s COVID-19 campus response, effective May 16, 2022</w:t>
        </w:r>
      </w:hyperlink>
      <w:r w:rsidDel="00000000" w:rsidR="00000000" w:rsidRPr="00000000">
        <w:rPr>
          <w:rFonts w:ascii="Caladea" w:cs="Caladea" w:eastAsia="Caladea" w:hAnsi="Caladea"/>
          <w:rtl w:val="0"/>
        </w:rPr>
        <w:t xml:space="preserve">.</w:t>
      </w:r>
    </w:p>
    <w:p w:rsidR="00000000" w:rsidDel="00000000" w:rsidP="00000000" w:rsidRDefault="00000000" w:rsidRPr="00000000" w14:paraId="0000009C">
      <w:pPr>
        <w:rPr>
          <w:rFonts w:ascii="Caladea" w:cs="Caladea" w:eastAsia="Caladea" w:hAnsi="Caladea"/>
        </w:rPr>
      </w:pPr>
      <w:r w:rsidDel="00000000" w:rsidR="00000000" w:rsidRPr="00000000">
        <w:rPr>
          <w:rtl w:val="0"/>
        </w:rPr>
      </w:r>
    </w:p>
    <w:p w:rsidR="00000000" w:rsidDel="00000000" w:rsidP="00000000" w:rsidRDefault="00000000" w:rsidRPr="00000000" w14:paraId="0000009D">
      <w:pPr>
        <w:rPr>
          <w:rFonts w:ascii="Caladea" w:cs="Caladea" w:eastAsia="Caladea" w:hAnsi="Caladea"/>
        </w:rPr>
      </w:pPr>
      <w:r w:rsidDel="00000000" w:rsidR="00000000" w:rsidRPr="00000000">
        <w:rPr>
          <w:rFonts w:ascii="Caladea" w:cs="Caladea" w:eastAsia="Caladea" w:hAnsi="Caladea"/>
          <w:rtl w:val="0"/>
        </w:rPr>
        <w:t xml:space="preserve">As always, if viral conditions change substantially, we will be ready to adapt to keep our community safe. We are constantly monitoring local, national, and global viral conditions and will make changes to our policies if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hs.uga.edu/info/emergencies" TargetMode="External"/><Relationship Id="rId10" Type="http://schemas.openxmlformats.org/officeDocument/2006/relationships/hyperlink" Target="https://www.uhs.uga.edu/bewelluga/bewelluga" TargetMode="External"/><Relationship Id="rId13" Type="http://schemas.openxmlformats.org/officeDocument/2006/relationships/hyperlink" Target="https://caps.uga.edu/tao/" TargetMode="External"/><Relationship Id="rId12" Type="http://schemas.openxmlformats.org/officeDocument/2006/relationships/hyperlink" Target="https://caps.uga.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o.uga.edu" TargetMode="External"/><Relationship Id="rId15" Type="http://schemas.openxmlformats.org/officeDocument/2006/relationships/hyperlink" Target="http://drc.uga.edu" TargetMode="External"/><Relationship Id="rId14" Type="http://schemas.openxmlformats.org/officeDocument/2006/relationships/hyperlink" Target="https://www.uhs.uga.edu/bewelluga/bewelluga" TargetMode="External"/><Relationship Id="rId17" Type="http://schemas.openxmlformats.org/officeDocument/2006/relationships/hyperlink" Target="https://reg.uga.edu/_resources/documents/imported/FERPARequestForRestriction.pdf" TargetMode="External"/><Relationship Id="rId16" Type="http://schemas.openxmlformats.org/officeDocument/2006/relationships/hyperlink" Target="https://www.fcs.uga.edu/about/diversit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coronavirus.uga.edu/2022/05/09/changes-to-covid-19-campus-response/" TargetMode="External"/><Relationship Id="rId7" Type="http://schemas.openxmlformats.org/officeDocument/2006/relationships/hyperlink" Target="https://honesty.uga.edu/Academic-Honesty-Policy/" TargetMode="External"/><Relationship Id="rId8" Type="http://schemas.openxmlformats.org/officeDocument/2006/relationships/hyperlink" Target="http://honesty.uga.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lr44hkQQUTJrJKO2djAiRoFPg==">AMUW2mXOnu8xSaGeQHjj0zpxKiOdw7z7v60/GgV9qOQcx9KpqIqSb2OFDRfKvxHxZYtpxMh+1Jjln0pBk02SWfXa9VzamI2t3PlQn7cB+VqZz+iXooTBPRmjXpl4kRYzDRH+eFDwUVfYZ2dUzp7KHSuHkKwQs16a9A==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2021-11-12T17:18:00Z</dcterms:created>
</cp:coreProperties>
</file>