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b/>
          <w:sz w:val="24"/>
          <w:sz-cs w:val="24"/>
        </w:rPr>
        <w:t xml:space="preserve">Proposal for ClientX — OldCompany</w:t>
      </w:r>
    </w:p>
    <w:p>
      <w:pPr/>
      <w:r>
        <w:rPr>
          <w:rFonts w:ascii="Times" w:hAnsi="Times" w:cs="Times"/>
          <w:b/>
          <w:sz w:val="24"/>
          <w:sz-cs w:val="24"/>
        </w:rPr>
        <w:t xml:space="preserve">Date: 2025-07-07</w:t>
      </w:r>
    </w:p>
    <w:p>
      <w:pPr/>
      <w:r>
        <w:rPr>
          <w:rFonts w:ascii="Times" w:hAnsi="Times" w:cs="Times"/>
          <w:b/>
          <w:sz w:val="24"/>
          <w:sz-cs w:val="24"/>
        </w:rPr>
        <w:t xml:space="preserve">Executive Summary</w:t>
      </w:r>
    </w:p>
    <w:p>
      <w:pPr/>
      <w:r>
        <w:rPr>
          <w:rFonts w:ascii="Times" w:hAnsi="Times" w:cs="Times"/>
          <w:b/>
          <w:sz w:val="24"/>
          <w:sz-cs w:val="24"/>
        </w:rPr>
        <w:t xml:space="preserve"/>
      </w:r>
    </w:p>
    <w:p>
      <w:pPr/>
      <w:r>
        <w:rPr>
          <w:rFonts w:ascii="Times" w:hAnsi="Times" w:cs="Times"/>
          <w:b/>
          <w:sz w:val="24"/>
          <w:sz-cs w:val="24"/>
        </w:rPr>
        <w:t xml:space="preserve">07535187563</w:t>
      </w:r>
    </w:p>
    <w:p>
      <w:pPr/>
      <w:r>
        <w:rPr>
          <w:rFonts w:ascii="Times" w:hAnsi="Times" w:cs="Times"/>
          <w:b/>
          <w:sz w:val="24"/>
          <w:sz-cs w:val="24"/>
        </w:rPr>
        <w:t xml:space="preserve"/>
      </w:r>
    </w:p>
    <w:p>
      <w:pPr/>
      <w:r>
        <w:rPr>
          <w:rFonts w:ascii="Times" w:hAnsi="Times" w:cs="Times"/>
          <w:b/>
          <w:sz w:val="24"/>
          <w:sz-cs w:val="24"/>
        </w:rPr>
        <w:t xml:space="preserve">OldCompany has built a reputation for excellence over the past decade, providing comprehensive solutions that drive measurable value for our partners. Our cross‑functional teams leverage best‑in‑class methodologies, heavily focused on continuous improvement and stakeholder alignment. This proposal outlines the scope of work, success criteria, and phased delivery schedule intended to help ClientX achieve operational efficiencies and accelerate growth.</w:t>
        <w:br/>
        <w:t xml:space="preserve"/>
      </w:r>
    </w:p>
    <w:p>
      <w:pPr/>
      <w:r>
        <w:rPr>
          <w:rFonts w:ascii="Times" w:hAnsi="Times" w:cs="Times"/>
          <w:b/>
          <w:sz w:val="24"/>
          <w:sz-cs w:val="24"/>
        </w:rPr>
        <w:t xml:space="preserve">OldCompany has built a reputation for excellence over the past decade, providing comprehensive solutions that drive measurable value for our partners. Our cross‑functional teams leverage best‑in‑class methodologies, heavily focused on continuous improvement and stakeholder alignment. This proposal outlines the scope of work, success criteria, and phased delivery schedule intended to help ClientX achieve operational efficiencies and accelerate growth.</w:t>
        <w:br/>
        <w:t xml:space="preserve"/>
      </w:r>
    </w:p>
    <w:p>
      <w:pPr/>
      <w:r>
        <w:rPr>
          <w:rFonts w:ascii="Times" w:hAnsi="Times" w:cs="Times"/>
          <w:b/>
          <w:sz w:val="24"/>
          <w:sz-cs w:val="24"/>
        </w:rPr>
        <w:t xml:space="preserve">OldCompany has built a reputation for excellence over the past decade, providing comprehensive solutions that drive measurable value for our partners. Our cross‑functional teams leverage best‑in‑class methodologies, heavily focused on continuous improvement and stakeholder alignment. This proposal outlines the scope of work, success criteria, and phased delivery schedule intended to help ClientX achieve operational efficiencies and accelerate growth.</w:t>
        <w:br/>
        <w:t xml:space="preserve"/>
      </w:r>
    </w:p>
    <w:p>
      <w:pPr/>
      <w:r>
        <w:rPr>
          <w:rFonts w:ascii="Times" w:hAnsi="Times" w:cs="Times"/>
          <w:b/>
          <w:sz w:val="24"/>
          <w:sz-cs w:val="24"/>
        </w:rPr>
        <w:t xml:space="preserve">OldCompany has built a reputation for excellence over the past decade, providing comprehensive solutions that drive measurable value for our partners. Our cross‑functional teams leverage best‑in‑class methodologies, heavily focused on continuous improvement and stakeholder alignment. This proposal outlines the scope of work, success criteria, and phased delivery schedule intended to help ClientX achieve operational efficiencies and accelerate growth.</w:t>
        <w:br/>
        <w:t xml:space="preserve"/>
      </w:r>
    </w:p>
    <w:p>
      <w:pPr/>
      <w:r>
        <w:rPr>
          <w:rFonts w:ascii="Times" w:hAnsi="Times" w:cs="Times"/>
          <w:b/>
          <w:sz w:val="24"/>
          <w:sz-cs w:val="24"/>
        </w:rPr>
        <w:t xml:space="preserve">Key Services</w:t>
      </w:r>
    </w:p>
    <w:p>
      <w:pPr/>
      <w:r>
        <w:rPr>
          <w:rFonts w:ascii="Times" w:hAnsi="Times" w:cs="Times"/>
          <w:b/>
          <w:sz w:val="24"/>
          <w:sz-cs w:val="24"/>
        </w:rPr>
        <w:t xml:space="preserve">Strategic Advisory</w:t>
      </w:r>
    </w:p>
    <w:p>
      <w:pPr/>
      <w:r>
        <w:rPr>
          <w:rFonts w:ascii="Times" w:hAnsi="Times" w:cs="Times"/>
          <w:b/>
          <w:sz w:val="24"/>
          <w:sz-cs w:val="24"/>
        </w:rPr>
        <w:t xml:space="preserve">Process Automation</w:t>
      </w:r>
    </w:p>
    <w:p>
      <w:pPr/>
      <w:r>
        <w:rPr>
          <w:rFonts w:ascii="Times" w:hAnsi="Times" w:cs="Times"/>
          <w:b/>
          <w:sz w:val="24"/>
          <w:sz-cs w:val="24"/>
        </w:rPr>
        <w:t xml:space="preserve">Comprehensive Training</w:t>
      </w:r>
    </w:p>
    <w:p>
      <w:pPr/>
      <w:r>
        <w:rPr>
          <w:rFonts w:ascii="Times" w:hAnsi="Times" w:cs="Times"/>
          <w:b/>
          <w:sz w:val="24"/>
          <w:sz-cs w:val="24"/>
        </w:rPr>
        <w:t xml:space="preserve">24/7 Support</w:t>
      </w:r>
    </w:p>
    <w:p>
      <w:pPr/>
      <w:r>
        <w:rPr>
          <w:rFonts w:ascii="Times" w:hAnsi="Times" w:cs="Times"/>
          <w:b/>
          <w:sz w:val="24"/>
          <w:sz-cs w:val="24"/>
        </w:rPr>
        <w:t xml:space="preserve">Pricing &amp; Commercials</w:t>
      </w:r>
    </w:p>
    <w:p>
      <w:pPr/>
      <w:r>
        <w:rPr>
          <w:rFonts w:ascii="Times" w:hAnsi="Times" w:cs="Times"/>
          <w:b/>
          <w:sz w:val="24"/>
          <w:sz-cs w:val="24"/>
        </w:rPr>
        <w:t xml:space="preserve">OldCompany proposes a subscription‑based model at £4,500 per month. All fees are exclusive of VAT and payable within thirty (30) days of invoice date.</w:t>
      </w:r>
    </w:p>
    <w:p>
      <w:pPr/>
      <w:r>
        <w:rPr>
          <w:rFonts w:ascii="Times" w:hAnsi="Times" w:cs="Times"/>
          <w:b/>
          <w:sz w:val="24"/>
          <w:sz-cs w:val="24"/>
        </w:rPr>
        <w:t xml:space="preserve"/>
        <w:br w:type="page"/>
        <w:t xml:space="preserve"/>
      </w:r>
    </w:p>
    <w:p>
      <w:pPr/>
      <w:r>
        <w:rPr>
          <w:rFonts w:ascii="Times" w:hAnsi="Times" w:cs="Times"/>
          <w:b/>
          <w:sz w:val="24"/>
          <w:sz-cs w:val="24"/>
        </w:rPr>
        <w:t xml:space="preserve">Terms &amp; Conditions</w:t>
        <w:br/>
        <w:t xml:space="preserve"/>
        <w:br/>
        <w:t xml:space="preserve">All deliverables provided by OldCompany remain the intellectual property of OldCompany until all invoices have been paid in full. Confidentiality clauses apply as outlined under Appendix A. This proposal is valid for ninety (90) days from the issue date.</w:t>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CocoaOOXMLWriter/2575.6</generator>
</meta>
</file>