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Proposal for ClientX — OldCompany</w:t>
      </w:r>
    </w:p>
    <w:p>
      <w:pPr/>
      <w:r>
        <w:rPr>
          <w:rFonts w:ascii="Times" w:hAnsi="Times" w:cs="Times"/>
          <w:sz w:val="24"/>
          <w:sz-cs w:val="24"/>
        </w:rPr>
        <w:t xml:space="preserve">Date: 2025-07-07</w:t>
      </w:r>
    </w:p>
    <w:p>
      <w:pPr/>
      <w:r>
        <w:rPr>
          <w:rFonts w:ascii="Times" w:hAnsi="Times" w:cs="Times"/>
          <w:sz w:val="24"/>
          <w:sz-cs w:val="24"/>
        </w:rPr>
        <w:t xml:space="preserve">Executive Summary</w:t>
      </w:r>
    </w:p>
    <w:p>
      <w:pPr/>
      <w:r>
        <w:rPr>
          <w:rFonts w:ascii="Times" w:hAnsi="Times" w:cs="Times"/>
          <w:sz w:val="24"/>
          <w:sz-cs w:val="24"/>
        </w:rPr>
        <w:t xml:space="preserve"/>
      </w:r>
    </w:p>
    <w:p>
      <w:pPr/>
      <w:r>
        <w:rPr>
          <w:rFonts w:ascii="Times" w:hAnsi="Times" w:cs="Times"/>
          <w:sz w:val="24"/>
          <w:sz-cs w:val="24"/>
        </w:rPr>
        <w:t xml:space="preserve">07535187563</w:t>
      </w:r>
    </w:p>
    <w:p>
      <w:pPr/>
      <w:r>
        <w:rPr>
          <w:rFonts w:ascii="Times" w:hAnsi="Times" w:cs="Times"/>
          <w:sz w:val="24"/>
          <w:sz-cs w:val="24"/>
        </w:rPr>
        <w:t xml:space="preserve"/>
      </w:r>
    </w:p>
    <w:p>
      <w:pPr/>
      <w:r>
        <w:rPr>
          <w:rFonts w:ascii="Times" w:hAnsi="Times" w:cs="Times"/>
          <w:sz w:val="24"/>
          <w:sz-cs w:val="24"/>
        </w:rP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accelerate growth.</w:t>
        <w:br/>
        <w:t xml:space="preserve"/>
      </w:r>
    </w:p>
    <w:p>
      <w:pPr/>
      <w:r>
        <w:rPr>
          <w:rFonts w:ascii="Times" w:hAnsi="Times" w:cs="Times"/>
          <w:sz w:val="24"/>
          <w:sz-cs w:val="24"/>
        </w:rP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accelerate growth.</w:t>
        <w:br/>
        <w:t xml:space="preserve"/>
      </w:r>
    </w:p>
    <w:p>
      <w:pPr/>
      <w:r>
        <w:rPr>
          <w:rFonts w:ascii="Times" w:hAnsi="Times" w:cs="Times"/>
          <w:sz w:val="24"/>
          <w:sz-cs w:val="24"/>
        </w:rP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accelerate growth.</w:t>
        <w:br/>
        <w:t xml:space="preserve"/>
      </w:r>
    </w:p>
    <w:p>
      <w:pPr/>
      <w:r>
        <w:rPr>
          <w:rFonts w:ascii="Times" w:hAnsi="Times" w:cs="Times"/>
          <w:sz w:val="24"/>
          <w:sz-cs w:val="24"/>
        </w:rP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accelerate growth.</w:t>
        <w:br/>
        <w:t xml:space="preserve"/>
      </w:r>
    </w:p>
    <w:p>
      <w:pPr/>
      <w:r>
        <w:rPr>
          <w:rFonts w:ascii="Times" w:hAnsi="Times" w:cs="Times"/>
          <w:sz w:val="24"/>
          <w:sz-cs w:val="24"/>
        </w:rPr>
        <w:t xml:space="preserve">Key Services</w:t>
      </w:r>
    </w:p>
    <w:p>
      <w:pPr/>
      <w:r>
        <w:rPr>
          <w:rFonts w:ascii="Times" w:hAnsi="Times" w:cs="Times"/>
          <w:sz w:val="24"/>
          <w:sz-cs w:val="24"/>
        </w:rPr>
        <w:t xml:space="preserve">Strategic Advisory</w:t>
      </w:r>
    </w:p>
    <w:p>
      <w:pPr/>
      <w:r>
        <w:rPr>
          <w:rFonts w:ascii="Times" w:hAnsi="Times" w:cs="Times"/>
          <w:sz w:val="24"/>
          <w:sz-cs w:val="24"/>
        </w:rPr>
        <w:t xml:space="preserve">Process Automation</w:t>
      </w:r>
    </w:p>
    <w:p>
      <w:pPr/>
      <w:r>
        <w:rPr>
          <w:rFonts w:ascii="Times" w:hAnsi="Times" w:cs="Times"/>
          <w:sz w:val="24"/>
          <w:sz-cs w:val="24"/>
        </w:rPr>
        <w:t xml:space="preserve">Comprehensive Training</w:t>
      </w:r>
    </w:p>
    <w:p>
      <w:pPr/>
      <w:r>
        <w:rPr>
          <w:rFonts w:ascii="Times" w:hAnsi="Times" w:cs="Times"/>
          <w:sz w:val="24"/>
          <w:sz-cs w:val="24"/>
        </w:rPr>
        <w:t xml:space="preserve">24/7 Support</w:t>
      </w:r>
    </w:p>
    <w:p>
      <w:pPr/>
      <w:r>
        <w:rPr>
          <w:rFonts w:ascii="Times" w:hAnsi="Times" w:cs="Times"/>
          <w:sz w:val="24"/>
          <w:sz-cs w:val="24"/>
        </w:rPr>
        <w:t xml:space="preserve">Pricing &amp; Commercials</w:t>
      </w:r>
    </w:p>
    <w:p>
      <w:pPr/>
      <w:r>
        <w:rPr>
          <w:rFonts w:ascii="Times" w:hAnsi="Times" w:cs="Times"/>
          <w:sz w:val="24"/>
          <w:sz-cs w:val="24"/>
        </w:rPr>
        <w:t xml:space="preserve">OldCompany proposes a subscription‑based model at £4,500 per month. All fees are exclusive of VAT and payable within thirty (30) days of invoice date.</w:t>
      </w:r>
    </w:p>
    <w:p>
      <w:pPr/>
      <w:r>
        <w:rPr>
          <w:rFonts w:ascii="Times" w:hAnsi="Times" w:cs="Times"/>
          <w:sz w:val="24"/>
          <w:sz-cs w:val="24"/>
        </w:rPr>
        <w:t xml:space="preserve"/>
        <w:br w:type="page"/>
        <w:t xml:space="preserve"/>
      </w:r>
    </w:p>
    <w:p>
      <w:pPr/>
      <w:r>
        <w:rPr>
          <w:rFonts w:ascii="Times" w:hAnsi="Times" w:cs="Times"/>
          <w:sz w:val="24"/>
          <w:sz-cs w:val="24"/>
        </w:rPr>
        <w:t xml:space="preserve">Terms &amp; Conditions</w:t>
        <w:br/>
        <w:t xml:space="preserve"/>
        <w:br/>
        <w:t xml:space="preserve">All deliverables provided by OldCompany remain the intellectual property of OldCompany until all invoices have been paid in full. Confidentiality clauses apply as outlined under Appendix A. This proposal is valid for ninety (90) days from the issue date.</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CocoaOOXMLWriter/2575.6</generator>
</meta>
</file>