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160"/>
        <w:jc w:val="center"/>
      </w:pPr>
      <w:r>
        <w:rPr>
          <w:rFonts w:ascii="Arial" w:cs="Arial" w:eastAsia="Arial" w:hAnsi="Arial"/>
          <w:b/>
          <w:bCs/>
          <w:color w:val="FFFFFF"/>
          <w:sz w:val="38"/>
          <w:szCs w:val="38"/>
        </w:rPr>
        <w:t xml:space="preserve">DATA AUDIT REPORT</w:t>
      </w:r>
    </w:p>
    <w:p>
      <w:pPr>
        <w:shd w:fill="1F4E79" w:val="clear"/>
        <w:spacing w:after="0" w:before="0"/>
        <w:jc w:val="center"/>
      </w:pPr>
      <w:r>
        <w:rPr>
          <w:rFonts w:ascii="Arial" w:cs="Arial" w:eastAsia="Arial" w:hAnsi="Arial"/>
          <w:b/>
          <w:bCs/>
          <w:color w:val="D6E4F0"/>
          <w:sz w:val="24"/>
          <w:szCs w:val="24"/>
        </w:rPr>
        <w:t xml:space="preserve">Warehouse Operations &amp; Profitability Analysis</w:t>
      </w:r>
    </w:p>
    <w:p>
      <w:pPr>
        <w:shd w:fill="1F4E79" w:val="clear"/>
        <w:spacing w:after="200" w:before="0"/>
        <w:jc w:val="center"/>
      </w:pPr>
      <w:r>
        <w:rPr>
          <w:rFonts w:ascii="Arial" w:cs="Arial" w:eastAsia="Arial" w:hAnsi="Arial"/>
          <w:color w:val="D6E4F0"/>
          <w:sz w:val="19"/>
          <w:szCs w:val="19"/>
        </w:rPr>
        <w:t xml:space="preserve">NorthCrest Dairy  |  Phase 1 of 3: Data Audit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2200"/>
        <w:gridCol w:w="2480"/>
      </w:tblGrid>
      <w:tr>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Analyst</w:t>
            </w:r>
          </w:p>
        </w:tc>
        <w:tc>
          <w:tcPr>
            <w:tcW w:type="dxa" w:w="248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color w:val="595959"/>
                <w:sz w:val="18"/>
                <w:szCs w:val="18"/>
              </w:rPr>
              <w:t xml:space="preserve">Maj Okrikri</w:t>
            </w:r>
          </w:p>
        </w:tc>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Date</w:t>
            </w:r>
          </w:p>
        </w:tc>
        <w:tc>
          <w:tcPr>
            <w:tcW w:type="dxa" w:w="248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color w:val="595959"/>
                <w:sz w:val="18"/>
                <w:szCs w:val="18"/>
              </w:rPr>
              <w:t xml:space="preserve">May 2026</w:t>
            </w:r>
          </w:p>
        </w:tc>
      </w:tr>
      <w:tr>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Dataset</w:t>
            </w:r>
          </w:p>
        </w:tc>
        <w:tc>
          <w:tcPr>
            <w:tcW w:type="dxa" w:w="248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color w:val="595959"/>
                <w:sz w:val="18"/>
                <w:szCs w:val="18"/>
              </w:rPr>
              <w:t xml:space="preserve">saputo_warehouse_data.xlsx</w:t>
            </w:r>
          </w:p>
        </w:tc>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Project Phase</w:t>
            </w:r>
          </w:p>
        </w:tc>
        <w:tc>
          <w:tcPr>
            <w:tcW w:type="dxa" w:w="248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color w:val="595959"/>
                <w:sz w:val="18"/>
                <w:szCs w:val="18"/>
              </w:rPr>
              <w:t xml:space="preserve">Phase 1 of 3 - Data Audit</w:t>
            </w:r>
          </w:p>
        </w:tc>
      </w:tr>
      <w:tr>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Total Issues Found</w:t>
            </w:r>
          </w:p>
        </w:tc>
        <w:tc>
          <w:tcPr>
            <w:tcW w:type="dxa" w:w="248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b/>
                <w:bCs/>
                <w:color w:val="C0392B"/>
                <w:sz w:val="18"/>
                <w:szCs w:val="18"/>
              </w:rPr>
              <w:t xml:space="preserve">13 issues across 4 of 5 sheets</w:t>
            </w:r>
          </w:p>
        </w:tc>
        <w:tc>
          <w:tcPr>
            <w:tcW w:type="dxa" w:w="220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Rows Requiring Action</w:t>
            </w:r>
          </w:p>
        </w:tc>
        <w:tc>
          <w:tcPr>
            <w:tcW w:type="dxa" w:w="2480"/>
            <w:tcBorders>
              <w:top w:val="single" w:color="BDD7EE" w:sz="4"/>
              <w:left w:val="single" w:color="BDD7EE" w:sz="4"/>
              <w:bottom w:val="single" w:color="BDD7EE" w:sz="4"/>
              <w:right w:val="single" w:color="BDD7EE" w:sz="4"/>
            </w:tcBorders>
            <w:tcMar>
              <w:top w:type="dxa" w:w="80"/>
              <w:left w:type="dxa" w:w="140"/>
              <w:bottom w:type="dxa" w:w="80"/>
              <w:right w:type="dxa" w:w="140"/>
            </w:tcMar>
          </w:tcPr>
          <w:p>
            <w:r>
              <w:rPr>
                <w:rFonts w:ascii="Arial" w:cs="Arial" w:eastAsia="Arial" w:hAnsi="Arial"/>
                <w:b/>
                <w:bCs/>
                <w:color w:val="C0392B"/>
                <w:sz w:val="18"/>
                <w:szCs w:val="18"/>
              </w:rPr>
              <w:t xml:space="preserve">200+ rows directly affected</w:t>
            </w:r>
          </w:p>
        </w:tc>
      </w:tr>
    </w:tbl>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1.  Purpose of This Document</w:t>
      </w:r>
    </w:p>
    <w:p>
      <w:pPr>
        <w:spacing w:after="0" w:before="80"/>
      </w:pPr>
      <w:r>
        <w:t xml:space="preserve"/>
      </w:r>
    </w:p>
    <w:p>
      <w:pPr>
        <w:spacing w:after="50" w:before="50"/>
      </w:pPr>
      <w:r>
        <w:rPr>
          <w:rFonts w:ascii="Arial" w:cs="Arial" w:eastAsia="Arial" w:hAnsi="Arial"/>
          <w:color w:val="595959"/>
          <w:sz w:val="19"/>
          <w:szCs w:val="19"/>
        </w:rPr>
        <w:t xml:space="preserve">This report documents the findings of a structured data audit conducted on the NorthCrest Dairy warehouse dataset prior to any cleaning or analysis. The purpose of the audit is to:</w:t>
      </w:r>
    </w:p>
    <w:p>
      <w:pPr>
        <w:spacing w:after="0" w:before="40"/>
      </w:pPr>
      <w:r>
        <w:t xml:space="preserve"/>
      </w:r>
    </w:p>
    <w:p>
      <w:pPr>
        <w:pStyle w:val="ListParagraph"/>
        <w:numPr>
          <w:ilvl w:val="0"/>
          <w:numId w:val="2"/>
        </w:numPr>
        <w:spacing w:after="36" w:before="36"/>
      </w:pPr>
      <w:r>
        <w:rPr>
          <w:rFonts w:ascii="Arial" w:cs="Arial" w:eastAsia="Arial" w:hAnsi="Arial"/>
          <w:color w:val="595959"/>
          <w:sz w:val="19"/>
          <w:szCs w:val="19"/>
        </w:rPr>
        <w:t xml:space="preserve">Establish a complete, verified inventory of every data quality issue present across all five sheets.</w:t>
      </w:r>
    </w:p>
    <w:p>
      <w:pPr>
        <w:pStyle w:val="ListParagraph"/>
        <w:numPr>
          <w:ilvl w:val="0"/>
          <w:numId w:val="2"/>
        </w:numPr>
        <w:spacing w:after="36" w:before="36"/>
      </w:pPr>
      <w:r>
        <w:rPr>
          <w:rFonts w:ascii="Arial" w:cs="Arial" w:eastAsia="Arial" w:hAnsi="Arial"/>
          <w:color w:val="595959"/>
          <w:sz w:val="19"/>
          <w:szCs w:val="19"/>
        </w:rPr>
        <w:t xml:space="preserve">Assign a severity rating to each issue so that cleaning effort is prioritized correctly.</w:t>
      </w:r>
    </w:p>
    <w:p>
      <w:pPr>
        <w:pStyle w:val="ListParagraph"/>
        <w:numPr>
          <w:ilvl w:val="0"/>
          <w:numId w:val="2"/>
        </w:numPr>
        <w:spacing w:after="36" w:before="36"/>
      </w:pPr>
      <w:r>
        <w:rPr>
          <w:rFonts w:ascii="Arial" w:cs="Arial" w:eastAsia="Arial" w:hAnsi="Arial"/>
          <w:color w:val="595959"/>
          <w:sz w:val="19"/>
          <w:szCs w:val="19"/>
        </w:rPr>
        <w:t xml:space="preserve">Produce a sequenced cleaning plan that can be executed in Excel during Phase 2.</w:t>
      </w:r>
    </w:p>
    <w:p>
      <w:pPr>
        <w:pStyle w:val="ListParagraph"/>
        <w:numPr>
          <w:ilvl w:val="0"/>
          <w:numId w:val="2"/>
        </w:numPr>
        <w:spacing w:after="36" w:before="36"/>
      </w:pPr>
      <w:r>
        <w:rPr>
          <w:rFonts w:ascii="Arial" w:cs="Arial" w:eastAsia="Arial" w:hAnsi="Arial"/>
          <w:color w:val="595959"/>
          <w:sz w:val="19"/>
          <w:szCs w:val="19"/>
        </w:rPr>
        <w:t xml:space="preserve">Serve as a reference document that explains every cleaning decision made, ensuring the analysis is defensible and reproducible.</w:t>
      </w:r>
    </w:p>
    <w:p>
      <w:pPr>
        <w:spacing w:after="0" w:before="60"/>
      </w:pPr>
      <w:r>
        <w:t xml:space="preserve"/>
      </w:r>
    </w:p>
    <w:p>
      <w:pPr>
        <w:spacing w:after="50" w:before="50"/>
      </w:pPr>
      <w:r>
        <w:rPr>
          <w:rFonts w:ascii="Arial" w:cs="Arial" w:eastAsia="Arial" w:hAnsi="Arial"/>
          <w:color w:val="595959"/>
          <w:sz w:val="19"/>
          <w:szCs w:val="19"/>
        </w:rPr>
        <w:t xml:space="preserve">This document is the professional standard for data audit reporting. Every data analyst project should begin with a document of this structure before any transformation is applied to the source data.</w:t>
      </w:r>
    </w:p>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2.  Dataset Overview</w:t>
      </w:r>
    </w:p>
    <w:p>
      <w:pPr>
        <w:spacing w:after="0" w:before="80"/>
      </w:pPr>
      <w:r>
        <w:t xml:space="preserve"/>
      </w:r>
    </w:p>
    <w:p>
      <w:pPr>
        <w:spacing w:after="50" w:before="50"/>
      </w:pPr>
      <w:r>
        <w:rPr>
          <w:rFonts w:ascii="Arial" w:cs="Arial" w:eastAsia="Arial" w:hAnsi="Arial"/>
          <w:color w:val="595959"/>
          <w:sz w:val="19"/>
          <w:szCs w:val="19"/>
        </w:rPr>
        <w:t xml:space="preserve">The dataset is an internal warehouse ERP export covering January 2023 to December 2025. It is structured across five sheets, each representing a distinct entity in the data model.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300"/>
        <w:gridCol w:w="1500"/>
        <w:gridCol w:w="2160"/>
      </w:tblGrid>
      <w:tr>
        <w:tc>
          <w:tcPr>
            <w:tcW w:type="dxa" w:w="1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Sheet</w:t>
            </w:r>
          </w:p>
        </w:tc>
        <w:tc>
          <w:tcPr>
            <w:tcW w:type="dxa" w:w="1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Rows</w:t>
            </w:r>
          </w:p>
        </w:tc>
        <w:tc>
          <w:tcPr>
            <w:tcW w:type="dxa" w:w="1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Columns</w:t>
            </w:r>
          </w:p>
        </w:tc>
        <w:tc>
          <w:tcPr>
            <w:tcW w:type="dxa" w:w="1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Nulls?</w:t>
            </w:r>
          </w:p>
        </w:tc>
        <w:tc>
          <w:tcPr>
            <w:tcW w:type="dxa" w:w="13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Duplicates?</w:t>
            </w:r>
          </w:p>
        </w:tc>
        <w:tc>
          <w:tcPr>
            <w:tcW w:type="dxa" w:w="15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Issues Found</w:t>
            </w:r>
          </w:p>
        </w:tc>
        <w:tc>
          <w:tcPr>
            <w:tcW w:type="dxa" w:w="21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Overall Quality</w:t>
            </w:r>
          </w:p>
        </w:tc>
      </w:tr>
      <w:tr>
        <w:tc>
          <w:tcPr>
            <w:tcW w:type="dxa" w:w="14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2,535</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12</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Yes - 3 cols</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Yes - 35 rows</w:t>
            </w:r>
          </w:p>
        </w:tc>
        <w:tc>
          <w:tcPr>
            <w:tcW w:type="dxa" w:w="15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7 distinct issue types</w:t>
            </w:r>
          </w:p>
        </w:tc>
        <w:tc>
          <w:tcPr>
            <w:tcW w:type="dxa" w:w="2160"/>
            <w:tcBorders>
              <w:top w:val="single" w:color="BDD7EE" w:sz="4"/>
              <w:left w:val="single" w:color="BDD7EE" w:sz="4"/>
              <w:bottom w:val="single" w:color="BDD7EE" w:sz="4"/>
              <w:right w:val="single" w:color="BDD7EE"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products</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22</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1</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Clean</w:t>
            </w:r>
          </w:p>
        </w:tc>
        <w:tc>
          <w:tcPr>
            <w:tcW w:type="dxa" w:w="2160"/>
            <w:tcBorders>
              <w:top w:val="single" w:color="BDD7EE" w:sz="4"/>
              <w:left w:val="single" w:color="BDD7EE" w:sz="4"/>
              <w:bottom w:val="single" w:color="BDD7EE" w:sz="4"/>
              <w:right w:val="single" w:color="BDD7EE" w:sz="4"/>
            </w:tcBorders>
            <w:shd w:fill="F4F4F4" w:val="clear"/>
            <w:tcMar>
              <w:top w:type="dxa" w:w="80"/>
              <w:left w:type="dxa" w:w="120"/>
              <w:bottom w:type="dxa" w:w="80"/>
              <w:right w:type="dxa" w:w="120"/>
            </w:tcMar>
            <w:vAlign w:val="center"/>
          </w:tcPr>
          <w:p>
            <w:pPr>
              <w:jc w:val="center"/>
            </w:pPr>
            <w:r>
              <w:rPr>
                <w:rFonts w:ascii="Arial" w:cs="Arial" w:eastAsia="Arial" w:hAnsi="Arial"/>
                <w:b/>
                <w:bCs/>
                <w:color w:val="888888"/>
                <w:sz w:val="17"/>
                <w:szCs w:val="17"/>
              </w:rPr>
              <w:t xml:space="preserve">None</w:t>
            </w:r>
          </w:p>
        </w:tc>
      </w:tr>
      <w:tr>
        <w:tc>
          <w:tcPr>
            <w:tcW w:type="dxa" w:w="14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fulfillment</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22</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2</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5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2 product name mismatches</w:t>
            </w:r>
          </w:p>
        </w:tc>
        <w:tc>
          <w:tcPr>
            <w:tcW w:type="dxa" w:w="216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r>
      <w:tr>
        <w:tc>
          <w:tcPr>
            <w:tcW w:type="dxa" w:w="1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792</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7</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Yes - 1 col</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5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3 distinct issue types</w:t>
            </w:r>
          </w:p>
        </w:tc>
        <w:tc>
          <w:tcPr>
            <w:tcW w:type="dxa" w:w="216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r>
      <w:tr>
        <w:tc>
          <w:tcPr>
            <w:tcW w:type="dxa" w:w="14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dates</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1,096</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5</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None</w:t>
            </w:r>
          </w:p>
        </w:tc>
        <w:tc>
          <w:tcPr>
            <w:tcW w:type="dxa" w:w="15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2 distinct issue types</w:t>
            </w:r>
          </w:p>
        </w:tc>
        <w:tc>
          <w:tcPr>
            <w:tcW w:type="dxa" w:w="2160"/>
            <w:tcBorders>
              <w:top w:val="single" w:color="BDD7EE" w:sz="4"/>
              <w:left w:val="single" w:color="BDD7EE" w:sz="4"/>
              <w:bottom w:val="single" w:color="BDD7EE" w:sz="4"/>
              <w:right w:val="single" w:color="BDD7EE" w:sz="4"/>
            </w:tcBorders>
            <w:shd w:fill="EAF6EC" w:val="clear"/>
            <w:tcMar>
              <w:top w:type="dxa" w:w="80"/>
              <w:left w:type="dxa" w:w="120"/>
              <w:bottom w:type="dxa" w:w="80"/>
              <w:right w:type="dxa" w:w="120"/>
            </w:tcMar>
            <w:vAlign w:val="center"/>
          </w:tcPr>
          <w:p>
            <w:pPr>
              <w:jc w:val="center"/>
            </w:pPr>
            <w:r>
              <w:rPr>
                <w:rFonts w:ascii="Arial" w:cs="Arial" w:eastAsia="Arial" w:hAnsi="Arial"/>
                <w:b/>
                <w:bCs/>
                <w:color w:val="1E6B2E"/>
                <w:sz w:val="17"/>
                <w:szCs w:val="17"/>
              </w:rPr>
              <w:t xml:space="preserve">Low</w:t>
            </w:r>
          </w:p>
        </w:tc>
      </w:tr>
    </w:tbl>
    <w:p>
      <w:pPr>
        <w:spacing w:after="0" w:before="80"/>
      </w:pPr>
      <w:r>
        <w:t xml:space="preserve"/>
      </w:r>
    </w:p>
    <w:p>
      <w:pPr>
        <w:spacing w:after="50" w:before="50"/>
      </w:pPr>
      <w:r>
        <w:rPr>
          <w:rFonts w:ascii="Arial" w:cs="Arial" w:eastAsia="Arial" w:hAnsi="Arial"/>
          <w:color w:val="595959"/>
          <w:sz w:val="19"/>
          <w:szCs w:val="19"/>
        </w:rPr>
        <w:t xml:space="preserve">The orders sheet is the central fact table and carries the most severe issues. The products sheet is the only sheet that is fully clean. The fulfillment, inventory, and dates sheets each carry moderate issues that are straightforward to resolve.</w:t>
      </w:r>
    </w:p>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3.  Severity Rating Framework</w:t>
      </w:r>
    </w:p>
    <w:p>
      <w:pPr>
        <w:spacing w:after="0" w:before="80"/>
      </w:pPr>
      <w:r>
        <w:t xml:space="preserve"/>
      </w:r>
    </w:p>
    <w:p>
      <w:pPr>
        <w:spacing w:after="50" w:before="50"/>
      </w:pPr>
      <w:r>
        <w:rPr>
          <w:rFonts w:ascii="Arial" w:cs="Arial" w:eastAsia="Arial" w:hAnsi="Arial"/>
          <w:color w:val="595959"/>
          <w:sz w:val="19"/>
          <w:szCs w:val="19"/>
        </w:rPr>
        <w:t xml:space="preserve">All issues in this audit are rated using the following four-level framework. Severity is determined by the impact an unresolved issue would have on the accuracy of the final analysis and dashboards.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Level</w:t>
            </w:r>
          </w:p>
        </w:tc>
        <w:tc>
          <w:tcPr>
            <w:tcW w:type="dxa" w:w="24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Definition</w:t>
            </w:r>
          </w:p>
        </w:tc>
        <w:tc>
          <w:tcPr>
            <w:tcW w:type="dxa" w:w="55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Example</w:t>
            </w:r>
          </w:p>
        </w:tc>
      </w:tr>
      <w:tr>
        <w:tc>
          <w:tcPr>
            <w:tcW w:type="dxa" w:w="1400"/>
            <w:tcBorders>
              <w:top w:val="single" w:color="BDD7EE" w:sz="4"/>
              <w:left w:val="single" w:color="BDD7EE" w:sz="4"/>
              <w:bottom w:val="single" w:color="BDD7EE" w:sz="4"/>
              <w:right w:val="single" w:color="BDD7EE"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24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Will cause incorrect results if not fixed before analysis</w:t>
            </w:r>
          </w:p>
        </w:tc>
        <w:tc>
          <w:tcPr>
            <w:tcW w:type="dxa" w:w="55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Duplicate rows - every revenue total will be overstated until removed</w:t>
            </w:r>
          </w:p>
        </w:tc>
      </w:tr>
      <w:tr>
        <w:tc>
          <w:tcPr>
            <w:tcW w:type="dxa" w:w="1400"/>
            <w:tcBorders>
              <w:top w:val="single" w:color="BDD7EE" w:sz="4"/>
              <w:left w:val="single" w:color="BDD7EE" w:sz="4"/>
              <w:bottom w:val="single" w:color="BDD7EE" w:sz="4"/>
              <w:right w:val="single" w:color="BDD7EE" w:sz="4"/>
            </w:tcBorders>
            <w:shd w:fill="FDE8D8" w:val="clear"/>
            <w:tcMar>
              <w:top w:type="dxa" w:w="80"/>
              <w:left w:type="dxa" w:w="120"/>
              <w:bottom w:type="dxa" w:w="80"/>
              <w:right w:type="dxa" w:w="120"/>
            </w:tcMar>
            <w:vAlign w:val="center"/>
          </w:tcPr>
          <w:p>
            <w:pPr>
              <w:jc w:val="center"/>
            </w:pPr>
            <w:r>
              <w:rPr>
                <w:rFonts w:ascii="Arial" w:cs="Arial" w:eastAsia="Arial" w:hAnsi="Arial"/>
                <w:b/>
                <w:bCs/>
                <w:color w:val="C0501B"/>
                <w:sz w:val="17"/>
                <w:szCs w:val="17"/>
              </w:rPr>
              <w:t xml:space="preserve">High</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Significantly distorts a key metric or breaks a table relationship</w:t>
            </w:r>
          </w:p>
        </w:tc>
        <w:tc>
          <w:tcPr>
            <w:tcW w:type="dxa" w:w="5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Product Name inconsistencies - joins between orders and products will fail for affected rows</w:t>
            </w:r>
          </w:p>
        </w:tc>
      </w:tr>
      <w:tr>
        <w:tc>
          <w:tcPr>
            <w:tcW w:type="dxa" w:w="140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c>
          <w:tcPr>
            <w:tcW w:type="dxa" w:w="24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Causes partial data loss or broken filters for a subset of records</w:t>
            </w:r>
          </w:p>
        </w:tc>
        <w:tc>
          <w:tcPr>
            <w:tcW w:type="dxa" w:w="55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Missing Customer Region - geographic analysis will exclude affected rows silently</w:t>
            </w:r>
          </w:p>
        </w:tc>
      </w:tr>
      <w:tr>
        <w:tc>
          <w:tcPr>
            <w:tcW w:type="dxa" w:w="1400"/>
            <w:tcBorders>
              <w:top w:val="single" w:color="BDD7EE" w:sz="4"/>
              <w:left w:val="single" w:color="BDD7EE" w:sz="4"/>
              <w:bottom w:val="single" w:color="BDD7EE" w:sz="4"/>
              <w:right w:val="single" w:color="BDD7EE" w:sz="4"/>
            </w:tcBorders>
            <w:shd w:fill="EAF6EC" w:val="clear"/>
            <w:tcMar>
              <w:top w:type="dxa" w:w="80"/>
              <w:left w:type="dxa" w:w="120"/>
              <w:bottom w:type="dxa" w:w="80"/>
              <w:right w:type="dxa" w:w="120"/>
            </w:tcMar>
            <w:vAlign w:val="center"/>
          </w:tcPr>
          <w:p>
            <w:pPr>
              <w:jc w:val="center"/>
            </w:pPr>
            <w:r>
              <w:rPr>
                <w:rFonts w:ascii="Arial" w:cs="Arial" w:eastAsia="Arial" w:hAnsi="Arial"/>
                <w:b/>
                <w:bCs/>
                <w:color w:val="1E6B2E"/>
                <w:sz w:val="17"/>
                <w:szCs w:val="17"/>
              </w:rPr>
              <w:t xml:space="preserve">Low</w:t>
            </w:r>
          </w:p>
        </w:tc>
        <w:tc>
          <w:tcPr>
            <w:tcW w:type="dxa" w:w="24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Minor quality issue that does not distort metrics but affects presentation or consistency</w:t>
            </w:r>
          </w:p>
        </w:tc>
        <w:tc>
          <w:tcPr>
            <w:tcW w:type="dxa" w:w="55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Misspelled month names in dates sheet - does not affect calculations but produces incorrect labels</w:t>
            </w:r>
          </w:p>
        </w:tc>
      </w:tr>
    </w:tbl>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4.  Detailed Issue Log</w:t>
      </w:r>
    </w:p>
    <w:p>
      <w:pPr>
        <w:spacing w:after="0" w:before="80"/>
      </w:pPr>
      <w:r>
        <w:t xml:space="preserve"/>
      </w:r>
    </w:p>
    <w:p>
      <w:pPr>
        <w:spacing w:after="50" w:before="50"/>
      </w:pPr>
      <w:r>
        <w:rPr>
          <w:rFonts w:ascii="Arial" w:cs="Arial" w:eastAsia="Arial" w:hAnsi="Arial"/>
          <w:color w:val="595959"/>
          <w:sz w:val="19"/>
          <w:szCs w:val="19"/>
        </w:rPr>
        <w:t xml:space="preserve">The table below documents every issue identified during the audit. Each row contains a precise description of the problem and the specific cleaning action required to resolve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200"/>
        <w:gridCol w:w="1600"/>
        <w:gridCol w:w="1300"/>
        <w:gridCol w:w="1200"/>
        <w:gridCol w:w="1080"/>
        <w:gridCol w:w="2600"/>
      </w:tblGrid>
      <w:tr>
        <w:tc>
          <w:tcPr>
            <w:tcW w:type="dxa" w:w="3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1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Sheet</w:t>
            </w:r>
          </w:p>
        </w:tc>
        <w:tc>
          <w:tcPr>
            <w:tcW w:type="dxa" w:w="1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Column(s) Affected</w:t>
            </w:r>
          </w:p>
        </w:tc>
        <w:tc>
          <w:tcPr>
            <w:tcW w:type="dxa" w:w="13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Issue Type</w:t>
            </w:r>
          </w:p>
        </w:tc>
        <w:tc>
          <w:tcPr>
            <w:tcW w:type="dxa" w:w="1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Count</w:t>
            </w:r>
          </w:p>
        </w:tc>
        <w:tc>
          <w:tcPr>
            <w:tcW w:type="dxa" w:w="108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Severity</w:t>
            </w:r>
          </w:p>
        </w:tc>
        <w:tc>
          <w:tcPr>
            <w:tcW w:type="dxa" w:w="2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Description &amp; Cleaning Action Required</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All columns</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Duplicate rows</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35 rows</w:t>
            </w:r>
          </w:p>
        </w:tc>
        <w:tc>
          <w:tcPr>
            <w:tcW w:type="dxa" w:w="1080"/>
            <w:tcBorders>
              <w:top w:val="single" w:color="BDD7EE" w:sz="4"/>
              <w:left w:val="single" w:color="BDD7EE" w:sz="4"/>
              <w:bottom w:val="single" w:color="BDD7EE" w:sz="4"/>
              <w:right w:val="single" w:color="BDD7EE"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35 exact duplicate records are present. These were likely created by a double-entry or ETL re-run. Must be removed before any aggregation or count-based metric is calculated, as they inflate order volume and revenue figures.</w:t>
            </w:r>
          </w:p>
        </w:tc>
      </w:tr>
      <w:tr>
        <w:tc>
          <w:tcPr>
            <w:tcW w:type="dxa" w:w="3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Quantity, Gross Sales, Net Sales</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Negative values (returns mixed into sales)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26 rows</w:t>
            </w:r>
          </w:p>
        </w:tc>
        <w:tc>
          <w:tcPr>
            <w:tcW w:type="dxa" w:w="1080"/>
            <w:tcBorders>
              <w:top w:val="single" w:color="BDD7EE" w:sz="4"/>
              <w:left w:val="single" w:color="BDD7EE" w:sz="4"/>
              <w:bottom w:val="single" w:color="BDD7EE" w:sz="4"/>
              <w:right w:val="single" w:color="BDD7EE" w:sz="4"/>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Critical</w:t>
            </w:r>
          </w:p>
        </w:tc>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26 rows have negative Quantity, Gross Sales, and Net Sales values, indicating product returns logged in the same table as forward sales. Returns must be separated into their own return flag or excluded from sales analysis to avoid understating revenue.</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3</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Net Sales</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Calculation error (Net Sales does not equal Gross Sales minus Discount)</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42 rows</w:t>
            </w:r>
          </w:p>
        </w:tc>
        <w:tc>
          <w:tcPr>
            <w:tcW w:type="dxa" w:w="1080"/>
            <w:tcBorders>
              <w:top w:val="single" w:color="BDD7EE" w:sz="4"/>
              <w:left w:val="single" w:color="BDD7EE" w:sz="4"/>
              <w:bottom w:val="single" w:color="BDD7EE" w:sz="4"/>
              <w:right w:val="single" w:color="BDD7EE" w:sz="4"/>
            </w:tcBorders>
            <w:shd w:fill="FDE8D8" w:val="clear"/>
            <w:tcMar>
              <w:top w:type="dxa" w:w="80"/>
              <w:left w:type="dxa" w:w="120"/>
              <w:bottom w:type="dxa" w:w="80"/>
              <w:right w:type="dxa" w:w="120"/>
            </w:tcMar>
            <w:vAlign w:val="center"/>
          </w:tcPr>
          <w:p>
            <w:pPr>
              <w:jc w:val="center"/>
            </w:pPr>
            <w:r>
              <w:rPr>
                <w:rFonts w:ascii="Arial" w:cs="Arial" w:eastAsia="Arial" w:hAnsi="Arial"/>
                <w:b/>
                <w:bCs/>
                <w:color w:val="C0501B"/>
                <w:sz w:val="17"/>
                <w:szCs w:val="17"/>
              </w:rPr>
              <w:t xml:space="preserve">High</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42 rows where Net Sales deviates from the expected formula (Gross Sales - Discount). Likely caused by rounding or manual overrides. Each row requires recalculation and the corrected value must be applied before any profitability metric is built.</w:t>
            </w:r>
          </w:p>
        </w:tc>
      </w:tr>
      <w:tr>
        <w:tc>
          <w:tcPr>
            <w:tcW w:type="dxa" w:w="3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4</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Customer ID</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Format inconsistency</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40 rows</w:t>
            </w:r>
          </w:p>
        </w:tc>
        <w:tc>
          <w:tcPr>
            <w:tcW w:type="dxa" w:w="1080"/>
            <w:tcBorders>
              <w:top w:val="single" w:color="BDD7EE" w:sz="4"/>
              <w:left w:val="single" w:color="BDD7EE" w:sz="4"/>
              <w:bottom w:val="single" w:color="BDD7EE" w:sz="4"/>
              <w:right w:val="single" w:color="BDD7EE" w:sz="4"/>
            </w:tcBorders>
            <w:shd w:fill="FDE8D8" w:val="clear"/>
            <w:tcMar>
              <w:top w:type="dxa" w:w="80"/>
              <w:left w:type="dxa" w:w="120"/>
              <w:bottom w:type="dxa" w:w="80"/>
              <w:right w:type="dxa" w:w="120"/>
            </w:tcMar>
            <w:vAlign w:val="center"/>
          </w:tcPr>
          <w:p>
            <w:pPr>
              <w:jc w:val="center"/>
            </w:pPr>
            <w:r>
              <w:rPr>
                <w:rFonts w:ascii="Arial" w:cs="Arial" w:eastAsia="Arial" w:hAnsi="Arial"/>
                <w:b/>
                <w:bCs/>
                <w:color w:val="C0501B"/>
                <w:sz w:val="17"/>
                <w:szCs w:val="17"/>
              </w:rPr>
              <w:t xml:space="preserve">High</w:t>
            </w:r>
          </w:p>
        </w:tc>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40 Customer IDs do not follow the standard format CUST-XXXX. Variants observed include: cust_1746 (lowercase + underscore), CUST1269 (missing hyphen), cust-1080 (lowercase + hyphen). These represent the same customers and must be standardized to CUST-XXXX to enable accurate customer-level aggregation.</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5</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Product Name</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Inconsistent casing, typos, and extra spaces</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19 non-standard values</w:t>
            </w:r>
          </w:p>
        </w:tc>
        <w:tc>
          <w:tcPr>
            <w:tcW w:type="dxa" w:w="1080"/>
            <w:tcBorders>
              <w:top w:val="single" w:color="BDD7EE" w:sz="4"/>
              <w:left w:val="single" w:color="BDD7EE" w:sz="4"/>
              <w:bottom w:val="single" w:color="BDD7EE" w:sz="4"/>
              <w:right w:val="single" w:color="BDD7EE" w:sz="4"/>
            </w:tcBorders>
            <w:shd w:fill="FDE8D8" w:val="clear"/>
            <w:tcMar>
              <w:top w:type="dxa" w:w="80"/>
              <w:left w:type="dxa" w:w="120"/>
              <w:bottom w:type="dxa" w:w="80"/>
              <w:right w:type="dxa" w:w="120"/>
            </w:tcMar>
            <w:vAlign w:val="center"/>
          </w:tcPr>
          <w:p>
            <w:pPr>
              <w:jc w:val="center"/>
            </w:pPr>
            <w:r>
              <w:rPr>
                <w:rFonts w:ascii="Arial" w:cs="Arial" w:eastAsia="Arial" w:hAnsi="Arial"/>
                <w:b/>
                <w:bCs/>
                <w:color w:val="C0501B"/>
                <w:sz w:val="17"/>
                <w:szCs w:val="17"/>
              </w:rPr>
              <w:t xml:space="preserve">High</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Product names in the orders sheet contain 41 unique values instead of the expected 22, caused by casing variants (GREEK YOGURT 750g vs. Greek Yogurt 750g), typos (Mozarella), and extra spaces (Whole Milk  4L). These must be standardized against the products reference table before any join is performed.</w:t>
            </w:r>
          </w:p>
        </w:tc>
      </w:tr>
      <w:tr>
        <w:tc>
          <w:tcPr>
            <w:tcW w:type="dxa" w:w="3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6</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Customer Region</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Leading and trailing whitespace</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29 rows</w:t>
            </w:r>
          </w:p>
        </w:tc>
        <w:tc>
          <w:tcPr>
            <w:tcW w:type="dxa" w:w="108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29 rows contain region values padded with leading or trailing spaces (e.g., '  Western Canada  '). These are invisible in Excel but will cause GROUP BY failures and broken filters in Power BI. TRIM must be applied across the entire column.</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7</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Customer Region, Customer Province, Discount %</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Missing values (nulls)</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19, 25, 27 rows respectively</w:t>
            </w:r>
          </w:p>
        </w:tc>
        <w:tc>
          <w:tcPr>
            <w:tcW w:type="dxa" w:w="108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Three columns contain nulls: Customer Region (19 nulls), Customer Province (25 nulls), Discount % (27 nulls). Nulls in region and province prevent geographic analysis for affected rows. Nulls in Discount % should be imputed as 0 where Discount amount is also 0; remaining nulls require investigation.</w:t>
            </w:r>
          </w:p>
        </w:tc>
      </w:tr>
      <w:tr>
        <w:tc>
          <w:tcPr>
            <w:tcW w:type="dxa" w:w="3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8</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fulfillment</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Product Name</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Product name mismatch with products reference table</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 rows</w:t>
            </w:r>
          </w:p>
        </w:tc>
        <w:tc>
          <w:tcPr>
            <w:tcW w:type="dxa" w:w="108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Two product names in the fulfillment sheet do not match the products reference table: 'Skim Milk  4L' (double space) and 'salted butter 454g' (lowercase). These rows will fail to join correctly in Power BI and will produce blank fulfillment values for those products. Names must be corrected to match the reference table exactly.</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9</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Product Category</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Inconsistent casing and typos</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13 unique values for 7 valid categories</w:t>
            </w:r>
          </w:p>
        </w:tc>
        <w:tc>
          <w:tcPr>
            <w:tcW w:type="dxa" w:w="108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The Product Category column contains 13 distinct values where only 7 are valid. Issues include: lowercase variants (fluid milk, yogurt), ALL CAPS variants (CHEESE, CREAM), and typos (Buttr, Cultred). Standardize all values to title case matching the reference categories before building any category-level filter or measure in Power BI.</w:t>
            </w:r>
          </w:p>
        </w:tc>
      </w:tr>
      <w:tr>
        <w:tc>
          <w:tcPr>
            <w:tcW w:type="dxa" w:w="3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10</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Storage Cost</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Missing values (nulls)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24 rows</w:t>
            </w:r>
          </w:p>
        </w:tc>
        <w:tc>
          <w:tcPr>
            <w:tcW w:type="dxa" w:w="1080"/>
            <w:tcBorders>
              <w:top w:val="single" w:color="BDD7EE" w:sz="4"/>
              <w:left w:val="single" w:color="BDD7EE" w:sz="4"/>
              <w:bottom w:val="single" w:color="BDD7EE" w:sz="4"/>
              <w:right w:val="single" w:color="BDD7EE" w:sz="4"/>
            </w:tcBorders>
            <w:shd w:fill="FEF9E7" w:val="clear"/>
            <w:tcMar>
              <w:top w:type="dxa" w:w="80"/>
              <w:left w:type="dxa" w:w="120"/>
              <w:bottom w:type="dxa" w:w="80"/>
              <w:right w:type="dxa" w:w="120"/>
            </w:tcMar>
            <w:vAlign w:val="center"/>
          </w:tcPr>
          <w:p>
            <w:pPr>
              <w:jc w:val="center"/>
            </w:pPr>
            <w:r>
              <w:rPr>
                <w:rFonts w:ascii="Arial" w:cs="Arial" w:eastAsia="Arial" w:hAnsi="Arial"/>
                <w:b/>
                <w:bCs/>
                <w:color w:val="9A6700"/>
                <w:sz w:val="17"/>
                <w:szCs w:val="17"/>
              </w:rPr>
              <w:t xml:space="preserve">Medium</w:t>
            </w:r>
          </w:p>
        </w:tc>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24 rows have a null Storage Cost. These rows still have a valid Warehouse Inventory value. Nulls may represent months where storage was not billed or records were not captured. Must be flagged and either imputed (e.g., using the average cost for that product) or excluded from storage cost calculations with a documented note.</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11</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Warehouse Inventory, Storage Cost</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Logical conflict: zero inventory with nonzero storage cost</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15 rows</w:t>
            </w:r>
          </w:p>
        </w:tc>
        <w:tc>
          <w:tcPr>
            <w:tcW w:type="dxa" w:w="1080"/>
            <w:tcBorders>
              <w:top w:val="single" w:color="BDD7EE" w:sz="4"/>
              <w:left w:val="single" w:color="BDD7EE" w:sz="4"/>
              <w:bottom w:val="single" w:color="BDD7EE" w:sz="4"/>
              <w:right w:val="single" w:color="BDD7EE" w:sz="4"/>
            </w:tcBorders>
            <w:shd w:fill="EAF6EC" w:val="clear"/>
            <w:tcMar>
              <w:top w:type="dxa" w:w="80"/>
              <w:left w:type="dxa" w:w="120"/>
              <w:bottom w:type="dxa" w:w="80"/>
              <w:right w:type="dxa" w:w="120"/>
            </w:tcMar>
            <w:vAlign w:val="center"/>
          </w:tcPr>
          <w:p>
            <w:pPr>
              <w:jc w:val="center"/>
            </w:pPr>
            <w:r>
              <w:rPr>
                <w:rFonts w:ascii="Arial" w:cs="Arial" w:eastAsia="Arial" w:hAnsi="Arial"/>
                <w:b/>
                <w:bCs/>
                <w:color w:val="1E6B2E"/>
                <w:sz w:val="17"/>
                <w:szCs w:val="17"/>
              </w:rPr>
              <w:t xml:space="preserve">Low</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15 rows show Warehouse Inventory = 0 but a positive Storage Cost, which is logically inconsistent. A product with no inventory should not incur storage charges. These rows require review; Storage Cost should likely be set to 0 where inventory is 0.</w:t>
            </w:r>
          </w:p>
        </w:tc>
      </w:tr>
      <w:tr>
        <w:tc>
          <w:tcPr>
            <w:tcW w:type="dxa" w:w="38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12</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dates</w:t>
            </w:r>
          </w:p>
        </w:tc>
        <w:tc>
          <w:tcPr>
            <w:tcW w:type="dxa" w:w="1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Dayname</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Misspelled day names</w:t>
            </w:r>
          </w:p>
        </w:tc>
        <w:tc>
          <w:tcPr>
            <w:tcW w:type="dxa" w:w="1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30 rows</w:t>
            </w:r>
          </w:p>
        </w:tc>
        <w:tc>
          <w:tcPr>
            <w:tcW w:type="dxa" w:w="1080"/>
            <w:tcBorders>
              <w:top w:val="single" w:color="BDD7EE" w:sz="4"/>
              <w:left w:val="single" w:color="BDD7EE" w:sz="4"/>
              <w:bottom w:val="single" w:color="BDD7EE" w:sz="4"/>
              <w:right w:val="single" w:color="BDD7EE" w:sz="4"/>
            </w:tcBorders>
            <w:shd w:fill="EAF6EC" w:val="clear"/>
            <w:tcMar>
              <w:top w:type="dxa" w:w="80"/>
              <w:left w:type="dxa" w:w="120"/>
              <w:bottom w:type="dxa" w:w="80"/>
              <w:right w:type="dxa" w:w="120"/>
            </w:tcMar>
            <w:vAlign w:val="center"/>
          </w:tcPr>
          <w:p>
            <w:pPr>
              <w:jc w:val="center"/>
            </w:pPr>
            <w:r>
              <w:rPr>
                <w:rFonts w:ascii="Arial" w:cs="Arial" w:eastAsia="Arial" w:hAnsi="Arial"/>
                <w:b/>
                <w:bCs/>
                <w:color w:val="1E6B2E"/>
                <w:sz w:val="17"/>
                <w:szCs w:val="17"/>
              </w:rPr>
              <w:t xml:space="preserve">Low</w:t>
            </w:r>
          </w:p>
        </w:tc>
        <w:tc>
          <w:tcPr>
            <w:tcW w:type="dxa" w:w="2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30 rows contain misspelled day name values: Satuday, Tueday, Mnday, Fridya, Wenesday, Thurday. These can be corrected by recalculating Dayname from the Date column using the TEXT function or equivalent, making manual correction unnecessary.</w:t>
            </w:r>
          </w:p>
        </w:tc>
      </w:tr>
      <w:tr>
        <w:tc>
          <w:tcPr>
            <w:tcW w:type="dxa" w:w="38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13</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dates</w:t>
            </w:r>
          </w:p>
        </w:tc>
        <w:tc>
          <w:tcPr>
            <w:tcW w:type="dxa" w:w="1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Month</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Misspelled month names</w:t>
            </w:r>
          </w:p>
        </w:tc>
        <w:tc>
          <w:tcPr>
            <w:tcW w:type="dxa" w:w="1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15 rows</w:t>
            </w:r>
          </w:p>
        </w:tc>
        <w:tc>
          <w:tcPr>
            <w:tcW w:type="dxa" w:w="1080"/>
            <w:tcBorders>
              <w:top w:val="single" w:color="BDD7EE" w:sz="4"/>
              <w:left w:val="single" w:color="BDD7EE" w:sz="4"/>
              <w:bottom w:val="single" w:color="BDD7EE" w:sz="4"/>
              <w:right w:val="single" w:color="BDD7EE" w:sz="4"/>
            </w:tcBorders>
            <w:shd w:fill="EAF6EC" w:val="clear"/>
            <w:tcMar>
              <w:top w:type="dxa" w:w="80"/>
              <w:left w:type="dxa" w:w="120"/>
              <w:bottom w:type="dxa" w:w="80"/>
              <w:right w:type="dxa" w:w="120"/>
            </w:tcMar>
            <w:vAlign w:val="center"/>
          </w:tcPr>
          <w:p>
            <w:pPr>
              <w:jc w:val="center"/>
            </w:pPr>
            <w:r>
              <w:rPr>
                <w:rFonts w:ascii="Arial" w:cs="Arial" w:eastAsia="Arial" w:hAnsi="Arial"/>
                <w:b/>
                <w:bCs/>
                <w:color w:val="1E6B2E"/>
                <w:sz w:val="17"/>
                <w:szCs w:val="17"/>
              </w:rPr>
              <w:t xml:space="preserve">Low</w:t>
            </w:r>
          </w:p>
        </w:tc>
        <w:tc>
          <w:tcPr>
            <w:tcW w:type="dxa" w:w="2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15 rows contain misspelled month names: Febuary, Janury, Augst, Septmber, Apirl, Decmber, Mrch, Octber, Jne. Same resolution as Dayname - recalculate from the Date column using TEXT(Date, 'MMMM') to override all incorrect values at once.</w:t>
            </w:r>
          </w:p>
        </w:tc>
      </w:tr>
    </w:tbl>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5.  Cleaning Priority Plan</w:t>
      </w:r>
    </w:p>
    <w:p>
      <w:pPr>
        <w:spacing w:after="0" w:before="80"/>
      </w:pPr>
      <w:r>
        <w:t xml:space="preserve"/>
      </w:r>
    </w:p>
    <w:p>
      <w:pPr>
        <w:spacing w:after="50" w:before="50"/>
      </w:pPr>
      <w:r>
        <w:rPr>
          <w:rFonts w:ascii="Arial" w:cs="Arial" w:eastAsia="Arial" w:hAnsi="Arial"/>
          <w:color w:val="595959"/>
          <w:sz w:val="19"/>
          <w:szCs w:val="19"/>
        </w:rPr>
        <w:t xml:space="preserve">Issues must be resolved in the sequence below. The order is not arbitrary - each step is sequenced to prevent earlier fixes from being invalidated by later ones, and to ensure join keys are clean before any relationship is established in Power BI.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2200"/>
        <w:gridCol w:w="1300"/>
        <w:gridCol w:w="4260"/>
      </w:tblGrid>
      <w:tr>
        <w:tc>
          <w:tcPr>
            <w:tcW w:type="dxa" w:w="6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10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Sheet</w:t>
            </w:r>
          </w:p>
        </w:tc>
        <w:tc>
          <w:tcPr>
            <w:tcW w:type="dxa" w:w="22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W w:type="dxa" w:w="130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Issue Ref.</w:t>
            </w:r>
          </w:p>
        </w:tc>
        <w:tc>
          <w:tcPr>
            <w:tcW w:type="dxa" w:w="4260"/>
            <w:tcBorders>
              <w:top w:val="single" w:color="BDD7EE" w:sz="4"/>
              <w:left w:val="single" w:color="BDD7EE" w:sz="4"/>
              <w:bottom w:val="single" w:color="BDD7EE" w:sz="4"/>
              <w:right w:val="single" w:color="BDD7EE" w:sz="4"/>
            </w:tcBorders>
            <w:shd w:fill="1F4E79" w:val="clear"/>
            <w:tcMar>
              <w:top w:type="dxa" w:w="80"/>
              <w:left w:type="dxa" w:w="120"/>
              <w:bottom w:type="dxa" w:w="80"/>
              <w:right w:type="dxa" w:w="120"/>
            </w:tcMar>
          </w:tcPr>
          <w:p>
            <w:r>
              <w:rPr>
                <w:rFonts w:ascii="Arial" w:cs="Arial" w:eastAsia="Arial" w:hAnsi="Arial"/>
                <w:b/>
                <w:bCs/>
                <w:color w:val="FFFFFF"/>
                <w:sz w:val="17"/>
                <w:szCs w:val="17"/>
              </w:rPr>
              <w:t xml:space="preserve">Why This Order</w:t>
            </w:r>
          </w:p>
        </w:tc>
      </w:tr>
      <w:tr>
        <w:tc>
          <w:tcPr>
            <w:tcW w:type="dxa" w:w="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Remove 35 duplicate rows</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Issue #1</w:t>
            </w:r>
          </w:p>
        </w:tc>
        <w:tc>
          <w:tcPr>
            <w:tcW w:type="dxa" w:w="42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Duplicates inflate every downstream count and sum. All subsequent steps must operate on a deduplicated dataset or their counts will be wrong.</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2</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Separate or flag 26 return rows (negative Quantity)</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Issue #2</w:t>
            </w:r>
          </w:p>
        </w:tc>
        <w:tc>
          <w:tcPr>
            <w:tcW w:type="dxa" w:w="4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Returns mixed into sales distort revenue and profitability metrics. Isolate before any sales calculation is performed.</w:t>
            </w:r>
          </w:p>
        </w:tc>
      </w:tr>
      <w:tr>
        <w:tc>
          <w:tcPr>
            <w:tcW w:type="dxa" w:w="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3</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Standardize Product Name against products reference table</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Issue #5</w:t>
            </w:r>
          </w:p>
        </w:tc>
        <w:tc>
          <w:tcPr>
            <w:tcW w:type="dxa" w:w="42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Product Name is a join key. If it is not clean, the relationship between orders and products will produce nulls and missing rows in every product-level visual.</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4</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Standardize Customer ID to CUST-XXXX format</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Issue #4</w:t>
            </w:r>
          </w:p>
        </w:tc>
        <w:tc>
          <w:tcPr>
            <w:tcW w:type="dxa" w:w="4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Customer ID must be consistent before any customer-level count or segmentation is attempted.</w:t>
            </w:r>
          </w:p>
        </w:tc>
      </w:tr>
      <w:tr>
        <w:tc>
          <w:tcPr>
            <w:tcW w:type="dxa" w:w="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5</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TRIM Customer Region; verify Customer Province alignment</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Issues #6, #7</w:t>
            </w:r>
          </w:p>
        </w:tc>
        <w:tc>
          <w:tcPr>
            <w:tcW w:type="dxa" w:w="42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Whitespace breaks GROUP BY and filters silently. Fix before region-level analysis. Investigate region/province nulls and determine imputation or exclusion approach.</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6</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Recalculate Net Sales where Gross Sales - Discount does not match</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Issue #3</w:t>
            </w:r>
          </w:p>
        </w:tc>
        <w:tc>
          <w:tcPr>
            <w:tcW w:type="dxa" w:w="4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Profitability metrics depend on Net Sales accuracy. Correct all 42 mismatched rows using the formula before building any DAX measure.</w:t>
            </w:r>
          </w:p>
        </w:tc>
      </w:tr>
      <w:tr>
        <w:tc>
          <w:tcPr>
            <w:tcW w:type="dxa" w:w="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7</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orders</w:t>
            </w:r>
          </w:p>
        </w:tc>
        <w:tc>
          <w:tcPr>
            <w:tcW w:type="dxa" w:w="2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Impute Discount % nulls where Discount amount = 0</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Issue #7</w:t>
            </w:r>
          </w:p>
        </w:tc>
        <w:tc>
          <w:tcPr>
            <w:tcW w:type="dxa" w:w="42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Nulls in Discount % where discount dollar amount is zero should be set to 0. Flag remaining nulls for review.</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8</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fulfillment</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Correct 2 mismatched Product Names to match products table</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Issue #8</w:t>
            </w:r>
          </w:p>
        </w:tc>
        <w:tc>
          <w:tcPr>
            <w:tcW w:type="dxa" w:w="4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The fulfillment table joins to products on Product Name. Two mismatches will produce blank fulfillment values for Skim Milk 4L and Salted Butter 454g in Power BI.</w:t>
            </w:r>
          </w:p>
        </w:tc>
      </w:tr>
      <w:tr>
        <w:tc>
          <w:tcPr>
            <w:tcW w:type="dxa" w:w="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9</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2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Standardize Product Category to title case; correct typos</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Issue #9</w:t>
            </w:r>
          </w:p>
        </w:tc>
        <w:tc>
          <w:tcPr>
            <w:tcW w:type="dxa" w:w="42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Category is used as a filter and grouping dimension in both dashboards. Inconsistent values will split one category into multiple rows in slicers and charts.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10</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Resolve Storage Cost nulls (impute or exclude with documentation)</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Issue #10</w:t>
            </w:r>
          </w:p>
        </w:tc>
        <w:tc>
          <w:tcPr>
            <w:tcW w:type="dxa" w:w="4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Storage Cost nulls will cause blank values in cost trend visuals. Decide and document the treatment strategy before import.</w:t>
            </w:r>
          </w:p>
        </w:tc>
      </w:tr>
      <w:tr>
        <w:tc>
          <w:tcPr>
            <w:tcW w:type="dxa" w:w="6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11</w:t>
            </w:r>
          </w:p>
        </w:tc>
        <w:tc>
          <w:tcPr>
            <w:tcW w:type="dxa" w:w="10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inventory</w:t>
            </w:r>
          </w:p>
        </w:tc>
        <w:tc>
          <w:tcPr>
            <w:tcW w:type="dxa" w:w="22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Set Storage Cost to 0 where Warehouse Inventory = 0</w:t>
            </w:r>
          </w:p>
        </w:tc>
        <w:tc>
          <w:tcPr>
            <w:tcW w:type="dxa" w:w="130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Issue #11</w:t>
            </w:r>
          </w:p>
        </w:tc>
        <w:tc>
          <w:tcPr>
            <w:tcW w:type="dxa" w:w="4260"/>
            <w:tcBorders>
              <w:top w:val="single" w:color="BDD7EE" w:sz="4"/>
              <w:left w:val="single" w:color="BDD7EE" w:sz="4"/>
              <w:bottom w:val="single" w:color="BDD7EE" w:sz="4"/>
              <w:right w:val="single" w:color="BDD7EE" w:sz="4"/>
            </w:tcBorders>
            <w:shd w:fill="EBF4FB" w:val="clear"/>
            <w:tcMar>
              <w:top w:type="dxa" w:w="80"/>
              <w:left w:type="dxa" w:w="120"/>
              <w:bottom w:type="dxa" w:w="80"/>
              <w:right w:type="dxa" w:w="120"/>
            </w:tcMar>
          </w:tcPr>
          <w:p>
            <w:r>
              <w:rPr>
                <w:rFonts w:ascii="Arial" w:cs="Arial" w:eastAsia="Arial" w:hAnsi="Arial"/>
                <w:color w:val="595959"/>
                <w:sz w:val="17"/>
                <w:szCs w:val="17"/>
              </w:rPr>
              <w:t xml:space="preserve">Logical correction. Low risk but must be done before storage cost per unit calculation, which would produce a division error on zero-inventory rows.</w:t>
            </w:r>
          </w:p>
        </w:tc>
      </w:tr>
      <w:tr>
        <w:tc>
          <w:tcPr>
            <w:tcW w:type="dxa" w:w="6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12</w:t>
            </w:r>
          </w:p>
        </w:tc>
        <w:tc>
          <w:tcPr>
            <w:tcW w:type="dxa" w:w="10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dates</w:t>
            </w:r>
          </w:p>
        </w:tc>
        <w:tc>
          <w:tcPr>
            <w:tcW w:type="dxa" w:w="22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Recalculate Dayname and Month from Date column using TEXT formula</w:t>
            </w:r>
          </w:p>
        </w:tc>
        <w:tc>
          <w:tcPr>
            <w:tcW w:type="dxa" w:w="130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Issues #12, #13</w:t>
            </w:r>
          </w:p>
        </w:tc>
        <w:tc>
          <w:tcPr>
            <w:tcW w:type="dxa" w:w="4260"/>
            <w:tcBorders>
              <w:top w:val="single" w:color="BDD7EE" w:sz="4"/>
              <w:left w:val="single" w:color="BDD7EE" w:sz="4"/>
              <w:bottom w:val="single" w:color="BDD7EE" w:sz="4"/>
              <w:right w:val="single" w:color="BDD7EE" w:sz="4"/>
            </w:tcBorders>
            <w:shd w:fill="FFFFFF" w:val="clear"/>
            <w:tcMar>
              <w:top w:type="dxa" w:w="80"/>
              <w:left w:type="dxa" w:w="120"/>
              <w:bottom w:type="dxa" w:w="80"/>
              <w:right w:type="dxa" w:w="120"/>
            </w:tcMar>
          </w:tcPr>
          <w:p>
            <w:r>
              <w:rPr>
                <w:rFonts w:ascii="Arial" w:cs="Arial" w:eastAsia="Arial" w:hAnsi="Arial"/>
                <w:color w:val="595959"/>
                <w:sz w:val="17"/>
                <w:szCs w:val="17"/>
              </w:rPr>
              <w:t xml:space="preserve">Recalculating from source is faster and more reliable than manual correction of 45 individual cells. Eliminates all spelling errors in one step.</w:t>
            </w:r>
          </w:p>
        </w:tc>
      </w:tr>
    </w:tbl>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6.  Analyst Notes &amp; Decisions</w:t>
      </w:r>
    </w:p>
    <w:p>
      <w:pPr>
        <w:spacing w:after="0" w:before="80"/>
      </w:pPr>
      <w:r>
        <w:t xml:space="preserve"/>
      </w:r>
    </w:p>
    <w:p>
      <w:pPr>
        <w:pBdr>
          <w:bottom w:val="single" w:color="D6E4F0" w:sz="4" w:space="1"/>
        </w:pBdr>
        <w:spacing w:after="60" w:before="200"/>
      </w:pPr>
      <w:r>
        <w:rPr>
          <w:rFonts w:ascii="Arial" w:cs="Arial" w:eastAsia="Arial" w:hAnsi="Arial"/>
          <w:b/>
          <w:bCs/>
          <w:color w:val="1F4E79"/>
          <w:sz w:val="21"/>
          <w:szCs w:val="21"/>
        </w:rPr>
        <w:t xml:space="preserve">Treatment of Returns</w:t>
      </w:r>
    </w:p>
    <w:p>
      <w:pPr>
        <w:spacing w:after="50" w:before="50"/>
      </w:pPr>
      <w:r>
        <w:rPr>
          <w:rFonts w:ascii="Arial" w:cs="Arial" w:eastAsia="Arial" w:hAnsi="Arial"/>
          <w:color w:val="595959"/>
          <w:sz w:val="19"/>
          <w:szCs w:val="19"/>
        </w:rPr>
        <w:t xml:space="preserve">The 26 rows with negative Quantity and negative Sales values represent product returns. For this project, returns will be isolated using a filter (Quantity &gt; 0) and excluded from all profitability, revenue, and volume calculations. They will not be deleted from the dataset. A separate return rate metric may be added to the Executive Dashboard if it adds analytical value.</w:t>
      </w:r>
    </w:p>
    <w:p>
      <w:pPr>
        <w:spacing w:after="0" w:before="80"/>
      </w:pPr>
      <w:r>
        <w:t xml:space="preserve"/>
      </w:r>
    </w:p>
    <w:p>
      <w:pPr>
        <w:pBdr>
          <w:bottom w:val="single" w:color="D6E4F0" w:sz="4" w:space="1"/>
        </w:pBdr>
        <w:spacing w:after="60" w:before="200"/>
      </w:pPr>
      <w:r>
        <w:rPr>
          <w:rFonts w:ascii="Arial" w:cs="Arial" w:eastAsia="Arial" w:hAnsi="Arial"/>
          <w:b/>
          <w:bCs/>
          <w:color w:val="1F4E79"/>
          <w:sz w:val="21"/>
          <w:szCs w:val="21"/>
        </w:rPr>
        <w:t xml:space="preserve">Net Sales Recalculation</w:t>
      </w:r>
    </w:p>
    <w:p>
      <w:pPr>
        <w:spacing w:after="50" w:before="50"/>
      </w:pPr>
      <w:r>
        <w:rPr>
          <w:rFonts w:ascii="Arial" w:cs="Arial" w:eastAsia="Arial" w:hAnsi="Arial"/>
          <w:color w:val="595959"/>
          <w:sz w:val="19"/>
          <w:szCs w:val="19"/>
        </w:rPr>
        <w:t xml:space="preserve">For the 42 rows where Net Sales does not equal Gross Sales minus Discount, the corrected value will be calculated using the formula = Gross Sales - Discount. The original Net Sales value will be preserved in a new column (Net Sales Original) for reference before the correction is applied.</w:t>
      </w:r>
    </w:p>
    <w:p>
      <w:pPr>
        <w:spacing w:after="0" w:before="80"/>
      </w:pPr>
      <w:r>
        <w:t xml:space="preserve"/>
      </w:r>
    </w:p>
    <w:p>
      <w:pPr>
        <w:pBdr>
          <w:bottom w:val="single" w:color="D6E4F0" w:sz="4" w:space="1"/>
        </w:pBdr>
        <w:spacing w:after="60" w:before="200"/>
      </w:pPr>
      <w:r>
        <w:rPr>
          <w:rFonts w:ascii="Arial" w:cs="Arial" w:eastAsia="Arial" w:hAnsi="Arial"/>
          <w:b/>
          <w:bCs/>
          <w:color w:val="1F4E79"/>
          <w:sz w:val="21"/>
          <w:szCs w:val="21"/>
        </w:rPr>
        <w:t xml:space="preserve">Missing Values - Approach</w:t>
      </w:r>
    </w:p>
    <w:p>
      <w:pPr>
        <w:spacing w:after="50" w:before="50"/>
      </w:pPr>
      <w:r>
        <w:rPr>
          <w:rFonts w:ascii="Arial" w:cs="Arial" w:eastAsia="Arial" w:hAnsi="Arial"/>
          <w:color w:val="595959"/>
          <w:sz w:val="19"/>
          <w:szCs w:val="19"/>
        </w:rPr>
        <w:t xml:space="preserve">Customer Region and Customer Province nulls (19 and 25 rows respectively) cannot be reliably imputed without knowing the customer. These rows will be retained in the dataset but excluded from geographic analysis. A note will be added to the dashboard explaining the exclusion.</w:t>
      </w:r>
    </w:p>
    <w:p>
      <w:pPr>
        <w:spacing w:after="0" w:before="40"/>
      </w:pPr>
      <w:r>
        <w:t xml:space="preserve"/>
      </w:r>
    </w:p>
    <w:p>
      <w:pPr>
        <w:spacing w:after="50" w:before="50"/>
      </w:pPr>
      <w:r>
        <w:rPr>
          <w:rFonts w:ascii="Arial" w:cs="Arial" w:eastAsia="Arial" w:hAnsi="Arial"/>
          <w:color w:val="595959"/>
          <w:sz w:val="19"/>
          <w:szCs w:val="19"/>
        </w:rPr>
        <w:t xml:space="preserve">Discount % nulls (27 rows) where the Discount dollar amount is also 0 will be set to 0. Any remaining Discount % nulls where a Discount amount exists will be recalculated as Discount / Gross Sales.</w:t>
      </w:r>
    </w:p>
    <w:p>
      <w:pPr>
        <w:spacing w:after="0" w:before="40"/>
      </w:pPr>
      <w:r>
        <w:t xml:space="preserve"/>
      </w:r>
    </w:p>
    <w:p>
      <w:pPr>
        <w:spacing w:after="50" w:before="50"/>
      </w:pPr>
      <w:r>
        <w:rPr>
          <w:rFonts w:ascii="Arial" w:cs="Arial" w:eastAsia="Arial" w:hAnsi="Arial"/>
          <w:color w:val="595959"/>
          <w:sz w:val="19"/>
          <w:szCs w:val="19"/>
        </w:rPr>
        <w:t xml:space="preserve">Storage Cost nulls (24 rows in inventory) will be treated as missing data rather than zero. These rows will be excluded from average storage cost calculations and flagged in the inventory dashboard.</w:t>
      </w:r>
    </w:p>
    <w:p>
      <w:pPr>
        <w:spacing w:after="0" w:before="80"/>
      </w:pPr>
      <w:r>
        <w:t xml:space="preserve"/>
      </w:r>
    </w:p>
    <w:p>
      <w:pPr>
        <w:pBdr>
          <w:bottom w:val="single" w:color="D6E4F0" w:sz="4" w:space="1"/>
        </w:pBdr>
        <w:spacing w:after="60" w:before="200"/>
      </w:pPr>
      <w:r>
        <w:rPr>
          <w:rFonts w:ascii="Arial" w:cs="Arial" w:eastAsia="Arial" w:hAnsi="Arial"/>
          <w:b/>
          <w:bCs/>
          <w:color w:val="1F4E79"/>
          <w:sz w:val="21"/>
          <w:szCs w:val="21"/>
        </w:rPr>
        <w:t xml:space="preserve">Dates Sheet Correction Strategy</w:t>
      </w:r>
    </w:p>
    <w:p>
      <w:pPr>
        <w:spacing w:after="50" w:before="50"/>
      </w:pPr>
      <w:r>
        <w:rPr>
          <w:rFonts w:ascii="Arial" w:cs="Arial" w:eastAsia="Arial" w:hAnsi="Arial"/>
          <w:color w:val="595959"/>
          <w:sz w:val="19"/>
          <w:szCs w:val="19"/>
        </w:rPr>
        <w:t xml:space="preserve">Rather than manually correcting 45 individual cells across the Dayname and Month columns, both columns will be fully recalculated from the Date column using Excel's TEXT function: =TEXT(Date, "dddd") for Dayname and =TEXT(Date, "mmmm") for Month. This approach is faster, more reliable, and eliminates all spelling errors simultaneously.</w:t>
      </w:r>
    </w:p>
    <w:p>
      <w:pPr>
        <w:spacing w:after="0" w:before="160"/>
      </w:pPr>
      <w:r>
        <w:t xml:space="preserve"/>
      </w:r>
    </w:p>
    <w:p>
      <w:pPr>
        <w:shd w:fill="1F4E79" w:val="clear"/>
        <w:spacing w:after="0" w:before="320"/>
        <w:ind w:left="160" w:right="160"/>
      </w:pPr>
      <w:r>
        <w:rPr>
          <w:rFonts w:ascii="Arial" w:cs="Arial" w:eastAsia="Arial" w:hAnsi="Arial"/>
          <w:b/>
          <w:bCs/>
          <w:color w:val="FFFFFF"/>
          <w:sz w:val="26"/>
          <w:szCs w:val="26"/>
        </w:rPr>
        <w:t xml:space="preserve">7.  Audit Sign-Off</w:t>
      </w:r>
    </w:p>
    <w:p>
      <w:pPr>
        <w:spacing w:after="0" w:before="80"/>
      </w:pPr>
      <w:r>
        <w:t xml:space="preserve"/>
      </w:r>
    </w:p>
    <w:p>
      <w:pPr>
        <w:spacing w:after="50" w:before="50"/>
      </w:pPr>
      <w:r>
        <w:rPr>
          <w:rFonts w:ascii="Arial" w:cs="Arial" w:eastAsia="Arial" w:hAnsi="Arial"/>
          <w:color w:val="595959"/>
          <w:sz w:val="19"/>
          <w:szCs w:val="19"/>
        </w:rPr>
        <w:t xml:space="preserve">This audit is complete. All issues have been identified, classified, and assigned a cleaning action. The dataset is ready to enter Phase 2: Data Cleaning in Microsoft Excel.</w:t>
      </w:r>
    </w:p>
    <w:p>
      <w:pPr>
        <w:spacing w:after="0" w:before="60"/>
      </w:pPr>
      <w:r>
        <w:t xml:space="preserve"/>
      </w:r>
    </w:p>
    <w:p>
      <w:pPr>
        <w:spacing w:after="50" w:before="50"/>
      </w:pPr>
      <w:r>
        <w:rPr>
          <w:rFonts w:ascii="Arial" w:cs="Arial" w:eastAsia="Arial" w:hAnsi="Arial"/>
          <w:color w:val="595959"/>
          <w:sz w:val="19"/>
          <w:szCs w:val="19"/>
        </w:rPr>
        <w:t xml:space="preserve">No data has been modified at this stage. This document represents the pre-cleaning state of the dataset and will serve as the baseline reference for all cleaning decisions made in Phase 2.</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Completed By</w:t>
            </w:r>
          </w:p>
        </w:tc>
        <w:tc>
          <w:tcPr>
            <w:tcW w:type="dxa" w:w="312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Date</w:t>
            </w:r>
          </w:p>
        </w:tc>
        <w:tc>
          <w:tcPr>
            <w:tcW w:type="dxa" w:w="3120"/>
            <w:tcBorders>
              <w:top w:val="single" w:color="BDD7EE" w:sz="4"/>
              <w:left w:val="single" w:color="BDD7EE" w:sz="4"/>
              <w:bottom w:val="single" w:color="BDD7EE" w:sz="4"/>
              <w:right w:val="single" w:color="BDD7EE" w:sz="4"/>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Project Phase Status</w:t>
            </w:r>
          </w:p>
        </w:tc>
      </w:tr>
      <w:tr>
        <w:tc>
          <w:tcPr>
            <w:tcW w:type="dxa" w:w="3120"/>
            <w:tcBorders>
              <w:top w:val="single" w:color="BDD7EE" w:sz="4"/>
              <w:left w:val="single" w:color="BDD7EE" w:sz="4"/>
              <w:bottom w:val="single" w:color="BDD7EE" w:sz="4"/>
              <w:right w:val="single" w:color="BDD7EE" w:sz="4"/>
            </w:tcBorders>
            <w:tcMar>
              <w:top w:type="dxa" w:w="100"/>
              <w:left w:type="dxa" w:w="140"/>
              <w:bottom w:type="dxa" w:w="100"/>
              <w:right w:type="dxa" w:w="140"/>
            </w:tcMar>
          </w:tcPr>
          <w:p>
            <w:r>
              <w:rPr>
                <w:rFonts w:ascii="Arial" w:cs="Arial" w:eastAsia="Arial" w:hAnsi="Arial"/>
                <w:color w:val="595959"/>
                <w:sz w:val="18"/>
                <w:szCs w:val="18"/>
              </w:rPr>
              <w:t xml:space="preserve">Maj Okrikri</w:t>
            </w:r>
          </w:p>
        </w:tc>
        <w:tc>
          <w:tcPr>
            <w:tcW w:type="dxa" w:w="3120"/>
            <w:tcBorders>
              <w:top w:val="single" w:color="BDD7EE" w:sz="4"/>
              <w:left w:val="single" w:color="BDD7EE" w:sz="4"/>
              <w:bottom w:val="single" w:color="BDD7EE" w:sz="4"/>
              <w:right w:val="single" w:color="BDD7EE" w:sz="4"/>
            </w:tcBorders>
            <w:tcMar>
              <w:top w:type="dxa" w:w="100"/>
              <w:left w:type="dxa" w:w="140"/>
              <w:bottom w:type="dxa" w:w="100"/>
              <w:right w:type="dxa" w:w="140"/>
            </w:tcMar>
          </w:tcPr>
          <w:p>
            <w:r>
              <w:rPr>
                <w:rFonts w:ascii="Arial" w:cs="Arial" w:eastAsia="Arial" w:hAnsi="Arial"/>
                <w:color w:val="595959"/>
                <w:sz w:val="18"/>
                <w:szCs w:val="18"/>
              </w:rPr>
              <w:t xml:space="preserve">May 2026</w:t>
            </w:r>
          </w:p>
        </w:tc>
        <w:tc>
          <w:tcPr>
            <w:tcW w:type="dxa" w:w="3120"/>
            <w:tcBorders>
              <w:top w:val="single" w:color="BDD7EE" w:sz="4"/>
              <w:left w:val="single" w:color="BDD7EE" w:sz="4"/>
              <w:bottom w:val="single" w:color="BDD7EE" w:sz="4"/>
              <w:right w:val="single" w:color="BDD7EE" w:sz="4"/>
            </w:tcBorders>
            <w:shd w:fill="EAF6EC" w:val="clear"/>
            <w:tcMar>
              <w:top w:type="dxa" w:w="100"/>
              <w:left w:type="dxa" w:w="140"/>
              <w:bottom w:type="dxa" w:w="100"/>
              <w:right w:type="dxa" w:w="140"/>
            </w:tcMar>
          </w:tcPr>
          <w:p>
            <w:r>
              <w:rPr>
                <w:rFonts w:ascii="Arial" w:cs="Arial" w:eastAsia="Arial" w:hAnsi="Arial"/>
                <w:b/>
                <w:bCs/>
                <w:color w:val="1E6B2E"/>
                <w:sz w:val="18"/>
                <w:szCs w:val="18"/>
              </w:rPr>
              <w:t xml:space="preserve">Phase 1 Complete - Ready for Cleaning</w:t>
            </w:r>
          </w:p>
        </w:tc>
      </w:tr>
    </w:tbl>
    <w:p>
      <w:pPr>
        <w:spacing w:after="0" w:before="200"/>
      </w:pPr>
      <w:r>
        <w:t xml:space="preserve"/>
      </w:r>
    </w:p>
    <w:p>
      <w:pPr>
        <w:pBdr>
          <w:top w:val="single" w:color="BDD7EE" w:sz="4" w:space="4"/>
        </w:pBdr>
        <w:spacing w:after="0" w:before="160"/>
        <w:jc w:val="center"/>
      </w:pPr>
      <w:r>
        <w:rPr>
          <w:rFonts w:ascii="Arial" w:cs="Arial" w:eastAsia="Arial" w:hAnsi="Arial"/>
          <w:i/>
          <w:iCs/>
          <w:color w:val="AAAAAA"/>
          <w:sz w:val="16"/>
          <w:szCs w:val="16"/>
        </w:rPr>
        <w:t xml:space="preserve">Document prepared by Maj Okrikri  |  May 2026  |  Version 1.0  |  NorthCrest Dairy - Warehouse Operations &amp; Profitability Analysis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6" w:space="1"/>
      </w:pBdr>
    </w:pPr>
    <w:r>
      <w:rPr>
        <w:rFonts w:ascii="Arial" w:cs="Arial" w:eastAsia="Arial" w:hAnsi="Arial"/>
        <w:color w:val="888888"/>
        <w:sz w:val="15"/>
        <w:szCs w:val="15"/>
      </w:rPr>
      <w:t xml:space="preserve">Confidential - Internal Use Only  |  Analyst: Maj Okrikri  |  May 2026  |  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6" w:space="1"/>
      </w:pBdr>
      <w:tabs>
        <w:tab w:val="right" w:pos="9026"/>
      </w:tabs>
    </w:pPr>
    <w:r>
      <w:rPr>
        <w:rFonts w:ascii="Arial" w:cs="Arial" w:eastAsia="Arial" w:hAnsi="Arial"/>
        <w:color w:val="888888"/>
        <w:sz w:val="15"/>
        <w:szCs w:val="15"/>
      </w:rPr>
      <w:t xml:space="preserve">NorthCrest Dairy  |  Warehouse Operations &amp; Profitability Analysis</w:t>
    </w:r>
    <w:r>
      <w:rPr>
        <w:rFonts w:ascii="Arial" w:cs="Arial" w:eastAsia="Arial" w:hAnsi="Arial"/>
        <w:color w:val="888888"/>
        <w:sz w:val="15"/>
        <w:szCs w:val="15"/>
      </w:rPr>
      <w:t xml:space="preserve">	DATA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2026-05-04T13:53:25.077Z</dcterms:created>
  <dcterms:modified xsi:type="dcterms:W3CDTF">2026-05-04T13:53:25.090Z</dcterms:modified>
</cp:coreProperties>
</file>

<file path=docProps/custom.xml><?xml version="1.0" encoding="utf-8"?>
<Properties xmlns="http://schemas.openxmlformats.org/officeDocument/2006/custom-properties" xmlns:vt="http://schemas.openxmlformats.org/officeDocument/2006/docPropsVTypes"/>
</file>