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</w:t>
      </w:r>
      <w:bookmarkStart w:id="0" w:name="_GoBack"/>
      <w:bookmarkEnd w:id="0"/>
      <w:r w:rsidR="00324FB6">
        <w:rPr>
          <w:rFonts w:hint="eastAsia"/>
          <w:color w:val="3C78D8"/>
          <w:u w:val="single"/>
          <w:shd w:val="clear" w:color="auto" w:fill="FFFFFF"/>
        </w:rPr>
        <w:t>）</w:t>
      </w:r>
    </w:p>
    <w:p w14:paraId="5A2CBC0A" w14:textId="77777777" w:rsidR="00B25DC0" w:rsidRDefault="005B0988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rFonts w:hint="eastAsia"/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</w:t>
      </w:r>
      <w:r>
        <w:rPr>
          <w:color w:val="1155CC"/>
          <w:u w:val="single"/>
        </w:rPr>
        <w:lastRenderedPageBreak/>
        <w:t>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lastRenderedPageBreak/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59653F"/>
    <w:rsid w:val="005B0988"/>
    <w:rsid w:val="005F09F0"/>
    <w:rsid w:val="006017DE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AD5940"/>
    <w:rsid w:val="00AE0766"/>
    <w:rsid w:val="00B25DC0"/>
    <w:rsid w:val="00B871B7"/>
    <w:rsid w:val="00BA70A8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EE3C59"/>
    <w:rsid w:val="00F02A21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87</Pages>
  <Words>6224</Words>
  <Characters>35477</Characters>
  <Application>Microsoft Macintosh Word</Application>
  <DocSecurity>0</DocSecurity>
  <Lines>295</Lines>
  <Paragraphs>83</Paragraphs>
  <ScaleCrop>false</ScaleCrop>
  <Company/>
  <LinksUpToDate>false</LinksUpToDate>
  <CharactersWithSpaces>41618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59</cp:revision>
  <dcterms:created xsi:type="dcterms:W3CDTF">2015-09-11T08:02:00Z</dcterms:created>
  <dcterms:modified xsi:type="dcterms:W3CDTF">2016-01-08T06:30:00Z</dcterms:modified>
</cp:coreProperties>
</file>