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lastRenderedPageBreak/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lastRenderedPageBreak/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</w:t>
            </w:r>
            <w:r>
              <w:lastRenderedPageBreak/>
              <w:t>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lastRenderedPageBreak/>
        <w:t>"uws":"{\"on\":false}",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lastRenderedPageBreak/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71FC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71FC6"/>
        </w:tc>
      </w:tr>
      <w:tr w:rsidR="000867FB" w14:paraId="579DD275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71FC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71FC6"/>
        </w:tc>
      </w:tr>
      <w:tr w:rsidR="000867FB" w14:paraId="7E5FB231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71FC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71FC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71FC6"/>
        </w:tc>
      </w:tr>
      <w:tr w:rsidR="000867FB" w14:paraId="4660AFB5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71FC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lastRenderedPageBreak/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 w:hint="eastAsi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2A14E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2A14EF"/>
        </w:tc>
      </w:tr>
      <w:tr w:rsidR="00394227" w14:paraId="500B1F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2A14EF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2A14EF"/>
        </w:tc>
      </w:tr>
      <w:tr w:rsidR="00394227" w14:paraId="63782B8F" w14:textId="77777777" w:rsidTr="002A14E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2A14E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2A14E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2A14EF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2A14E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  <w:rPr>
          <w:rFonts w:hint="eastAsia"/>
        </w:rPr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lastRenderedPageBreak/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lastRenderedPageBreak/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  <w:rPr>
          <w:rFonts w:hint="eastAsia"/>
        </w:rPr>
      </w:pPr>
      <w:r>
        <w:t>today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  <w:rPr>
          <w:rFonts w:hint="eastAsia"/>
        </w:rPr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  <w:rPr>
          <w:rFonts w:hint="eastAsia"/>
        </w:rPr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  <w:rPr>
          <w:rFonts w:hint="eastAsia"/>
        </w:rPr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  <w:rPr>
          <w:rFonts w:hint="eastAsia"/>
        </w:rPr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  <w:rPr>
          <w:rFonts w:hint="eastAsia"/>
        </w:rPr>
      </w:pPr>
      <w:r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  <w:rPr>
          <w:rFonts w:hint="eastAsia"/>
        </w:rPr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  <w:rPr>
          <w:rFonts w:hint="eastAsia"/>
        </w:rPr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  <w:bookmarkStart w:id="0" w:name="_GoBack"/>
      <w:bookmarkEnd w:id="0"/>
    </w:p>
    <w:p w14:paraId="64918E3B" w14:textId="7D8BCE03" w:rsidR="00783578" w:rsidRPr="00E33989" w:rsidRDefault="00783578" w:rsidP="00394227">
      <w:pPr>
        <w:pStyle w:val="Normal1"/>
        <w:rPr>
          <w:rFonts w:hint="eastAsia"/>
        </w:rPr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37210" w14:textId="77777777" w:rsidR="006D1379" w:rsidRDefault="006D1379">
      <w:r>
        <w:separator/>
      </w:r>
    </w:p>
  </w:endnote>
  <w:endnote w:type="continuationSeparator" w:id="0">
    <w:p w14:paraId="431868DA" w14:textId="77777777" w:rsidR="006D1379" w:rsidRDefault="006D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DD106" w14:textId="77777777" w:rsidR="006D1379" w:rsidRDefault="006D1379">
      <w:r>
        <w:separator/>
      </w:r>
    </w:p>
  </w:footnote>
  <w:footnote w:type="continuationSeparator" w:id="0">
    <w:p w14:paraId="2A2D0C2C" w14:textId="77777777" w:rsidR="006D1379" w:rsidRDefault="006D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867F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C215A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43</Pages>
  <Words>3643</Words>
  <Characters>20767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659</cp:revision>
  <dcterms:created xsi:type="dcterms:W3CDTF">2015-04-29T08:29:00Z</dcterms:created>
  <dcterms:modified xsi:type="dcterms:W3CDTF">2015-06-25T02:12:00Z</dcterms:modified>
</cp:coreProperties>
</file>