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3"/>
        <w:rPr/>
      </w:pPr>
      <w:bookmarkStart w:colFirst="0" w:colLast="0" w:name="_d5v1hd5oz69p" w:id="0"/>
      <w:bookmarkEnd w:id="0"/>
      <w:r w:rsidDel="00000000" w:rsidR="00000000" w:rsidRPr="00000000">
        <w:rPr>
          <w:rtl w:val="0"/>
        </w:rPr>
        <w:t xml:space="preserve">Beyond the "Wild West": 5 Impactful Realities Redefining African Resource Trade</w:t>
      </w:r>
    </w:p>
    <w:p w:rsidR="00000000" w:rsidDel="00000000" w:rsidP="00000000" w:rsidRDefault="00000000" w:rsidRPr="00000000" w14:paraId="00000002">
      <w:pPr>
        <w:pStyle w:val="Heading5"/>
        <w:rPr/>
      </w:pPr>
      <w:bookmarkStart w:colFirst="0" w:colLast="0" w:name="_y6plyxk31rmj" w:id="1"/>
      <w:bookmarkEnd w:id="1"/>
      <w:r w:rsidDel="00000000" w:rsidR="00000000" w:rsidRPr="00000000">
        <w:rPr>
          <w:rtl w:val="0"/>
        </w:rPr>
        <w:t xml:space="preserve">The High-Stakes Bridge to Abundance</w:t>
      </w:r>
    </w:p>
    <w:p w:rsidR="00000000" w:rsidDel="00000000" w:rsidP="00000000" w:rsidRDefault="00000000" w:rsidRPr="00000000" w14:paraId="00000003">
      <w:pPr>
        <w:rPr/>
      </w:pPr>
      <w:r w:rsidDel="00000000" w:rsidR="00000000" w:rsidRPr="00000000">
        <w:rPr>
          <w:rtl w:val="0"/>
        </w:rPr>
        <w:t xml:space="preserve">For decades, the global consensus on African resource trade has been a narrative of "Wild West" volatility—a landscape of fraudulent "ghost brokers," unverified sellers, and logistical black holes that swallow institutional capital. While that skepticism was once earned, a new reality is being forged in sophisticated trade facilitation hubs like the Africa Trade &amp; Resources Agency (ATRA) in Nouakchott, Mauritania.The emerging trade paradigm is no longer about navigating chaos; it is about the construction of sovereign-grade pipelines. By deploying a physical intelligence moat and advanced verification frameworks, ATRA is transforming the West African Gold Belt into a secure, institutional-grade corridor. We are moving beyond the era of speculation into an era of  </w:t>
      </w:r>
      <w:r w:rsidDel="00000000" w:rsidR="00000000" w:rsidRPr="00000000">
        <w:rPr>
          <w:b w:val="1"/>
          <w:bCs w:val="1"/>
          <w:rtl w:val="0"/>
        </w:rPr>
        <w:t xml:space="preserve">Neo-African Excellence</w:t>
      </w:r>
      <w:r w:rsidDel="00000000" w:rsidR="00000000" w:rsidRPr="00000000">
        <w:rPr>
          <w:rtl w:val="0"/>
        </w:rPr>
        <w:t xml:space="preserve"> , where tech-driven certainty is the new commodity.</w:t>
      </w:r>
    </w:p>
    <w:p w:rsidR="00000000" w:rsidDel="00000000" w:rsidP="00000000" w:rsidRDefault="00000000" w:rsidRPr="00000000" w14:paraId="00000004">
      <w:pPr>
        <w:pStyle w:val="Heading5"/>
        <w:rPr/>
      </w:pPr>
      <w:bookmarkStart w:colFirst="0" w:colLast="0" w:name="_xpn518wwrltx" w:id="2"/>
      <w:bookmarkEnd w:id="2"/>
      <w:r w:rsidDel="00000000" w:rsidR="00000000" w:rsidRPr="00000000">
        <w:rPr>
          <w:rtl w:val="0"/>
        </w:rPr>
        <w:t xml:space="preserve">1. Ethical Alpha: "Green Gold" as a Competitive Moat</w:t>
      </w:r>
    </w:p>
    <w:p w:rsidR="00000000" w:rsidDel="00000000" w:rsidP="00000000" w:rsidRDefault="00000000" w:rsidRPr="00000000" w14:paraId="00000005">
      <w:pPr>
        <w:rPr/>
      </w:pPr>
      <w:r w:rsidDel="00000000" w:rsidR="00000000" w:rsidRPr="00000000">
        <w:rPr>
          <w:rtl w:val="0"/>
        </w:rPr>
        <w:t xml:space="preserve">In the modern market, "Green Gold" is not a moral luxury—it is a strategic necessity for institutional buyers tethered to strict Environmental, Social, and Governance (ESG) mandates. ATRA’s  </w:t>
      </w:r>
      <w:r w:rsidDel="00000000" w:rsidR="00000000" w:rsidRPr="00000000">
        <w:rPr>
          <w:b w:val="1"/>
          <w:bCs w:val="1"/>
          <w:rtl w:val="0"/>
        </w:rPr>
        <w:t xml:space="preserve">Green Gold Protocol</w:t>
      </w:r>
      <w:r w:rsidDel="00000000" w:rsidR="00000000" w:rsidRPr="00000000">
        <w:rPr>
          <w:rtl w:val="0"/>
        </w:rPr>
        <w:t xml:space="preserve">  serves as a vital bridge, transitioning artisanal miners in the Mali and Burkina Faso interior away from mercury-based extraction and toward clean, mechanical separation.By replacing toxic legacy chemicals with advanced technology, ATRA transforms a compliance nightmare into  </w:t>
      </w:r>
      <w:r w:rsidDel="00000000" w:rsidR="00000000" w:rsidRPr="00000000">
        <w:rPr>
          <w:b w:val="1"/>
          <w:bCs w:val="1"/>
          <w:rtl w:val="0"/>
        </w:rPr>
        <w:t xml:space="preserve">"Ethical Alpha."</w:t>
      </w:r>
      <w:r w:rsidDel="00000000" w:rsidR="00000000" w:rsidRPr="00000000">
        <w:rPr>
          <w:rtl w:val="0"/>
        </w:rPr>
        <w:t xml:space="preserve">  For sovereign funds and global refineries, this offers a traceable, clean supply chain that satisfies the most rigorous international standards. We have redefined the product by offering a clear strategic selection at the point of origin."We give buyers a choice: standard market gold or ATRA Green Gold—the future of ethical, mercury-free mineral wealth."</w:t>
      </w:r>
    </w:p>
    <w:p w:rsidR="00000000" w:rsidDel="00000000" w:rsidP="00000000" w:rsidRDefault="00000000" w:rsidRPr="00000000" w14:paraId="00000006">
      <w:pPr>
        <w:pStyle w:val="Heading5"/>
        <w:rPr/>
      </w:pPr>
      <w:bookmarkStart w:colFirst="0" w:colLast="0" w:name="_s4n5uc14czvh" w:id="3"/>
      <w:bookmarkEnd w:id="3"/>
      <w:r w:rsidDel="00000000" w:rsidR="00000000" w:rsidRPr="00000000">
        <w:rPr>
          <w:rtl w:val="0"/>
        </w:rPr>
        <w:t xml:space="preserve">2. The Intelligence Moat: Why the "Blacklist" is Your Best Insurance</w:t>
      </w:r>
    </w:p>
    <w:p w:rsidR="00000000" w:rsidDel="00000000" w:rsidP="00000000" w:rsidRDefault="00000000" w:rsidRPr="00000000" w14:paraId="00000007">
      <w:pPr>
        <w:rPr/>
      </w:pPr>
      <w:r w:rsidDel="00000000" w:rsidR="00000000" w:rsidRPr="00000000">
        <w:rPr>
          <w:rtl w:val="0"/>
        </w:rPr>
        <w:t xml:space="preserve">In a sector plagued by predatory actors, the most valuable asset ATRA possesses isn't the minerals themselves—it is the power to say "no." ATRA maintains a proprietary  </w:t>
      </w:r>
      <w:r w:rsidDel="00000000" w:rsidR="00000000" w:rsidRPr="00000000">
        <w:rPr>
          <w:b w:val="1"/>
          <w:bCs w:val="1"/>
          <w:rtl w:val="0"/>
        </w:rPr>
        <w:t xml:space="preserve">Industry Blacklist</w:t>
      </w:r>
      <w:r w:rsidDel="00000000" w:rsidR="00000000" w:rsidRPr="00000000">
        <w:rPr>
          <w:rtl w:val="0"/>
        </w:rPr>
        <w:t xml:space="preserve"> , a curated database of bad-faith actors and fraudulent mining entities across the West African coast.This vetting process functions as  </w:t>
      </w:r>
      <w:r w:rsidDel="00000000" w:rsidR="00000000" w:rsidRPr="00000000">
        <w:rPr>
          <w:b w:val="1"/>
          <w:bCs w:val="1"/>
          <w:rtl w:val="0"/>
        </w:rPr>
        <w:t xml:space="preserve">Risk Insurance</w:t>
      </w:r>
      <w:r w:rsidDel="00000000" w:rsidR="00000000" w:rsidRPr="00000000">
        <w:rPr>
          <w:rtl w:val="0"/>
        </w:rPr>
        <w:t xml:space="preserve">  for our partners. Unlike digital-only brokers who operate in a vacuum, ATRA leverages its physical headquarters in Nouakchott to provide a physical vetting layer. By the time an offer reaches an institutional desk, it has been filtered through an "on-the-ground digital twin" verification process. In an era where $X billion is lost annually to trade fraud, our ability to identify and exclude "ghost brokers" provides the ultimate security for global capital.</w:t>
      </w:r>
    </w:p>
    <w:p w:rsidR="00000000" w:rsidDel="00000000" w:rsidP="00000000" w:rsidRDefault="00000000" w:rsidRPr="00000000" w14:paraId="00000008">
      <w:pPr>
        <w:pStyle w:val="Heading5"/>
        <w:rPr/>
      </w:pPr>
      <w:bookmarkStart w:colFirst="0" w:colLast="0" w:name="_jt8sf4akqrtu" w:id="4"/>
      <w:bookmarkEnd w:id="4"/>
      <w:r w:rsidDel="00000000" w:rsidR="00000000" w:rsidRPr="00000000">
        <w:rPr>
          <w:rtl w:val="0"/>
        </w:rPr>
        <w:t xml:space="preserve">3. Digital Liquidity: The "Secret Sauce" for the Blue Economy</w:t>
      </w:r>
    </w:p>
    <w:p w:rsidR="00000000" w:rsidDel="00000000" w:rsidP="00000000" w:rsidRDefault="00000000" w:rsidRPr="00000000" w14:paraId="00000009">
      <w:pPr>
        <w:rPr/>
      </w:pPr>
      <w:r w:rsidDel="00000000" w:rsidR="00000000" w:rsidRPr="00000000">
        <w:rPr>
          <w:rtl w:val="0"/>
        </w:rPr>
        <w:t xml:space="preserve">While gold is a store of value, the fisheries and agricultural sectors represent "essential flow." In the  </w:t>
      </w:r>
      <w:r w:rsidDel="00000000" w:rsidR="00000000" w:rsidRPr="00000000">
        <w:rPr>
          <w:b w:val="1"/>
          <w:bCs w:val="1"/>
          <w:rtl w:val="0"/>
        </w:rPr>
        <w:t xml:space="preserve">Atlantic Blue Economy</w:t>
      </w:r>
      <w:r w:rsidDel="00000000" w:rsidR="00000000" w:rsidRPr="00000000">
        <w:rPr>
          <w:rtl w:val="0"/>
        </w:rPr>
        <w:t xml:space="preserve"> , speed is the only determinant of profit because spoilage is the ultimate tax. Traditional banking wires, with their 3–5 day settlement lags, are an "old world" anchor that frequently results in lost allocations or degraded product quality.To solve this, ATRA utilizes  </w:t>
      </w:r>
      <w:r w:rsidDel="00000000" w:rsidR="00000000" w:rsidRPr="00000000">
        <w:rPr>
          <w:b w:val="1"/>
          <w:bCs w:val="1"/>
          <w:rtl w:val="0"/>
        </w:rPr>
        <w:t xml:space="preserve">USDT (Tether) and BTC (Bitcoin)</w:t>
      </w:r>
      <w:r w:rsidDel="00000000" w:rsidR="00000000" w:rsidRPr="00000000">
        <w:rPr>
          <w:rtl w:val="0"/>
        </w:rPr>
        <w:t xml:space="preserve">  for rapid settlement. This is not a "crypto trend"; it is a logistical necessity. Digital liquidity ensures  </w:t>
      </w:r>
      <w:r w:rsidDel="00000000" w:rsidR="00000000" w:rsidRPr="00000000">
        <w:rPr>
          <w:b w:val="1"/>
          <w:bCs w:val="1"/>
          <w:rtl w:val="0"/>
        </w:rPr>
        <w:t xml:space="preserve">"Sea-to-Shelf" and "Farm-to-Freight" integrity</w:t>
      </w:r>
      <w:r w:rsidDel="00000000" w:rsidR="00000000" w:rsidRPr="00000000">
        <w:rPr>
          <w:rtl w:val="0"/>
        </w:rPr>
        <w:t xml:space="preserve">  by allowing buyers to instantly secure the highest-quality harvests the moment they hit the docks in Nouakchott. In the time it takes for a standard bank wire to clear, the fish has already arrived at the shelf.</w:t>
      </w:r>
    </w:p>
    <w:p w:rsidR="00000000" w:rsidDel="00000000" w:rsidP="00000000" w:rsidRDefault="00000000" w:rsidRPr="00000000" w14:paraId="0000000A">
      <w:pPr>
        <w:pStyle w:val="Heading5"/>
        <w:rPr/>
      </w:pPr>
      <w:bookmarkStart w:colFirst="0" w:colLast="0" w:name="_g7et036ft0bk" w:id="5"/>
      <w:bookmarkEnd w:id="5"/>
      <w:r w:rsidDel="00000000" w:rsidR="00000000" w:rsidRPr="00000000">
        <w:rPr>
          <w:rtl w:val="0"/>
        </w:rPr>
        <w:t xml:space="preserve">4. System-Dependent Scaling: The Autonomous Agent Trade Desk</w:t>
      </w:r>
    </w:p>
    <w:p w:rsidR="00000000" w:rsidDel="00000000" w:rsidP="00000000" w:rsidRDefault="00000000" w:rsidRPr="00000000" w14:paraId="0000000B">
      <w:pPr>
        <w:rPr/>
      </w:pPr>
      <w:r w:rsidDel="00000000" w:rsidR="00000000" w:rsidRPr="00000000">
        <w:rPr>
          <w:rtl w:val="0"/>
        </w:rPr>
        <w:t xml:space="preserve">Institutional volume—specifically our proven  </w:t>
      </w:r>
      <w:r w:rsidDel="00000000" w:rsidR="00000000" w:rsidRPr="00000000">
        <w:rPr>
          <w:b w:val="1"/>
          <w:bCs w:val="1"/>
          <w:rtl w:val="0"/>
        </w:rPr>
        <w:t xml:space="preserve">1–5 metric ton (MT) monthly gold offtake for Chinese institutional buyers</w:t>
      </w:r>
      <w:r w:rsidDel="00000000" w:rsidR="00000000" w:rsidRPr="00000000">
        <w:rPr>
          <w:rtl w:val="0"/>
        </w:rPr>
        <w:t xml:space="preserve"> —cannot be managed by manual spreadsheets. We have transitioned the industry from being "person-dependent" to "system-dependent" through our  </w:t>
      </w:r>
      <w:r w:rsidDel="00000000" w:rsidR="00000000" w:rsidRPr="00000000">
        <w:rPr>
          <w:b w:val="1"/>
          <w:bCs w:val="1"/>
          <w:rtl w:val="0"/>
        </w:rPr>
        <w:t xml:space="preserve">Autonomous Agent Team</w:t>
      </w:r>
      <w:r w:rsidDel="00000000" w:rsidR="00000000" w:rsidRPr="00000000">
        <w:rPr>
          <w:rtl w:val="0"/>
        </w:rPr>
        <w:t xml:space="preserve"> . These AI-driven roles manage our 6-step transaction framework with surgical precision:</w:t>
      </w:r>
    </w:p>
    <w:p w:rsidR="00000000" w:rsidDel="00000000" w:rsidP="00000000" w:rsidRDefault="00000000" w:rsidRPr="00000000" w14:paraId="0000000C">
      <w:pPr>
        <w:numPr>
          <w:ilvl w:val="0"/>
          <w:numId w:val="1"/>
        </w:numPr>
        <w:ind w:left="720" w:hanging="360"/>
        <w:rPr>
          <w:u w:val="none"/>
        </w:rPr>
      </w:pPr>
      <w:r w:rsidDel="00000000" w:rsidR="00000000" w:rsidRPr="00000000">
        <w:rPr>
          <w:b w:val="1"/>
          <w:bCs w:val="1"/>
          <w:rtl w:val="0"/>
        </w:rPr>
        <w:t xml:space="preserve">Sentinel:</w:t>
      </w:r>
      <w:r w:rsidDel="00000000" w:rsidR="00000000" w:rsidRPr="00000000">
        <w:rPr>
          <w:rtl w:val="0"/>
        </w:rPr>
        <w:t xml:space="preserve">  The digital sheriff managing risk mitigation and the Industry Blacklist.</w:t>
      </w:r>
    </w:p>
    <w:p w:rsidR="00000000" w:rsidDel="00000000" w:rsidP="00000000" w:rsidRDefault="00000000" w:rsidRPr="00000000" w14:paraId="0000000D">
      <w:pPr>
        <w:numPr>
          <w:ilvl w:val="0"/>
          <w:numId w:val="1"/>
        </w:numPr>
        <w:ind w:left="720" w:hanging="360"/>
        <w:rPr>
          <w:u w:val="none"/>
        </w:rPr>
      </w:pPr>
      <w:r w:rsidDel="00000000" w:rsidR="00000000" w:rsidRPr="00000000">
        <w:rPr>
          <w:b w:val="1"/>
          <w:bCs w:val="1"/>
          <w:rtl w:val="0"/>
        </w:rPr>
        <w:t xml:space="preserve">Alchemist:</w:t>
      </w:r>
      <w:r w:rsidDel="00000000" w:rsidR="00000000" w:rsidRPr="00000000">
        <w:rPr>
          <w:rtl w:val="0"/>
        </w:rPr>
        <w:t xml:space="preserve">  The specialist overseeing product purity, assays, and the Green Gold Protocol.</w:t>
      </w:r>
    </w:p>
    <w:p w:rsidR="00000000" w:rsidDel="00000000" w:rsidP="00000000" w:rsidRDefault="00000000" w:rsidRPr="00000000" w14:paraId="0000000E">
      <w:pPr>
        <w:numPr>
          <w:ilvl w:val="0"/>
          <w:numId w:val="1"/>
        </w:numPr>
        <w:ind w:left="720" w:hanging="360"/>
        <w:rPr>
          <w:u w:val="none"/>
        </w:rPr>
      </w:pPr>
      <w:r w:rsidDel="00000000" w:rsidR="00000000" w:rsidRPr="00000000">
        <w:rPr>
          <w:b w:val="1"/>
          <w:bCs w:val="1"/>
          <w:rtl w:val="0"/>
        </w:rPr>
        <w:t xml:space="preserve">Logos:</w:t>
      </w:r>
      <w:r w:rsidDel="00000000" w:rsidR="00000000" w:rsidRPr="00000000">
        <w:rPr>
          <w:rtl w:val="0"/>
        </w:rPr>
        <w:t xml:space="preserve">  The contractual architect handling NCNDAs and Sales and Purchase Agreements (SPAs).</w:t>
      </w:r>
    </w:p>
    <w:p w:rsidR="00000000" w:rsidDel="00000000" w:rsidP="00000000" w:rsidRDefault="00000000" w:rsidRPr="00000000" w14:paraId="0000000F">
      <w:pPr>
        <w:numPr>
          <w:ilvl w:val="0"/>
          <w:numId w:val="1"/>
        </w:numPr>
        <w:ind w:left="720" w:hanging="360"/>
        <w:rPr>
          <w:u w:val="none"/>
        </w:rPr>
      </w:pPr>
      <w:r w:rsidDel="00000000" w:rsidR="00000000" w:rsidRPr="00000000">
        <w:rPr>
          <w:b w:val="1"/>
          <w:bCs w:val="1"/>
          <w:rtl w:val="0"/>
        </w:rPr>
        <w:t xml:space="preserve">Vault:</w:t>
      </w:r>
      <w:r w:rsidDel="00000000" w:rsidR="00000000" w:rsidRPr="00000000">
        <w:rPr>
          <w:rtl w:val="0"/>
        </w:rPr>
        <w:t xml:space="preserve">  The treasurer executing dual-stream settlements, from  </w:t>
      </w:r>
      <w:r w:rsidDel="00000000" w:rsidR="00000000" w:rsidRPr="00000000">
        <w:rPr>
          <w:b w:val="1"/>
          <w:bCs w:val="1"/>
          <w:rtl w:val="0"/>
        </w:rPr>
        <w:t xml:space="preserve">DLC (MT700/760)</w:t>
      </w:r>
      <w:r w:rsidDel="00000000" w:rsidR="00000000" w:rsidRPr="00000000">
        <w:rPr>
          <w:rtl w:val="0"/>
        </w:rPr>
        <w:t xml:space="preserve">  to digital assets.</w:t>
      </w:r>
    </w:p>
    <w:p w:rsidR="00000000" w:rsidDel="00000000" w:rsidP="00000000" w:rsidRDefault="00000000" w:rsidRPr="00000000" w14:paraId="00000010">
      <w:pPr>
        <w:numPr>
          <w:ilvl w:val="0"/>
          <w:numId w:val="1"/>
        </w:numPr>
        <w:ind w:left="720" w:hanging="360"/>
        <w:rPr>
          <w:u w:val="none"/>
        </w:rPr>
      </w:pPr>
      <w:r w:rsidDel="00000000" w:rsidR="00000000" w:rsidRPr="00000000">
        <w:rPr>
          <w:b w:val="1"/>
          <w:bCs w:val="1"/>
          <w:rtl w:val="0"/>
        </w:rPr>
        <w:t xml:space="preserve">Navigator:</w:t>
      </w:r>
      <w:r w:rsidDel="00000000" w:rsidR="00000000" w:rsidRPr="00000000">
        <w:rPr>
          <w:rtl w:val="0"/>
        </w:rPr>
        <w:t xml:space="preserve">  The logistics liaison coordinating armored transport and customs at the Port of Nouakchott.</w:t>
      </w:r>
    </w:p>
    <w:p w:rsidR="00000000" w:rsidDel="00000000" w:rsidP="00000000" w:rsidRDefault="00000000" w:rsidRPr="00000000" w14:paraId="00000011">
      <w:pPr>
        <w:pStyle w:val="Heading5"/>
        <w:rPr/>
      </w:pPr>
      <w:bookmarkStart w:colFirst="0" w:colLast="0" w:name="_7vsmhxkgfl6i" w:id="6"/>
      <w:bookmarkEnd w:id="6"/>
      <w:r w:rsidDel="00000000" w:rsidR="00000000" w:rsidRPr="00000000">
        <w:rPr>
          <w:rtl w:val="0"/>
        </w:rPr>
        <w:t xml:space="preserve">5. Sovereign Capacity: Why the Asset-Light Model Wins</w:t>
      </w:r>
    </w:p>
    <w:p w:rsidR="00000000" w:rsidDel="00000000" w:rsidP="00000000" w:rsidRDefault="00000000" w:rsidRPr="00000000" w14:paraId="00000012">
      <w:pPr>
        <w:rPr/>
      </w:pPr>
      <w:r w:rsidDel="00000000" w:rsidR="00000000" w:rsidRPr="00000000">
        <w:rPr>
          <w:rtl w:val="0"/>
        </w:rPr>
        <w:t xml:space="preserve">A surprising reality of the modern trade landscape is that the most scalable players are those who do not own the physical mines. ATRA operates as a  </w:t>
      </w:r>
      <w:r w:rsidDel="00000000" w:rsidR="00000000" w:rsidRPr="00000000">
        <w:rPr>
          <w:b w:val="1"/>
          <w:bCs w:val="1"/>
          <w:rtl w:val="0"/>
        </w:rPr>
        <w:t xml:space="preserve">"pure-play" brokerage and business facilitator</w:t>
      </w:r>
      <w:r w:rsidDel="00000000" w:rsidR="00000000" w:rsidRPr="00000000">
        <w:rPr>
          <w:rtl w:val="0"/>
        </w:rPr>
        <w:t xml:space="preserve"> . This asset-light model provides us with the ultimate scalability play.By operating as a trusted intermediary rather than a mine owner, we avoid the localized liabilities and operational friction of physical extraction. This allows us to focus entirely on deal structuring, compliance, and the smooth execution of high-value transactions across Precious Metals, Energy, and Commodities. It is this model that allows us to bridge the gap between regional abundance and global institutional demand."Our mission is to make international business easier by linking global demand with reliable supply sources while ensuring compliance, verification, and smooth execution."</w:t>
      </w:r>
    </w:p>
    <w:p w:rsidR="00000000" w:rsidDel="00000000" w:rsidP="00000000" w:rsidRDefault="00000000" w:rsidRPr="00000000" w14:paraId="00000013">
      <w:pPr>
        <w:pStyle w:val="Heading5"/>
        <w:rPr/>
      </w:pPr>
      <w:bookmarkStart w:colFirst="0" w:colLast="0" w:name="_7fuu91jofa8a" w:id="7"/>
      <w:bookmarkEnd w:id="7"/>
      <w:r w:rsidDel="00000000" w:rsidR="00000000" w:rsidRPr="00000000">
        <w:rPr>
          <w:rtl w:val="0"/>
        </w:rPr>
        <w:t xml:space="preserve">Conclusion: A Sovereign Future</w:t>
      </w:r>
    </w:p>
    <w:p w:rsidR="00000000" w:rsidDel="00000000" w:rsidP="00000000" w:rsidRDefault="00000000" w:rsidRPr="00000000" w14:paraId="00000014">
      <w:pPr>
        <w:rPr>
          <w:i w:val="1"/>
          <w:iCs w:val="1"/>
        </w:rPr>
      </w:pPr>
      <w:r w:rsidDel="00000000" w:rsidR="00000000" w:rsidRPr="00000000">
        <w:rPr>
          <w:rtl w:val="0"/>
        </w:rPr>
        <w:t xml:space="preserve">The shift from the "Wild West" to a structured, tech-forward environment signals the rise of  </w:t>
      </w:r>
      <w:r w:rsidDel="00000000" w:rsidR="00000000" w:rsidRPr="00000000">
        <w:rPr>
          <w:b w:val="1"/>
          <w:bCs w:val="1"/>
          <w:rtl w:val="0"/>
        </w:rPr>
        <w:t xml:space="preserve">Neo-African Excellence</w:t>
      </w:r>
      <w:r w:rsidDel="00000000" w:rsidR="00000000" w:rsidRPr="00000000">
        <w:rPr>
          <w:rtl w:val="0"/>
        </w:rPr>
        <w:t xml:space="preserve"> . By prioritizing Ethical Alpha, proprietary risk intelligence, and rapid digital settlement, facilitators like ATRA are proving that the complexity of the West African Gold Belt can be mastered at scale.In an era of global supply chain fragility and heightened ethical scrutiny, the fundamental question for institutional partners has changed:  </w:t>
      </w:r>
      <w:r w:rsidDel="00000000" w:rsidR="00000000" w:rsidRPr="00000000">
        <w:rPr>
          <w:i w:val="1"/>
          <w:iCs w:val="1"/>
          <w:rtl w:val="0"/>
        </w:rPr>
        <w:t xml:space="preserve">Are you looking for the resource itself, or the certainty that it will actually arrive?</w:t>
      </w:r>
    </w:p>
    <w:p w:rsidR="00000000" w:rsidDel="00000000" w:rsidP="00000000" w:rsidRDefault="00000000" w:rsidRPr="00000000" w14:paraId="00000015">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