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x4225ej4y6c" w:id="0"/>
      <w:bookmarkEnd w:id="0"/>
      <w:r w:rsidDel="00000000" w:rsidR="00000000" w:rsidRPr="00000000">
        <w:rPr>
          <w:rtl w:val="0"/>
        </w:rPr>
        <w:t xml:space="preserve">Exploring the World of International Brokerage: A Guide for Aspiring Trade Professionals</w:t>
      </w:r>
    </w:p>
    <w:p w:rsidR="00000000" w:rsidDel="00000000" w:rsidP="00000000" w:rsidRDefault="00000000" w:rsidRPr="00000000" w14:paraId="00000002">
      <w:pPr>
        <w:pStyle w:val="Heading4"/>
        <w:rPr/>
      </w:pPr>
      <w:bookmarkStart w:colFirst="0" w:colLast="0" w:name="_ystw13hliyaj" w:id="1"/>
      <w:bookmarkEnd w:id="1"/>
      <w:r w:rsidDel="00000000" w:rsidR="00000000" w:rsidRPr="00000000">
        <w:rPr>
          <w:rtl w:val="0"/>
        </w:rPr>
        <w:t xml:space="preserve">1. The Core Concept: The "Trust Bridge"</w:t>
      </w:r>
    </w:p>
    <w:p w:rsidR="00000000" w:rsidDel="00000000" w:rsidP="00000000" w:rsidRDefault="00000000" w:rsidRPr="00000000" w14:paraId="00000003">
      <w:pPr>
        <w:rPr/>
      </w:pPr>
      <w:r w:rsidDel="00000000" w:rsidR="00000000" w:rsidRPr="00000000">
        <w:rPr>
          <w:rtl w:val="0"/>
        </w:rPr>
        <w:t xml:space="preserve">In the high-stakes environment of global commerce, the trade intermediary serves as a vital "bridge" connecting the raw resource wealth of Africa to the sophisticated demands of international markets. The Africa Trade &amp; Resources Agency (ATRA), headquartered in Nouakchott, Mauritania, serves as the definitive model for this role.However, a professional agency is far more than a simple matchmaker. In the "Wild West" reality of African trade—characterized by fraud, unverified sellers, and logistical "black holes"—the intermediary functions as  </w:t>
      </w:r>
      <w:r w:rsidDel="00000000" w:rsidR="00000000" w:rsidRPr="00000000">
        <w:rPr>
          <w:b w:val="1"/>
          <w:bCs w:val="1"/>
          <w:rtl w:val="0"/>
        </w:rPr>
        <w:t xml:space="preserve">Risk Insurance</w:t>
      </w:r>
      <w:r w:rsidDel="00000000" w:rsidR="00000000" w:rsidRPr="00000000">
        <w:rPr>
          <w:rtl w:val="0"/>
        </w:rPr>
        <w:t xml:space="preserve"> . For the international buyer, the broker does not just sell a commodity; they sell the  </w:t>
      </w:r>
      <w:r w:rsidDel="00000000" w:rsidR="00000000" w:rsidRPr="00000000">
        <w:rPr>
          <w:b w:val="1"/>
          <w:bCs w:val="1"/>
          <w:rtl w:val="0"/>
        </w:rPr>
        <w:t xml:space="preserve">certainty</w:t>
      </w:r>
      <w:r w:rsidDel="00000000" w:rsidR="00000000" w:rsidRPr="00000000">
        <w:rPr>
          <w:rtl w:val="0"/>
        </w:rPr>
        <w:t xml:space="preserve">  that the product exists, is ethically sourced, and will arrive at its destination.</w:t>
      </w:r>
      <w:r w:rsidDel="00000000" w:rsidR="00000000" w:rsidRPr="00000000">
        <w:rPr>
          <w:b w:val="1"/>
          <w:bCs w:val="1"/>
          <w:rtl w:val="0"/>
        </w:rPr>
        <w:t xml:space="preserve">The Mission:</w:t>
      </w:r>
      <w:r w:rsidDel="00000000" w:rsidR="00000000" w:rsidRPr="00000000">
        <w:rPr>
          <w:rtl w:val="0"/>
        </w:rPr>
        <w:t xml:space="preserve">  To make international business easier by linking global demand with reliable supply sources while ensuring compliance, verification, and smooth execution of transactions.This bridge is built upon intellectual infrastructure and on-the-ground intelligence, allowing the business to operate at scale without the burden of physical asset ownership.</w:t>
      </w:r>
    </w:p>
    <w:p w:rsidR="00000000" w:rsidDel="00000000" w:rsidP="00000000" w:rsidRDefault="00000000" w:rsidRPr="00000000" w14:paraId="00000004">
      <w:pPr>
        <w:pStyle w:val="Heading4"/>
        <w:rPr/>
      </w:pPr>
      <w:bookmarkStart w:colFirst="0" w:colLast="0" w:name="_tda3bgve44s1" w:id="2"/>
      <w:bookmarkEnd w:id="2"/>
      <w:r w:rsidDel="00000000" w:rsidR="00000000" w:rsidRPr="00000000">
        <w:rPr>
          <w:rtl w:val="0"/>
        </w:rPr>
        <w:t xml:space="preserve">2. The "Pure-Play" Brokerage Business Model</w:t>
      </w:r>
    </w:p>
    <w:p w:rsidR="00000000" w:rsidDel="00000000" w:rsidP="00000000" w:rsidRDefault="00000000" w:rsidRPr="00000000" w14:paraId="00000005">
      <w:pPr>
        <w:rPr/>
      </w:pPr>
      <w:r w:rsidDel="00000000" w:rsidR="00000000" w:rsidRPr="00000000">
        <w:rPr>
          <w:rtl w:val="0"/>
        </w:rPr>
        <w:t xml:space="preserve">A "Pure-Play" brokerage operates on a  </w:t>
      </w:r>
      <w:r w:rsidDel="00000000" w:rsidR="00000000" w:rsidRPr="00000000">
        <w:rPr>
          <w:b w:val="1"/>
          <w:bCs w:val="1"/>
          <w:rtl w:val="0"/>
        </w:rPr>
        <w:t xml:space="preserve">No-Ownership</w:t>
      </w:r>
      <w:r w:rsidDel="00000000" w:rsidR="00000000" w:rsidRPr="00000000">
        <w:rPr>
          <w:rtl w:val="0"/>
        </w:rPr>
        <w:t xml:space="preserve">  model. To be clear: the agency does not own the mines, the refineries, or the physical agricultural products. Instead, it owns the networks, the proprietary intelligence, and the contractual frameworks required to move assets safely across borders.</w:t>
      </w:r>
    </w:p>
    <w:p w:rsidR="00000000" w:rsidDel="00000000" w:rsidP="00000000" w:rsidRDefault="00000000" w:rsidRPr="00000000" w14:paraId="00000006">
      <w:pPr>
        <w:pStyle w:val="Heading5"/>
        <w:rPr/>
      </w:pPr>
      <w:bookmarkStart w:colFirst="0" w:colLast="0" w:name="_m6n1y5tyhvhy" w:id="3"/>
      <w:bookmarkEnd w:id="3"/>
      <w:r w:rsidDel="00000000" w:rsidR="00000000" w:rsidRPr="00000000">
        <w:rPr>
          <w:rtl w:val="0"/>
        </w:rPr>
        <w:t xml:space="preserve">Comparative Industry Roles</w:t>
      </w:r>
    </w:p>
    <w:p w:rsidR="00000000" w:rsidDel="00000000" w:rsidP="00000000" w:rsidRDefault="00000000" w:rsidRPr="00000000" w14:paraId="00000007">
      <w:pPr>
        <w:rPr/>
      </w:pPr>
      <w:r w:rsidDel="00000000" w:rsidR="00000000" w:rsidRPr="00000000">
        <w:rPr>
          <w:rtl w:val="0"/>
        </w:rPr>
        <w:t xml:space="preserve">Feature,Asset Owners (Producers/Miners),Brokerage Agencies (Facilitators)</w:t>
      </w:r>
    </w:p>
    <w:p w:rsidR="00000000" w:rsidDel="00000000" w:rsidP="00000000" w:rsidRDefault="00000000" w:rsidRPr="00000000" w14:paraId="00000008">
      <w:pPr>
        <w:rPr/>
      </w:pPr>
      <w:r w:rsidDel="00000000" w:rsidR="00000000" w:rsidRPr="00000000">
        <w:rPr>
          <w:rtl w:val="0"/>
        </w:rPr>
        <w:t xml:space="preserve">Primary Function,"Extraction, refining, and production of physical goods.","Risk mitigation, due diligence, and deal structuring."</w:t>
      </w:r>
    </w:p>
    <w:p w:rsidR="00000000" w:rsidDel="00000000" w:rsidP="00000000" w:rsidRDefault="00000000" w:rsidRPr="00000000" w14:paraId="00000009">
      <w:pPr>
        <w:rPr/>
      </w:pPr>
      <w:r w:rsidDel="00000000" w:rsidR="00000000" w:rsidRPr="00000000">
        <w:rPr>
          <w:rtl w:val="0"/>
        </w:rPr>
        <w:t xml:space="preserve">Asset Ownership,"Owns physical mines, land, factories, or vessels.","Owns networks, intelligence, and legal frameworks."</w:t>
      </w:r>
    </w:p>
    <w:p w:rsidR="00000000" w:rsidDel="00000000" w:rsidP="00000000" w:rsidRDefault="00000000" w:rsidRPr="00000000" w14:paraId="0000000A">
      <w:pPr>
        <w:rPr/>
      </w:pPr>
      <w:r w:rsidDel="00000000" w:rsidR="00000000" w:rsidRPr="00000000">
        <w:rPr>
          <w:rtl w:val="0"/>
        </w:rPr>
        <w:t xml:space="preserve">Income Source,Revenue from the direct sale of physical products.,Commissions and facilitation fees.</w:t>
      </w:r>
    </w:p>
    <w:p w:rsidR="00000000" w:rsidDel="00000000" w:rsidP="00000000" w:rsidRDefault="00000000" w:rsidRPr="00000000" w14:paraId="0000000B">
      <w:pPr>
        <w:rPr/>
      </w:pPr>
      <w:r w:rsidDel="00000000" w:rsidR="00000000" w:rsidRPr="00000000">
        <w:rPr>
          <w:rtl w:val="0"/>
        </w:rPr>
        <w:t xml:space="preserve">The intermediary’s model is entirely  </w:t>
      </w:r>
      <w:r w:rsidDel="00000000" w:rsidR="00000000" w:rsidRPr="00000000">
        <w:rPr>
          <w:b w:val="1"/>
          <w:bCs w:val="1"/>
          <w:rtl w:val="0"/>
        </w:rPr>
        <w:t xml:space="preserve">performance-driven</w:t>
      </w:r>
      <w:r w:rsidDel="00000000" w:rsidR="00000000" w:rsidRPr="00000000">
        <w:rPr>
          <w:rtl w:val="0"/>
        </w:rPr>
        <w:t xml:space="preserve"> . The agency succeeds only when the deal is successfully executed, aligning its interests perfectly with the secure and transparent completion of the trade.Beyond the model, an aspiring professional must understand the specific high-value sectors where these transactions occur.</w:t>
      </w:r>
    </w:p>
    <w:p w:rsidR="00000000" w:rsidDel="00000000" w:rsidP="00000000" w:rsidRDefault="00000000" w:rsidRPr="00000000" w14:paraId="0000000C">
      <w:pPr>
        <w:pStyle w:val="Heading4"/>
        <w:rPr/>
      </w:pPr>
      <w:bookmarkStart w:colFirst="0" w:colLast="0" w:name="_9354o18ogjnn" w:id="4"/>
      <w:bookmarkEnd w:id="4"/>
      <w:r w:rsidDel="00000000" w:rsidR="00000000" w:rsidRPr="00000000">
        <w:rPr>
          <w:rtl w:val="0"/>
        </w:rPr>
        <w:t xml:space="preserve">3. Strategic Sectors: What is Being Moved?</w:t>
      </w:r>
    </w:p>
    <w:p w:rsidR="00000000" w:rsidDel="00000000" w:rsidP="00000000" w:rsidRDefault="00000000" w:rsidRPr="00000000" w14:paraId="0000000D">
      <w:pPr>
        <w:rPr/>
      </w:pPr>
      <w:r w:rsidDel="00000000" w:rsidR="00000000" w:rsidRPr="00000000">
        <w:rPr>
          <w:rtl w:val="0"/>
        </w:rPr>
        <w:t xml:space="preserve">Professional facilitators focus on industries with high global demand and sovereign-level requirements. ATRA focuses on three primary pillars:</w:t>
      </w:r>
    </w:p>
    <w:p w:rsidR="00000000" w:rsidDel="00000000" w:rsidP="00000000" w:rsidRDefault="00000000" w:rsidRPr="00000000" w14:paraId="0000000E">
      <w:pPr>
        <w:numPr>
          <w:ilvl w:val="0"/>
          <w:numId w:val="2"/>
        </w:numPr>
        <w:ind w:left="720" w:hanging="360"/>
        <w:rPr>
          <w:b w:val="1"/>
          <w:bCs w:val="1"/>
          <w:u w:val="none"/>
        </w:rPr>
      </w:pPr>
      <w:r w:rsidDel="00000000" w:rsidR="00000000" w:rsidRPr="00000000">
        <w:rPr>
          <w:b w:val="1"/>
          <w:bCs w:val="1"/>
          <w:rtl w:val="0"/>
        </w:rPr>
        <w:t xml:space="preserve">Precious Metals (Gold Doré and Refined Bullion)</w:t>
      </w:r>
    </w:p>
    <w:p w:rsidR="00000000" w:rsidDel="00000000" w:rsidP="00000000" w:rsidRDefault="00000000" w:rsidRPr="00000000" w14:paraId="0000000F">
      <w:pPr>
        <w:numPr>
          <w:ilvl w:val="0"/>
          <w:numId w:val="2"/>
        </w:numPr>
        <w:ind w:left="720" w:hanging="360"/>
        <w:rPr>
          <w:u w:val="none"/>
        </w:rPr>
      </w:pPr>
      <w:r w:rsidDel="00000000" w:rsidR="00000000" w:rsidRPr="00000000">
        <w:rPr>
          <w:i w:val="1"/>
          <w:iCs w:val="1"/>
          <w:rtl w:val="0"/>
        </w:rPr>
        <w:t xml:space="preserve">Student Insight:</w:t>
      </w:r>
      <w:r w:rsidDel="00000000" w:rsidR="00000000" w:rsidRPr="00000000">
        <w:rPr>
          <w:rtl w:val="0"/>
        </w:rPr>
        <w:t xml:space="preserve">  This sector deals with the tension between "Stored Value" and "ESG Compliance." In the West African Gold Belt, professional agencies manage  </w:t>
      </w:r>
      <w:r w:rsidDel="00000000" w:rsidR="00000000" w:rsidRPr="00000000">
        <w:rPr>
          <w:b w:val="1"/>
          <w:bCs w:val="1"/>
          <w:rtl w:val="0"/>
        </w:rPr>
        <w:t xml:space="preserve">institutional-scale demand</w:t>
      </w:r>
      <w:r w:rsidDel="00000000" w:rsidR="00000000" w:rsidRPr="00000000">
        <w:rPr>
          <w:rtl w:val="0"/>
        </w:rPr>
        <w:t xml:space="preserve"> , such as ATRA’s verified pipeline of  </w:t>
      </w:r>
      <w:r w:rsidDel="00000000" w:rsidR="00000000" w:rsidRPr="00000000">
        <w:rPr>
          <w:b w:val="1"/>
          <w:bCs w:val="1"/>
          <w:rtl w:val="0"/>
        </w:rPr>
        <w:t xml:space="preserve">1–5 Metric Tons (MT) monthly offtake</w:t>
      </w:r>
      <w:r w:rsidDel="00000000" w:rsidR="00000000" w:rsidRPr="00000000">
        <w:rPr>
          <w:rtl w:val="0"/>
        </w:rPr>
        <w:t xml:space="preserve">  for a Tier-1 institutional buyer.</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Energy Commodities (Oil, Gas, and Petroleum)</w:t>
      </w:r>
    </w:p>
    <w:p w:rsidR="00000000" w:rsidDel="00000000" w:rsidP="00000000" w:rsidRDefault="00000000" w:rsidRPr="00000000" w14:paraId="00000011">
      <w:pPr>
        <w:numPr>
          <w:ilvl w:val="0"/>
          <w:numId w:val="2"/>
        </w:numPr>
        <w:ind w:left="720" w:hanging="360"/>
        <w:rPr>
          <w:u w:val="none"/>
        </w:rPr>
      </w:pPr>
      <w:r w:rsidDel="00000000" w:rsidR="00000000" w:rsidRPr="00000000">
        <w:rPr>
          <w:i w:val="1"/>
          <w:iCs w:val="1"/>
          <w:rtl w:val="0"/>
        </w:rPr>
        <w:t xml:space="preserve">Student Insight:</w:t>
      </w:r>
      <w:r w:rsidDel="00000000" w:rsidR="00000000" w:rsidRPr="00000000">
        <w:rPr>
          <w:rtl w:val="0"/>
        </w:rPr>
        <w:t xml:space="preserve">  These transactions require specialized logistics and high-level security protocols. The broker acts as a guardian of the supply chain to ensure these essential global resources move without disruption.</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Agricultural &amp; Industrial Commodities (Fisheries, Gypsum, Clinker)</w:t>
      </w:r>
    </w:p>
    <w:p w:rsidR="00000000" w:rsidDel="00000000" w:rsidP="00000000" w:rsidRDefault="00000000" w:rsidRPr="00000000" w14:paraId="00000013">
      <w:pPr>
        <w:numPr>
          <w:ilvl w:val="0"/>
          <w:numId w:val="2"/>
        </w:numPr>
        <w:ind w:left="720" w:hanging="360"/>
        <w:rPr>
          <w:u w:val="none"/>
        </w:rPr>
      </w:pPr>
      <w:r w:rsidDel="00000000" w:rsidR="00000000" w:rsidRPr="00000000">
        <w:rPr>
          <w:i w:val="1"/>
          <w:iCs w:val="1"/>
          <w:rtl w:val="0"/>
        </w:rPr>
        <w:t xml:space="preserve">Student Insight:</w:t>
      </w:r>
      <w:r w:rsidDel="00000000" w:rsidR="00000000" w:rsidRPr="00000000">
        <w:rPr>
          <w:rtl w:val="0"/>
        </w:rPr>
        <w:t xml:space="preserve">  This sector is the engine of the  </w:t>
      </w:r>
      <w:r w:rsidDel="00000000" w:rsidR="00000000" w:rsidRPr="00000000">
        <w:rPr>
          <w:b w:val="1"/>
          <w:bCs w:val="1"/>
          <w:rtl w:val="0"/>
        </w:rPr>
        <w:t xml:space="preserve">"Blue Economy"</w:t>
      </w:r>
      <w:r w:rsidDel="00000000" w:rsidR="00000000" w:rsidRPr="00000000">
        <w:rPr>
          <w:rtl w:val="0"/>
        </w:rPr>
        <w:t xml:space="preserve">  and global  </w:t>
      </w:r>
      <w:r w:rsidDel="00000000" w:rsidR="00000000" w:rsidRPr="00000000">
        <w:rPr>
          <w:b w:val="1"/>
          <w:bCs w:val="1"/>
          <w:rtl w:val="0"/>
        </w:rPr>
        <w:t xml:space="preserve">Food Security</w:t>
      </w:r>
      <w:r w:rsidDel="00000000" w:rsidR="00000000" w:rsidRPr="00000000">
        <w:rPr>
          <w:rtl w:val="0"/>
        </w:rPr>
        <w:t xml:space="preserve"> . Success here depends on the broker's ability to manage "Essential Flow" items where time-sensitivity is as critical as the product itself.Moving these massive assets requires a standardized, professional blueprint to move from inquiry to delivery.</w:t>
      </w:r>
    </w:p>
    <w:p w:rsidR="00000000" w:rsidDel="00000000" w:rsidP="00000000" w:rsidRDefault="00000000" w:rsidRPr="00000000" w14:paraId="00000014">
      <w:pPr>
        <w:pStyle w:val="Heading4"/>
        <w:rPr/>
      </w:pPr>
      <w:bookmarkStart w:colFirst="0" w:colLast="0" w:name="_s2n9iui1m6rh" w:id="5"/>
      <w:bookmarkEnd w:id="5"/>
      <w:r w:rsidDel="00000000" w:rsidR="00000000" w:rsidRPr="00000000">
        <w:rPr>
          <w:rtl w:val="0"/>
        </w:rPr>
        <w:t xml:space="preserve">4. The 6-Step Transaction Blueprint</w:t>
      </w:r>
    </w:p>
    <w:p w:rsidR="00000000" w:rsidDel="00000000" w:rsidP="00000000" w:rsidRDefault="00000000" w:rsidRPr="00000000" w14:paraId="00000015">
      <w:pPr>
        <w:rPr/>
      </w:pPr>
      <w:r w:rsidDel="00000000" w:rsidR="00000000" w:rsidRPr="00000000">
        <w:rPr>
          <w:rtl w:val="0"/>
        </w:rPr>
        <w:t xml:space="preserve">To move a deal from a simple request to a multi-million dollar closing, professionals follow a structured learning path:</w:t>
      </w:r>
    </w:p>
    <w:p w:rsidR="00000000" w:rsidDel="00000000" w:rsidP="00000000" w:rsidRDefault="00000000" w:rsidRPr="00000000" w14:paraId="00000016">
      <w:pPr>
        <w:numPr>
          <w:ilvl w:val="0"/>
          <w:numId w:val="1"/>
        </w:numPr>
        <w:ind w:left="720" w:hanging="360"/>
        <w:rPr>
          <w:b w:val="1"/>
          <w:bCs w:val="1"/>
          <w:u w:val="none"/>
        </w:rPr>
      </w:pPr>
      <w:r w:rsidDel="00000000" w:rsidR="00000000" w:rsidRPr="00000000">
        <w:rPr>
          <w:b w:val="1"/>
          <w:bCs w:val="1"/>
          <w:rtl w:val="0"/>
        </w:rPr>
        <w:t xml:space="preserve">Initial Request &amp; Consultation</w:t>
      </w:r>
    </w:p>
    <w:p w:rsidR="00000000" w:rsidDel="00000000" w:rsidP="00000000" w:rsidRDefault="00000000" w:rsidRPr="00000000" w14:paraId="00000017">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Confirm the specific requirements, purity levels, and delivery conditions of the buyer’s demand.</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Verification of Parties</w:t>
      </w:r>
    </w:p>
    <w:p w:rsidR="00000000" w:rsidDel="00000000" w:rsidP="00000000" w:rsidRDefault="00000000" w:rsidRPr="00000000" w14:paraId="00000019">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Filter both parties through a  </w:t>
      </w:r>
      <w:r w:rsidDel="00000000" w:rsidR="00000000" w:rsidRPr="00000000">
        <w:rPr>
          <w:b w:val="1"/>
          <w:bCs w:val="1"/>
          <w:rtl w:val="0"/>
        </w:rPr>
        <w:t xml:space="preserve">Proprietary Blacklist Filter</w:t>
      </w:r>
      <w:r w:rsidDel="00000000" w:rsidR="00000000" w:rsidRPr="00000000">
        <w:rPr>
          <w:rtl w:val="0"/>
        </w:rPr>
        <w:t xml:space="preserve">  and perform deep-dive due diligence to ensure legitimacy.</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Offer Presentation &amp; Negotiation</w:t>
      </w:r>
    </w:p>
    <w:p w:rsidR="00000000" w:rsidDel="00000000" w:rsidP="00000000" w:rsidRDefault="00000000" w:rsidRPr="00000000" w14:paraId="0000001B">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Present the deal using international standards to reduce time-waste and ensure all terms are agreed upon.</w:t>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Contract &amp; Documentation</w:t>
      </w:r>
    </w:p>
    <w:p w:rsidR="00000000" w:rsidDel="00000000" w:rsidP="00000000" w:rsidRDefault="00000000" w:rsidRPr="00000000" w14:paraId="0000001D">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Architect the Sales and Purchase Agreement (SPA) and non-disclosure documents (NCNDAs) to protect all stakeholders.</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Payment and Security Mechanism</w:t>
      </w:r>
    </w:p>
    <w:p w:rsidR="00000000" w:rsidDel="00000000" w:rsidP="00000000" w:rsidRDefault="00000000" w:rsidRPr="00000000" w14:paraId="0000001F">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Implement a  </w:t>
      </w:r>
      <w:r w:rsidDel="00000000" w:rsidR="00000000" w:rsidRPr="00000000">
        <w:rPr>
          <w:b w:val="1"/>
          <w:bCs w:val="1"/>
          <w:rtl w:val="0"/>
        </w:rPr>
        <w:t xml:space="preserve">Dual-Stream approach</w:t>
      </w:r>
      <w:r w:rsidDel="00000000" w:rsidR="00000000" w:rsidRPr="00000000">
        <w:rPr>
          <w:rtl w:val="0"/>
        </w:rPr>
        <w:t xml:space="preserve"> , recommending secure traditional systems (Letters of Credit) or rapid digital settlements.</w:t>
      </w:r>
    </w:p>
    <w:p w:rsidR="00000000" w:rsidDel="00000000" w:rsidP="00000000" w:rsidRDefault="00000000" w:rsidRPr="00000000" w14:paraId="00000020">
      <w:pPr>
        <w:numPr>
          <w:ilvl w:val="0"/>
          <w:numId w:val="1"/>
        </w:numPr>
        <w:ind w:left="720" w:hanging="360"/>
        <w:rPr>
          <w:b w:val="1"/>
          <w:bCs w:val="1"/>
        </w:rPr>
      </w:pPr>
      <w:r w:rsidDel="00000000" w:rsidR="00000000" w:rsidRPr="00000000">
        <w:rPr>
          <w:b w:val="1"/>
          <w:bCs w:val="1"/>
          <w:rtl w:val="0"/>
        </w:rPr>
        <w:t xml:space="preserve">Logistics, Delivery &amp; Completion</w:t>
      </w:r>
    </w:p>
    <w:p w:rsidR="00000000" w:rsidDel="00000000" w:rsidP="00000000" w:rsidRDefault="00000000" w:rsidRPr="00000000" w14:paraId="00000021">
      <w:pPr>
        <w:numPr>
          <w:ilvl w:val="0"/>
          <w:numId w:val="1"/>
        </w:numPr>
        <w:ind w:left="720" w:hanging="360"/>
        <w:rPr>
          <w:u w:val="none"/>
        </w:rPr>
      </w:pPr>
      <w:r w:rsidDel="00000000" w:rsidR="00000000" w:rsidRPr="00000000">
        <w:rPr>
          <w:i w:val="1"/>
          <w:iCs w:val="1"/>
          <w:rtl w:val="0"/>
        </w:rPr>
        <w:t xml:space="preserve">Action Command:</w:t>
      </w:r>
      <w:r w:rsidDel="00000000" w:rsidR="00000000" w:rsidRPr="00000000">
        <w:rPr>
          <w:rtl w:val="0"/>
        </w:rPr>
        <w:t xml:space="preserve">  Coordinate armored transport, customs clearance, and final inspection to close the transaction.While the process is standard, the "competitive moats" provide the actual value that separates a professional agency from a casual broker.</w:t>
      </w:r>
    </w:p>
    <w:p w:rsidR="00000000" w:rsidDel="00000000" w:rsidP="00000000" w:rsidRDefault="00000000" w:rsidRPr="00000000" w14:paraId="00000022">
      <w:pPr>
        <w:pStyle w:val="Heading4"/>
        <w:rPr/>
      </w:pPr>
      <w:bookmarkStart w:colFirst="0" w:colLast="0" w:name="_52yf54pked5k" w:id="6"/>
      <w:bookmarkEnd w:id="6"/>
      <w:r w:rsidDel="00000000" w:rsidR="00000000" w:rsidRPr="00000000">
        <w:rPr>
          <w:rtl w:val="0"/>
        </w:rPr>
        <w:t xml:space="preserve">5. The Broker’s Value Add: Risk Insurance &amp; ESG</w:t>
      </w:r>
    </w:p>
    <w:p w:rsidR="00000000" w:rsidDel="00000000" w:rsidP="00000000" w:rsidRDefault="00000000" w:rsidRPr="00000000" w14:paraId="00000023">
      <w:pPr>
        <w:rPr/>
      </w:pPr>
      <w:r w:rsidDel="00000000" w:rsidR="00000000" w:rsidRPr="00000000">
        <w:rPr>
          <w:rtl w:val="0"/>
        </w:rPr>
        <w:t xml:space="preserve">The true "Alpha" in international trade comes from the ability to provide security and ethics where they are often lacking.</w:t>
      </w:r>
    </w:p>
    <w:p w:rsidR="00000000" w:rsidDel="00000000" w:rsidP="00000000" w:rsidRDefault="00000000" w:rsidRPr="00000000" w14:paraId="00000024">
      <w:pPr>
        <w:pStyle w:val="Heading5"/>
        <w:rPr/>
      </w:pPr>
      <w:bookmarkStart w:colFirst="0" w:colLast="0" w:name="_yhn8gmndg4es" w:id="7"/>
      <w:bookmarkEnd w:id="7"/>
      <w:r w:rsidDel="00000000" w:rsidR="00000000" w:rsidRPr="00000000">
        <w:rPr>
          <w:rtl w:val="0"/>
        </w:rPr>
        <w:t xml:space="preserve">The "Sheriff of the Sector" Approach</w:t>
      </w:r>
    </w:p>
    <w:p w:rsidR="00000000" w:rsidDel="00000000" w:rsidP="00000000" w:rsidRDefault="00000000" w:rsidRPr="00000000" w14:paraId="00000025">
      <w:pPr>
        <w:rPr/>
      </w:pPr>
      <w:r w:rsidDel="00000000" w:rsidR="00000000" w:rsidRPr="00000000">
        <w:rPr>
          <w:rtl w:val="0"/>
        </w:rPr>
        <w:t xml:space="preserve">A professional broker maintains a proprietary  </w:t>
      </w:r>
      <w:r w:rsidDel="00000000" w:rsidR="00000000" w:rsidRPr="00000000">
        <w:rPr>
          <w:b w:val="1"/>
          <w:bCs w:val="1"/>
          <w:rtl w:val="0"/>
        </w:rPr>
        <w:t xml:space="preserve">Industry Blacklist</w:t>
      </w:r>
      <w:r w:rsidDel="00000000" w:rsidR="00000000" w:rsidRPr="00000000">
        <w:rPr>
          <w:rtl w:val="0"/>
        </w:rPr>
        <w:t xml:space="preserve">  of "ghost brokers" and fraudulent actors. By acting as the "Sheriff," the agency protects the buyer's capital from the billions of dollars lost annually to trade fraud. This on-the-ground intelligence in hubs like Nouakchott, Bamako, and Ouagadougou is a barrier to entry that digital-only brokers cannot replicate.</w:t>
      </w:r>
    </w:p>
    <w:p w:rsidR="00000000" w:rsidDel="00000000" w:rsidP="00000000" w:rsidRDefault="00000000" w:rsidRPr="00000000" w14:paraId="00000026">
      <w:pPr>
        <w:pStyle w:val="Heading5"/>
        <w:rPr/>
      </w:pPr>
      <w:bookmarkStart w:colFirst="0" w:colLast="0" w:name="_p9wzn1rm5bgv" w:id="8"/>
      <w:bookmarkEnd w:id="8"/>
      <w:r w:rsidDel="00000000" w:rsidR="00000000" w:rsidRPr="00000000">
        <w:rPr>
          <w:rtl w:val="0"/>
        </w:rPr>
        <w:t xml:space="preserve">The Green Gold Protocol (Ethical Alpha)</w:t>
      </w:r>
    </w:p>
    <w:p w:rsidR="00000000" w:rsidDel="00000000" w:rsidP="00000000" w:rsidRDefault="00000000" w:rsidRPr="00000000" w14:paraId="00000027">
      <w:pPr>
        <w:rPr/>
      </w:pPr>
      <w:r w:rsidDel="00000000" w:rsidR="00000000" w:rsidRPr="00000000">
        <w:rPr>
          <w:rtl w:val="0"/>
        </w:rPr>
        <w:t xml:space="preserve">Modern institutional buyers are often mandated to source ethically. Through the  </w:t>
      </w:r>
      <w:r w:rsidDel="00000000" w:rsidR="00000000" w:rsidRPr="00000000">
        <w:rPr>
          <w:b w:val="1"/>
          <w:bCs w:val="1"/>
          <w:rtl w:val="0"/>
        </w:rPr>
        <w:t xml:space="preserve">Green Gold Protocol</w:t>
      </w:r>
      <w:r w:rsidDel="00000000" w:rsidR="00000000" w:rsidRPr="00000000">
        <w:rPr>
          <w:rtl w:val="0"/>
        </w:rPr>
        <w:t xml:space="preserve"> , ATRA transitions artisanal miners in the  </w:t>
      </w:r>
      <w:r w:rsidDel="00000000" w:rsidR="00000000" w:rsidRPr="00000000">
        <w:rPr>
          <w:b w:val="1"/>
          <w:bCs w:val="1"/>
          <w:rtl w:val="0"/>
        </w:rPr>
        <w:t xml:space="preserve">West African Gold Belt (Mali and Burkina Faso)</w:t>
      </w:r>
      <w:r w:rsidDel="00000000" w:rsidR="00000000" w:rsidRPr="00000000">
        <w:rPr>
          <w:rtl w:val="0"/>
        </w:rPr>
        <w:t xml:space="preserve">  toward mercury-free production. This creates  </w:t>
      </w:r>
      <w:r w:rsidDel="00000000" w:rsidR="00000000" w:rsidRPr="00000000">
        <w:rPr>
          <w:b w:val="1"/>
          <w:bCs w:val="1"/>
          <w:rtl w:val="0"/>
        </w:rPr>
        <w:t xml:space="preserve">"Ethical Alpha"</w:t>
      </w:r>
      <w:r w:rsidDel="00000000" w:rsidR="00000000" w:rsidRPr="00000000">
        <w:rPr>
          <w:rtl w:val="0"/>
        </w:rPr>
        <w:t xml:space="preserve"> —the ability for buyers to pay for a clean conscience and a compliant supply chain, which significantly increases the value and reliability of the trade.Once ethics and verification are established, the broker must bridge the gap between traditional and modern finance.</w:t>
      </w:r>
    </w:p>
    <w:p w:rsidR="00000000" w:rsidDel="00000000" w:rsidP="00000000" w:rsidRDefault="00000000" w:rsidRPr="00000000" w14:paraId="00000028">
      <w:pPr>
        <w:pStyle w:val="Heading4"/>
        <w:rPr/>
      </w:pPr>
      <w:bookmarkStart w:colFirst="0" w:colLast="0" w:name="_yhdqf6urmfi" w:id="9"/>
      <w:bookmarkEnd w:id="9"/>
      <w:r w:rsidDel="00000000" w:rsidR="00000000" w:rsidRPr="00000000">
        <w:rPr>
          <w:rtl w:val="0"/>
        </w:rPr>
        <w:t xml:space="preserve">6. Modern Settlement: Bridging Old and New Finance</w:t>
      </w:r>
    </w:p>
    <w:p w:rsidR="00000000" w:rsidDel="00000000" w:rsidP="00000000" w:rsidRDefault="00000000" w:rsidRPr="00000000" w14:paraId="00000029">
      <w:pPr>
        <w:rPr/>
      </w:pPr>
      <w:r w:rsidDel="00000000" w:rsidR="00000000" w:rsidRPr="00000000">
        <w:rPr>
          <w:rtl w:val="0"/>
        </w:rPr>
        <w:t xml:space="preserve">Financial delays in trade are not just an inconvenience; in sectors like the Blue Economy (fisheries), they are a catastrophe.</w:t>
      </w:r>
    </w:p>
    <w:p w:rsidR="00000000" w:rsidDel="00000000" w:rsidP="00000000" w:rsidRDefault="00000000" w:rsidRPr="00000000" w14:paraId="0000002A">
      <w:pPr>
        <w:pStyle w:val="Heading5"/>
        <w:rPr/>
      </w:pPr>
      <w:bookmarkStart w:colFirst="0" w:colLast="0" w:name="_d3v4sumfwgcj" w:id="10"/>
      <w:bookmarkEnd w:id="10"/>
      <w:r w:rsidDel="00000000" w:rsidR="00000000" w:rsidRPr="00000000">
        <w:rPr>
          <w:rtl w:val="0"/>
        </w:rPr>
        <w:t xml:space="preserve">Comparison of Settlement Methods</w:t>
      </w:r>
    </w:p>
    <w:p w:rsidR="00000000" w:rsidDel="00000000" w:rsidP="00000000" w:rsidRDefault="00000000" w:rsidRPr="00000000" w14:paraId="0000002B">
      <w:pPr>
        <w:rPr/>
      </w:pPr>
      <w:r w:rsidDel="00000000" w:rsidR="00000000" w:rsidRPr="00000000">
        <w:rPr>
          <w:rtl w:val="0"/>
        </w:rPr>
        <w:t xml:space="preserve">Settlement Type,Method Examples,"The ""So What?"" (Value)"</w:t>
      </w:r>
    </w:p>
    <w:p w:rsidR="00000000" w:rsidDel="00000000" w:rsidP="00000000" w:rsidRDefault="00000000" w:rsidRPr="00000000" w14:paraId="0000002C">
      <w:pPr>
        <w:rPr/>
      </w:pPr>
      <w:r w:rsidDel="00000000" w:rsidR="00000000" w:rsidRPr="00000000">
        <w:rPr>
          <w:rtl w:val="0"/>
        </w:rPr>
        <w:t xml:space="preserve">Traditional Settlement,"Letters of Credit (LC), Bank-to-Bank transfers.",Provides institutional stability and bank-backed security for sovereign-level deals.</w:t>
      </w:r>
    </w:p>
    <w:p w:rsidR="00000000" w:rsidDel="00000000" w:rsidP="00000000" w:rsidRDefault="00000000" w:rsidRPr="00000000" w14:paraId="0000002D">
      <w:pPr>
        <w:rPr/>
      </w:pPr>
      <w:r w:rsidDel="00000000" w:rsidR="00000000" w:rsidRPr="00000000">
        <w:rPr>
          <w:rtl w:val="0"/>
        </w:rPr>
        <w:t xml:space="preserve">Digital Settlement,"USDT (Tether), BTC (Bitcoin).","Provides  Rapid-Settlement  to bypass the 3–5 day banking lag,  preventing physical spoilage  in perishable seafood trades."</w:t>
      </w:r>
    </w:p>
    <w:p w:rsidR="00000000" w:rsidDel="00000000" w:rsidP="00000000" w:rsidRDefault="00000000" w:rsidRPr="00000000" w14:paraId="0000002E">
      <w:pPr>
        <w:rPr/>
      </w:pPr>
      <w:r w:rsidDel="00000000" w:rsidR="00000000" w:rsidRPr="00000000">
        <w:rPr>
          <w:rtl w:val="0"/>
        </w:rPr>
        <w:t xml:space="preserve">By offering a dual-stream settlement, the broker ensures the transaction moves at the speed of the market without sacrificing the security of the banking system.</w:t>
      </w:r>
    </w:p>
    <w:p w:rsidR="00000000" w:rsidDel="00000000" w:rsidP="00000000" w:rsidRDefault="00000000" w:rsidRPr="00000000" w14:paraId="0000002F">
      <w:pPr>
        <w:pStyle w:val="Heading4"/>
        <w:rPr/>
      </w:pPr>
      <w:bookmarkStart w:colFirst="0" w:colLast="0" w:name="_66375u92u8kk" w:id="11"/>
      <w:bookmarkEnd w:id="11"/>
      <w:r w:rsidDel="00000000" w:rsidR="00000000" w:rsidRPr="00000000">
        <w:rPr>
          <w:rtl w:val="0"/>
        </w:rPr>
        <w:t xml:space="preserve">7. Key Takeaways for the Aspiring Learner</w:t>
      </w:r>
    </w:p>
    <w:p w:rsidR="00000000" w:rsidDel="00000000" w:rsidP="00000000" w:rsidRDefault="00000000" w:rsidRPr="00000000" w14:paraId="00000030">
      <w:pPr>
        <w:rPr/>
      </w:pPr>
      <w:r w:rsidDel="00000000" w:rsidR="00000000" w:rsidRPr="00000000">
        <w:rPr>
          <w:rtl w:val="0"/>
        </w:rPr>
        <w:t xml:space="preserve">As you enter the field of trade facilitation, remember that you are not just a middleman; you are a strategic partner and a guardian of capital.</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Intelligence Over Speculation:</w:t>
      </w:r>
      <w:r w:rsidDel="00000000" w:rsidR="00000000" w:rsidRPr="00000000">
        <w:rPr>
          <w:rtl w:val="0"/>
        </w:rPr>
        <w:t xml:space="preserve">  Success is built on proprietary vetting and "boots-on-the-ground" presence in production hubs like Mali and Mauritania.</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The Power of Deal Structuring:</w:t>
      </w:r>
      <w:r w:rsidDel="00000000" w:rsidR="00000000" w:rsidRPr="00000000">
        <w:rPr>
          <w:rtl w:val="0"/>
        </w:rPr>
        <w:t xml:space="preserve">  Professional frameworks, including NCNDAs and SPAs, are the only ways to make a deal "bulletproof" against circumvention and fraud.</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Trust as the Ultimate Currency:</w:t>
      </w:r>
      <w:r w:rsidDel="00000000" w:rsidR="00000000" w:rsidRPr="00000000">
        <w:rPr>
          <w:rtl w:val="0"/>
        </w:rPr>
        <w:t xml:space="preserve">  While gold and oil are the physical cargo, trust and transparency are the actual assets being traded.Approach trade facilitation as an architect of global wealth. By mastering the 6-step blueprint and prioritizing ethical supply chains, you position yourself at the center of the world's most essential economic corridors.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