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ul1jkfiue8g7" w:id="0"/>
      <w:bookmarkEnd w:id="0"/>
      <w:r w:rsidDel="00000000" w:rsidR="00000000" w:rsidRPr="00000000">
        <w:rPr>
          <w:rtl w:val="0"/>
        </w:rPr>
        <w:t xml:space="preserve">Operational Manual for Secure International Trade Brokerage: The ATRA Framework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lv65s19kobwa" w:id="1"/>
      <w:bookmarkEnd w:id="1"/>
      <w:r w:rsidDel="00000000" w:rsidR="00000000" w:rsidRPr="00000000">
        <w:rPr>
          <w:rtl w:val="0"/>
        </w:rPr>
        <w:t xml:space="preserve">1. Institutional Mandate and Strategic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Africa Trade &amp; Resources Agency (ATRA) operates as the definitive "Trust Bridge" connecting the vast resource abundance of the African continent with high-demand global markets. In an environment frequently undermined by speculative actors and systemic logistical opacity, ATRA provides an institutional-grade corridor for professional, secure, and transparent brokerage. By operating as a pure-play intermediary—specifically excluding mine ownership—ATRA eliminates production-side conflicts of interest, focusing exclusively on the rigorous structuring and execution of multi-million dollar transactions. This mandate ensures that international buyers gain access to verified, ethical supplies while African producers achieve entry into the global elite through a standardized, professionalized framework.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bvqsdngpnlkv" w:id="2"/>
      <w:bookmarkEnd w:id="2"/>
      <w:r w:rsidDel="00000000" w:rsidR="00000000" w:rsidRPr="00000000">
        <w:rPr>
          <w:rtl w:val="0"/>
        </w:rPr>
        <w:t xml:space="preserve">Core Business Pillars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Pillar,Primary Focus Areas,Strategic 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Precious Metals,"Gold (96.8%+ Au Doré, refined bullion), Rock Gypsum, Clinker.",Connecting refineries and institutional buyers to the West African Gold Belt.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Energy,"Oil and Gas facilitation, Petroleum supply chain connections.",Streamlining the movement of strategic energy resources.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Commodities,"Atlantic Blue  (Fisheries/Seafood), Agri-products, Industrial raw materials.","Facilitating ""Essential Flow"" to global food conglomerates and industrial buyers."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ATRA’s competitive advantage is anchored in the "Neo-African Excellence" aesthetic—a professional identity that merges traditional African authority with the speed of modern digital finance. Our commitment to integrity and absolute confidentiality is non-negotiable. To maintain this standard, every transaction must adhere to a structured lifecycle designed to mitigate risk at every juncture.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dktc79cy5vot" w:id="3"/>
      <w:bookmarkEnd w:id="3"/>
      <w:r w:rsidDel="00000000" w:rsidR="00000000" w:rsidRPr="00000000">
        <w:rPr>
          <w:rtl w:val="0"/>
        </w:rPr>
        <w:t xml:space="preserve">2. Phase 1: Initial Request and Strategic Consultation (Step 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initial intake phase serves as the primary filter for the ATRA trade engine. It is designed to immediately identify and neutralize speculative actors while establishing the hard feasibility of a deal. In the "Wild West" of international commodity trade, ATRA treats unverified sellers and "ghost brokers" not as leads, but as threats to be mitigated.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jemlot9ozrf8" w:id="4"/>
      <w:bookmarkEnd w:id="4"/>
      <w:r w:rsidDel="00000000" w:rsidR="00000000" w:rsidRPr="00000000">
        <w:rPr>
          <w:rtl w:val="0"/>
        </w:rPr>
        <w:t xml:space="preserve">Mandatory Requirements: Demand vs. Offer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During Step 1, the transaction is evaluated via two distinct streams: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Buyer’s Demand:</w:t>
      </w:r>
      <w:r w:rsidDel="00000000" w:rsidR="00000000" w:rsidRPr="00000000">
        <w:rPr>
          <w:rtl w:val="0"/>
        </w:rPr>
        <w:t xml:space="preserve">  Requirements of refineries or sovereign funds, including specific monthly volume (1–5 MT baseline for Gold), purity targets, and target pricing.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Seller’s Offer:</w:t>
      </w:r>
      <w:r w:rsidDel="00000000" w:rsidR="00000000" w:rsidRPr="00000000">
        <w:rPr>
          <w:rtl w:val="0"/>
        </w:rPr>
        <w:t xml:space="preserve">  Verification of capacity from licensed producers, requiring preliminary evidence of allocation rights or resource ownership.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3vjffutjtiip" w:id="5"/>
      <w:bookmarkEnd w:id="5"/>
      <w:r w:rsidDel="00000000" w:rsidR="00000000" w:rsidRPr="00000000">
        <w:rPr>
          <w:rtl w:val="0"/>
        </w:rPr>
        <w:t xml:space="preserve">Sovereign Briefing Intake Checklist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following "Sovereign Briefing" data must be captured to determine institutional viability: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Allocation Availability:</w:t>
      </w:r>
      <w:r w:rsidDel="00000000" w:rsidR="00000000" w:rsidRPr="00000000">
        <w:rPr>
          <w:rtl w:val="0"/>
        </w:rPr>
        <w:t xml:space="preserve">  Confirmed monthly capacity (Minimum 1 MT for Gold) vs. spot requirements.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Product Specifications:</w:t>
      </w:r>
      <w:r w:rsidDel="00000000" w:rsidR="00000000" w:rsidRPr="00000000">
        <w:rPr>
          <w:rtl w:val="0"/>
        </w:rPr>
        <w:t xml:space="preserve">  Grade, purity (96.8%+ Au for Gold), and extraction methodology.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Logistical Timelines:</w:t>
      </w:r>
      <w:r w:rsidDel="00000000" w:rsidR="00000000" w:rsidRPr="00000000">
        <w:rPr>
          <w:rtl w:val="0"/>
        </w:rPr>
        <w:t xml:space="preserve">  Specified delivery windows and target ports (e.g., Dubai, Hong Kong, or EU).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Financial Preference:</w:t>
      </w:r>
      <w:r w:rsidDel="00000000" w:rsidR="00000000" w:rsidRPr="00000000">
        <w:rPr>
          <w:rtl w:val="0"/>
        </w:rPr>
        <w:t xml:space="preserve">  Election of Traditional Finance (LC) or Digital  </w:t>
      </w:r>
      <w:r w:rsidDel="00000000" w:rsidR="00000000" w:rsidRPr="00000000">
        <w:rPr>
          <w:b w:val="1"/>
          <w:bCs w:val="1"/>
          <w:rtl w:val="0"/>
        </w:rPr>
        <w:t xml:space="preserve">Rapid-Settlement</w:t>
      </w:r>
      <w:r w:rsidDel="00000000" w:rsidR="00000000" w:rsidRPr="00000000">
        <w:rPr>
          <w:rtl w:val="0"/>
        </w:rPr>
        <w:t xml:space="preserve">  (USDT/BTC).Transitioning to active verification is only permitted once these parameters clear the feasibility audit.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daywi7vyhmfb" w:id="6"/>
      <w:bookmarkEnd w:id="6"/>
      <w:r w:rsidDel="00000000" w:rsidR="00000000" w:rsidRPr="00000000">
        <w:rPr>
          <w:rtl w:val="0"/>
        </w:rPr>
        <w:t xml:space="preserve">3. Phase 2: Mandatory Verification and Due Diligence (Step 2)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Verification is the "Risk Insurance" policy for ATRA stakeholders. This phase serves as a mandatory "hard gate" to ensure that only legitimate entities enter the contractual pipeline.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dtz3zvff00az" w:id="7"/>
      <w:bookmarkEnd w:id="7"/>
      <w:r w:rsidDel="00000000" w:rsidR="00000000" w:rsidRPr="00000000">
        <w:rPr>
          <w:rtl w:val="0"/>
        </w:rPr>
        <w:t xml:space="preserve">Verification Protocols and the "Sentinel" Gate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Industry Blacklist Filter:</w:t>
      </w:r>
      <w:r w:rsidDel="00000000" w:rsidR="00000000" w:rsidRPr="00000000">
        <w:rPr>
          <w:rtl w:val="0"/>
        </w:rPr>
        <w:t xml:space="preserve">  All entities are cross-referenced against ATRA’s proprietary database. This filter protects partners from the billions of dollars lost annually to trade fraud.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Sentinel Trigger:</w:t>
      </w:r>
      <w:r w:rsidDel="00000000" w:rsidR="00000000" w:rsidRPr="00000000">
        <w:rPr>
          <w:rtl w:val="0"/>
        </w:rPr>
        <w:t xml:space="preserve">  Access to the "Sovereign Briefing" and full offer data is automatically restricted if the filter returns a match. Pass-through to Phase 3 is only possible after a "Sentinel" clearance.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KYC/AML Compliance Support:</w:t>
      </w:r>
      <w:r w:rsidDel="00000000" w:rsidR="00000000" w:rsidRPr="00000000">
        <w:rPr>
          <w:rtl w:val="0"/>
        </w:rPr>
        <w:t xml:space="preserve">  Mandatory collection and audit of Corporate KYC and Ultimate Beneficial Owner (UBO) identification to satisfy international anti-money laundering standards.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Proof of Funds (POF) Validation:</w:t>
      </w:r>
      <w:r w:rsidDel="00000000" w:rsidR="00000000" w:rsidRPr="00000000">
        <w:rPr>
          <w:rtl w:val="0"/>
        </w:rPr>
        <w:t xml:space="preserve">  Verification of financial capacity through Bank Comfort Letters (BCL) or MT199/MT799 bank-to-bank instruments.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p9lsyi93kizx" w:id="8"/>
      <w:bookmarkEnd w:id="8"/>
      <w:r w:rsidDel="00000000" w:rsidR="00000000" w:rsidRPr="00000000">
        <w:rPr>
          <w:rtl w:val="0"/>
        </w:rPr>
        <w:t xml:space="preserve">The Role of the "Sentinel" Agent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Sentinel Agent</w:t>
      </w:r>
      <w:r w:rsidDel="00000000" w:rsidR="00000000" w:rsidRPr="00000000">
        <w:rPr>
          <w:rtl w:val="0"/>
        </w:rPr>
        <w:t xml:space="preserve">  is the digital guardian of the gate, executing the following directive skills: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Vetting hard-gate clearance</w:t>
      </w:r>
      <w:r w:rsidDel="00000000" w:rsidR="00000000" w:rsidRPr="00000000">
        <w:rPr>
          <w:rtl w:val="0"/>
        </w:rPr>
        <w:t xml:space="preserve">  for all incoming leads.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Blacklist Management</w:t>
      </w:r>
      <w:r w:rsidDel="00000000" w:rsidR="00000000" w:rsidRPr="00000000">
        <w:rPr>
          <w:rtl w:val="0"/>
        </w:rPr>
        <w:t xml:space="preserve">  to neutralize fraudulent actors and speculative miners.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POF/KYC Integrity Audits</w:t>
      </w:r>
      <w:r w:rsidDel="00000000" w:rsidR="00000000" w:rsidRPr="00000000">
        <w:rPr>
          <w:rtl w:val="0"/>
        </w:rPr>
        <w:t xml:space="preserve">  to detect forgeries or inconsistent financial messaging.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Digital Footprint Analysis</w:t>
      </w:r>
      <w:r w:rsidDel="00000000" w:rsidR="00000000" w:rsidRPr="00000000">
        <w:rPr>
          <w:rtl w:val="0"/>
        </w:rPr>
        <w:t xml:space="preserve">  to identify hidden defaults or previous trade circumvention.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w4jtjfr4fhyc" w:id="9"/>
      <w:bookmarkEnd w:id="9"/>
      <w:r w:rsidDel="00000000" w:rsidR="00000000" w:rsidRPr="00000000">
        <w:rPr>
          <w:rtl w:val="0"/>
        </w:rPr>
        <w:t xml:space="preserve">4. Phase 3: Offer Presentation and Deal Structuring (Step 3)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Strategic deal structuring reduces transaction friction by aligning pricing and quality before legal formalization. Access to this phase is granted exclusively via a single-use, IP-restricted  </w:t>
      </w:r>
      <w:r w:rsidDel="00000000" w:rsidR="00000000" w:rsidRPr="00000000">
        <w:rPr>
          <w:b w:val="1"/>
          <w:bCs w:val="1"/>
          <w:rtl w:val="0"/>
        </w:rPr>
        <w:t xml:space="preserve">Sovereign Access Key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pxb6y4d9tsmm" w:id="10"/>
      <w:bookmarkEnd w:id="10"/>
      <w:r w:rsidDel="00000000" w:rsidR="00000000" w:rsidRPr="00000000">
        <w:rPr>
          <w:rtl w:val="0"/>
        </w:rPr>
        <w:t xml:space="preserve">The Green Gold Protocol and ESG Alpha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ATRA differentiates itself through the  </w:t>
      </w:r>
      <w:r w:rsidDel="00000000" w:rsidR="00000000" w:rsidRPr="00000000">
        <w:rPr>
          <w:b w:val="1"/>
          <w:bCs w:val="1"/>
          <w:rtl w:val="0"/>
        </w:rPr>
        <w:t xml:space="preserve">Green Gold Protocol</w:t>
      </w:r>
      <w:r w:rsidDel="00000000" w:rsidR="00000000" w:rsidRPr="00000000">
        <w:rPr>
          <w:rtl w:val="0"/>
        </w:rPr>
        <w:t xml:space="preserve"> . This framework focuses on mercury-free extraction and ethical sourcing within the Mali and Burkina Faso interiors.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ESG Compliance Certificate:</w:t>
      </w:r>
      <w:r w:rsidDel="00000000" w:rsidR="00000000" w:rsidRPr="00000000">
        <w:rPr>
          <w:rtl w:val="0"/>
        </w:rPr>
        <w:t xml:space="preserve">  The  </w:t>
      </w:r>
      <w:r w:rsidDel="00000000" w:rsidR="00000000" w:rsidRPr="00000000">
        <w:rPr>
          <w:b w:val="1"/>
          <w:bCs w:val="1"/>
          <w:rtl w:val="0"/>
        </w:rPr>
        <w:t xml:space="preserve">Alchemist Agent</w:t>
      </w:r>
      <w:r w:rsidDel="00000000" w:rsidR="00000000" w:rsidRPr="00000000">
        <w:rPr>
          <w:rtl w:val="0"/>
        </w:rPr>
        <w:t xml:space="preserve">  is responsible for generating this document, which allows institutional buyers to satisfy their "Social License to Operate" and meet EU/North American compliance mandates.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vl25xga2x9fe" w:id="11"/>
      <w:bookmarkEnd w:id="11"/>
      <w:r w:rsidDel="00000000" w:rsidR="00000000" w:rsidRPr="00000000">
        <w:rPr>
          <w:rtl w:val="0"/>
        </w:rPr>
        <w:t xml:space="preserve">Offer Presentation Requirements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Formal offers must include: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Quantity &amp; Quality:</w:t>
      </w:r>
      <w:r w:rsidDel="00000000" w:rsidR="00000000" w:rsidRPr="00000000">
        <w:rPr>
          <w:rtl w:val="0"/>
        </w:rPr>
        <w:t xml:space="preserve">  Hard requirements of 96.8%+ Au content and 1–5 MT monthly offtake.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 LBMA-linked discount mechanisms.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Alchemist Validation:</w:t>
      </w:r>
      <w:r w:rsidDel="00000000" w:rsidR="00000000" w:rsidRPr="00000000">
        <w:rPr>
          <w:rtl w:val="0"/>
        </w:rPr>
        <w:t xml:space="preserve">  Purity metrics and mercury-free certification status.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fxb7nwple51z" w:id="12"/>
      <w:bookmarkEnd w:id="12"/>
      <w:r w:rsidDel="00000000" w:rsidR="00000000" w:rsidRPr="00000000">
        <w:rPr>
          <w:rtl w:val="0"/>
        </w:rPr>
        <w:t xml:space="preserve">5. Phase 4: Contractual Architecture and Documentation (Step 4)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Professional documentation protects the "Trust Bridge" and secures the financial interests of all facilitators.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jbf4962b7rbt" w:id="13"/>
      <w:bookmarkEnd w:id="13"/>
      <w:r w:rsidDel="00000000" w:rsidR="00000000" w:rsidRPr="00000000">
        <w:rPr>
          <w:rtl w:val="0"/>
        </w:rPr>
        <w:t xml:space="preserve">Mandatory Transaction Documents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NCNDA (Non-Circumvention Non-Disclosure Agreement):</w:t>
      </w:r>
      <w:r w:rsidDel="00000000" w:rsidR="00000000" w:rsidRPr="00000000">
        <w:rPr>
          <w:rtl w:val="0"/>
        </w:rPr>
        <w:t xml:space="preserve">  The foundation of supply chain protection.  </w:t>
      </w:r>
      <w:r w:rsidDel="00000000" w:rsidR="00000000" w:rsidRPr="00000000">
        <w:rPr>
          <w:b w:val="1"/>
          <w:bCs w:val="1"/>
          <w:rtl w:val="0"/>
        </w:rPr>
        <w:t xml:space="preserve">Non-negotiable:</w:t>
      </w:r>
      <w:r w:rsidDel="00000000" w:rsidR="00000000" w:rsidRPr="00000000">
        <w:rPr>
          <w:rtl w:val="0"/>
        </w:rPr>
        <w:t xml:space="preserve">  Any attempt at circumvention results in permanent placement on the Industry Blacklist.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Agency &amp; Commission Protection Agreements:</w:t>
      </w:r>
      <w:r w:rsidDel="00000000" w:rsidR="00000000" w:rsidRPr="00000000">
        <w:rPr>
          <w:rtl w:val="0"/>
        </w:rPr>
        <w:t xml:space="preserve">  Formalized security for facilitators, ensuring automated payouts upon deal finality.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Sales and Purchase Agreement (SPA):</w:t>
      </w:r>
      <w:r w:rsidDel="00000000" w:rsidR="00000000" w:rsidRPr="00000000">
        <w:rPr>
          <w:rtl w:val="0"/>
        </w:rPr>
        <w:t xml:space="preserve">  The definitive contract including the  </w:t>
      </w:r>
      <w:r w:rsidDel="00000000" w:rsidR="00000000" w:rsidRPr="00000000">
        <w:rPr>
          <w:b w:val="1"/>
          <w:bCs w:val="1"/>
          <w:rtl w:val="0"/>
        </w:rPr>
        <w:t xml:space="preserve">Green Gold</w:t>
      </w:r>
      <w:r w:rsidDel="00000000" w:rsidR="00000000" w:rsidRPr="00000000">
        <w:rPr>
          <w:rtl w:val="0"/>
        </w:rPr>
        <w:t xml:space="preserve">  ESG addendum and delivery milestones.The  </w:t>
      </w:r>
      <w:r w:rsidDel="00000000" w:rsidR="00000000" w:rsidRPr="00000000">
        <w:rPr>
          <w:b w:val="1"/>
          <w:bCs w:val="1"/>
          <w:rtl w:val="0"/>
        </w:rPr>
        <w:t xml:space="preserve">Logos Agent</w:t>
      </w:r>
      <w:r w:rsidDel="00000000" w:rsidR="00000000" w:rsidRPr="00000000">
        <w:rPr>
          <w:rtl w:val="0"/>
        </w:rPr>
        <w:t xml:space="preserve">  manages this phase via the  </w:t>
      </w:r>
      <w:r w:rsidDel="00000000" w:rsidR="00000000" w:rsidRPr="00000000">
        <w:rPr>
          <w:b w:val="1"/>
          <w:bCs w:val="1"/>
          <w:rtl w:val="0"/>
        </w:rPr>
        <w:t xml:space="preserve">Sovereign Dashboard</w:t>
      </w:r>
      <w:r w:rsidDel="00000000" w:rsidR="00000000" w:rsidRPr="00000000">
        <w:rPr>
          <w:rtl w:val="0"/>
        </w:rPr>
        <w:t xml:space="preserve"> , specializing in the drafting, signature lifecycle tracking, and archival of all legal instruments in a secure digital environment.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55pne8258pdq" w:id="14"/>
      <w:bookmarkEnd w:id="14"/>
      <w:r w:rsidDel="00000000" w:rsidR="00000000" w:rsidRPr="00000000">
        <w:rPr>
          <w:rtl w:val="0"/>
        </w:rPr>
        <w:t xml:space="preserve">6. Phase 5: Payment Security and Financial Settlement (Step 5)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ATRA utilizes a dual-stream settlement architecture to bypass traditional banking delays and ensure transaction finality.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w5lc0ul30rml" w:id="15"/>
      <w:bookmarkEnd w:id="15"/>
      <w:r w:rsidDel="00000000" w:rsidR="00000000" w:rsidRPr="00000000">
        <w:rPr>
          <w:rtl w:val="0"/>
        </w:rPr>
        <w:t xml:space="preserve">Comparison of Settlement Methods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Feature,Traditional Finance (TradFi),Digital  Rapid-Settlement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Instruments,"LCs, MT700/760, Bank-to-Bank Wires.","USDT (Tether), BTC (Bitcoin)."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Primary Utility,Large-scale bulk offtakes (1-5 MT Gold).,Perishables/Time-sensitive ( Atlantic Blue 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Strategic Advantage,Standard Institutional Compliance.,Bypasses 3–5 day bank lag to prevent spoilage.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Security,Bank Escrow / Fiduciary Oversight.,Multi-sig escrow and Blockchain finality.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Vault Agent</w:t>
      </w:r>
      <w:r w:rsidDel="00000000" w:rsidR="00000000" w:rsidRPr="00000000">
        <w:rPr>
          <w:rtl w:val="0"/>
        </w:rPr>
        <w:t xml:space="preserve">  oversees this phase, coordinating bank-to-bank transfers, managing multi-signature digital escrows, and triggering automated commission payouts the moment transaction finality is reached.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2g52f015w6cv" w:id="16"/>
      <w:bookmarkEnd w:id="16"/>
      <w:r w:rsidDel="00000000" w:rsidR="00000000" w:rsidRPr="00000000">
        <w:rPr>
          <w:rtl w:val="0"/>
        </w:rPr>
        <w:t xml:space="preserve">7. Phase 6: Logistics, Delivery, and Final Closing (Step 6)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Logistics in the West African corridor require mastery of regional geography and sea-to-shelf integrity. ATRA leverages its Mauritanian headquarters to oversee movement through the primary trade corridors.</w:t>
      </w:r>
    </w:p>
    <w:p w:rsidR="00000000" w:rsidDel="00000000" w:rsidP="00000000" w:rsidRDefault="00000000" w:rsidRPr="00000000" w14:paraId="0000003E">
      <w:pPr>
        <w:pStyle w:val="Heading5"/>
        <w:rPr/>
      </w:pPr>
      <w:bookmarkStart w:colFirst="0" w:colLast="0" w:name="_2txshs6vtuf" w:id="17"/>
      <w:bookmarkEnd w:id="17"/>
      <w:r w:rsidDel="00000000" w:rsidR="00000000" w:rsidRPr="00000000">
        <w:rPr>
          <w:rtl w:val="0"/>
        </w:rPr>
        <w:t xml:space="preserve">Logistics Coordination Requirements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tl w:val="0"/>
        </w:rPr>
        <w:t xml:space="preserve">  Armored tactical convoys with sovereign escorts for precious metals.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Corridor Mastery:</w:t>
      </w:r>
      <w:r w:rsidDel="00000000" w:rsidR="00000000" w:rsidRPr="00000000">
        <w:rPr>
          <w:rtl w:val="0"/>
        </w:rPr>
        <w:t xml:space="preserve">  Strategic movement through the  </w:t>
      </w:r>
      <w:r w:rsidDel="00000000" w:rsidR="00000000" w:rsidRPr="00000000">
        <w:rPr>
          <w:b w:val="1"/>
          <w:bCs w:val="1"/>
          <w:rtl w:val="0"/>
        </w:rPr>
        <w:t xml:space="preserve">Gogui border crossing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Mali-Mauritania corridor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 Mastery:</w:t>
      </w:r>
      <w:r w:rsidDel="00000000" w:rsidR="00000000" w:rsidRPr="00000000">
        <w:rPr>
          <w:rtl w:val="0"/>
        </w:rPr>
        <w:t xml:space="preserve">  Utilization of the  </w:t>
      </w:r>
      <w:r w:rsidDel="00000000" w:rsidR="00000000" w:rsidRPr="00000000">
        <w:rPr>
          <w:b w:val="1"/>
          <w:bCs w:val="1"/>
          <w:rtl w:val="0"/>
        </w:rPr>
        <w:t xml:space="preserve">Port of Nouakchott (PANPA)</w:t>
      </w:r>
      <w:r w:rsidDel="00000000" w:rsidR="00000000" w:rsidRPr="00000000">
        <w:rPr>
          <w:rtl w:val="0"/>
        </w:rPr>
        <w:t xml:space="preserve">  for specialized warehousing, customs clearance, and pre-export handling.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Proof of Shipment (POS):</w:t>
      </w:r>
      <w:r w:rsidDel="00000000" w:rsidR="00000000" w:rsidRPr="00000000">
        <w:rPr>
          <w:rtl w:val="0"/>
        </w:rPr>
        <w:t xml:space="preserve">  Generation of Air Waybills (AWB), Commercial Invoices, and final independent Assay Reports.The  </w:t>
      </w:r>
      <w:r w:rsidDel="00000000" w:rsidR="00000000" w:rsidRPr="00000000">
        <w:rPr>
          <w:b w:val="1"/>
          <w:bCs w:val="1"/>
          <w:rtl w:val="0"/>
        </w:rPr>
        <w:t xml:space="preserve">Navigator Agent</w:t>
      </w:r>
      <w:r w:rsidDel="00000000" w:rsidR="00000000" w:rsidRPr="00000000">
        <w:rPr>
          <w:rtl w:val="0"/>
        </w:rPr>
        <w:t xml:space="preserve">  is responsible for shipping/freight coordination and real-time delivery tracking. The phase concludes with final reconciliation and the issuance of a post-trade executive summary.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tq3uvxq6kpiz" w:id="18"/>
      <w:bookmarkEnd w:id="18"/>
      <w:r w:rsidDel="00000000" w:rsidR="00000000" w:rsidRPr="00000000">
        <w:rPr>
          <w:rtl w:val="0"/>
        </w:rPr>
        <w:t xml:space="preserve">8. Specialized Sector Protocols: Green Gold and Blue Economy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global markets shift from "Stored Value" (Gold) to "Essential Flow" (Fisheries/Agri), ATRA has adapted its protocols for sustainability and speed.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uxu3p4eudiy5" w:id="19"/>
      <w:bookmarkEnd w:id="19"/>
      <w:r w:rsidDel="00000000" w:rsidR="00000000" w:rsidRPr="00000000">
        <w:rPr>
          <w:rtl w:val="0"/>
        </w:rPr>
        <w:t xml:space="preserve">Atlantic Blue: Grade-A Verification Checklist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 ensure the integrity of the  </w:t>
      </w:r>
      <w:r w:rsidDel="00000000" w:rsidR="00000000" w:rsidRPr="00000000">
        <w:rPr>
          <w:b w:val="1"/>
          <w:bCs w:val="1"/>
          <w:rtl w:val="0"/>
        </w:rPr>
        <w:t xml:space="preserve">Atlantic Blue</w:t>
      </w:r>
      <w:r w:rsidDel="00000000" w:rsidR="00000000" w:rsidRPr="00000000">
        <w:rPr>
          <w:rtl w:val="0"/>
        </w:rPr>
        <w:t xml:space="preserve">  stream, the following must be verified: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SGS Third-Party Inspection:</w:t>
      </w:r>
      <w:r w:rsidDel="00000000" w:rsidR="00000000" w:rsidRPr="00000000">
        <w:rPr>
          <w:rtl w:val="0"/>
        </w:rPr>
        <w:t xml:space="preserve">  Independent grade analysis for international export standards.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Sanitary/Phytosanitary Compliance:</w:t>
      </w:r>
      <w:r w:rsidDel="00000000" w:rsidR="00000000" w:rsidRPr="00000000">
        <w:rPr>
          <w:rtl w:val="0"/>
        </w:rPr>
        <w:t xml:space="preserve">  Mandatory health certificates and processing licenses meeting EU/FDA standards.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Cold-Chain Audit:</w:t>
      </w:r>
      <w:r w:rsidDel="00000000" w:rsidR="00000000" w:rsidRPr="00000000">
        <w:rPr>
          <w:rtl w:val="0"/>
        </w:rPr>
        <w:t xml:space="preserve">  Physical verification of warehousing and freight to prevent spoilage.</w:t>
      </w:r>
    </w:p>
    <w:p w:rsidR="00000000" w:rsidDel="00000000" w:rsidP="00000000" w:rsidRDefault="00000000" w:rsidRPr="00000000" w14:paraId="0000004A">
      <w:pPr>
        <w:pStyle w:val="Heading5"/>
        <w:rPr/>
      </w:pPr>
      <w:bookmarkStart w:colFirst="0" w:colLast="0" w:name="_ph32bl6h5hd8" w:id="20"/>
      <w:bookmarkEnd w:id="20"/>
      <w:r w:rsidDel="00000000" w:rsidR="00000000" w:rsidRPr="00000000">
        <w:rPr>
          <w:rtl w:val="0"/>
        </w:rPr>
        <w:t xml:space="preserve">The Autonomous Agent Ecosystem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ATRA framework is executed through a specialized ecosystem of AI agents that function as a high-performance trade engine: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Sentinel:</w:t>
      </w:r>
      <w:r w:rsidDel="00000000" w:rsidR="00000000" w:rsidRPr="00000000">
        <w:rPr>
          <w:rtl w:val="0"/>
        </w:rPr>
        <w:t xml:space="preserve">  The Risk &amp; Vetting Guardian; the hard gate for all participants.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Alchemist:</w:t>
      </w:r>
      <w:r w:rsidDel="00000000" w:rsidR="00000000" w:rsidRPr="00000000">
        <w:rPr>
          <w:rtl w:val="0"/>
        </w:rPr>
        <w:t xml:space="preserve">  The Product &amp; ESG Specialist; generates  </w:t>
      </w:r>
      <w:r w:rsidDel="00000000" w:rsidR="00000000" w:rsidRPr="00000000">
        <w:rPr>
          <w:b w:val="1"/>
          <w:bCs w:val="1"/>
          <w:rtl w:val="0"/>
        </w:rPr>
        <w:t xml:space="preserve">ESG Compliance Certificates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Logos:</w:t>
      </w:r>
      <w:r w:rsidDel="00000000" w:rsidR="00000000" w:rsidRPr="00000000">
        <w:rPr>
          <w:rtl w:val="0"/>
        </w:rPr>
        <w:t xml:space="preserve">  The Contractual Architect; manages the  </w:t>
      </w:r>
      <w:r w:rsidDel="00000000" w:rsidR="00000000" w:rsidRPr="00000000">
        <w:rPr>
          <w:b w:val="1"/>
          <w:bCs w:val="1"/>
          <w:rtl w:val="0"/>
        </w:rPr>
        <w:t xml:space="preserve">Sovereign Dashboard</w:t>
      </w:r>
      <w:r w:rsidDel="00000000" w:rsidR="00000000" w:rsidRPr="00000000">
        <w:rPr>
          <w:rtl w:val="0"/>
        </w:rPr>
        <w:t xml:space="preserve">  and legal archival.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Vault:</w:t>
      </w:r>
      <w:r w:rsidDel="00000000" w:rsidR="00000000" w:rsidRPr="00000000">
        <w:rPr>
          <w:rtl w:val="0"/>
        </w:rPr>
        <w:t xml:space="preserve">  The Settlement Officer; manages multi-sig escrow and  </w:t>
      </w:r>
      <w:r w:rsidDel="00000000" w:rsidR="00000000" w:rsidRPr="00000000">
        <w:rPr>
          <w:b w:val="1"/>
          <w:bCs w:val="1"/>
          <w:rtl w:val="0"/>
        </w:rPr>
        <w:t xml:space="preserve">Rapid-Settlement</w:t>
      </w:r>
      <w:r w:rsidDel="00000000" w:rsidR="00000000" w:rsidRPr="00000000">
        <w:rPr>
          <w:rtl w:val="0"/>
        </w:rPr>
        <w:t xml:space="preserve">  protocols.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Navigator:</w:t>
      </w:r>
      <w:r w:rsidDel="00000000" w:rsidR="00000000" w:rsidRPr="00000000">
        <w:rPr>
          <w:rtl w:val="0"/>
        </w:rPr>
        <w:t xml:space="preserve">  The Logistics Liaison; coordinates movement through the  </w:t>
      </w:r>
      <w:r w:rsidDel="00000000" w:rsidR="00000000" w:rsidRPr="00000000">
        <w:rPr>
          <w:b w:val="1"/>
          <w:bCs w:val="1"/>
          <w:rtl w:val="0"/>
        </w:rPr>
        <w:t xml:space="preserve">PANPA</w:t>
      </w:r>
      <w:r w:rsidDel="00000000" w:rsidR="00000000" w:rsidRPr="00000000">
        <w:rPr>
          <w:rtl w:val="0"/>
        </w:rPr>
        <w:t xml:space="preserve">  and regional corridors.By integrating these specialized roles, ATRA ensures that international trade is not only faster and more secure but remains anchored in the highest standards of Neo-African Excellence.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