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Calibri" w:hAnsi="Calibri"/>
          <w:b/>
          <w:color w:val="B58A35"/>
          <w:sz w:val="20"/>
        </w:rPr>
        <w:t>FIELD EVIDENCE PACK</w:t>
      </w:r>
    </w:p>
    <w:p>
      <w:pPr>
        <w:spacing w:after="140"/>
      </w:pPr>
      <w:r>
        <w:rPr>
          <w:rFonts w:ascii="Calibri" w:hAnsi="Calibri"/>
          <w:b/>
          <w:color w:val="17324D"/>
          <w:sz w:val="56"/>
        </w:rPr>
        <w:t>Mauritania Automotive Evidence Sprint</w:t>
      </w:r>
    </w:p>
    <w:p>
      <w:pPr>
        <w:spacing w:after="400"/>
      </w:pPr>
      <w:r>
        <w:rPr>
          <w:rFonts w:ascii="Calibri" w:hAnsi="Calibri"/>
          <w:color w:val="66727E"/>
          <w:sz w:val="26"/>
        </w:rPr>
        <w:t>Twenty questions that convert market ambition into bankable evidence.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tcMar>
              <w:top w:w="80" w:type="dxa"/>
              <w:start w:w="120" w:type="dxa"/>
              <w:bottom w:w="80" w:type="dxa"/>
              <w:end w:w="120" w:type="dxa"/>
            </w:tcMar>
            <w:vAlign w:val="top"/>
            <w:shd w:fill="FBF7ED"/>
          </w:tcPr>
          <w:p>
            <w:r>
              <w:rPr>
                <w:rFonts w:ascii="Calibri" w:hAnsi="Calibri"/>
                <w:b/>
                <w:color w:val="B58A35"/>
                <w:sz w:val="17"/>
              </w:rPr>
              <w:t>PREPARED FOR</w:t>
            </w:r>
          </w:p>
          <w:p>
            <w:r>
              <w:rPr>
                <w:rFonts w:ascii="Calibri" w:hAnsi="Calibri"/>
                <w:b/>
                <w:color w:val="17324D"/>
                <w:sz w:val="22"/>
              </w:rPr>
              <w:t>Diallo</w:t>
            </w:r>
          </w:p>
        </w:tc>
        <w:tc>
          <w:tcPr>
            <w:tcW w:type="dxa" w:w="4680"/>
            <w:tcMar>
              <w:top w:w="80" w:type="dxa"/>
              <w:start w:w="120" w:type="dxa"/>
              <w:bottom w:w="80" w:type="dxa"/>
              <w:end w:w="120" w:type="dxa"/>
            </w:tcMar>
            <w:vAlign w:val="top"/>
            <w:shd w:fill="FBF7ED"/>
          </w:tcPr>
          <w:p>
            <w:r>
              <w:rPr>
                <w:rFonts w:ascii="Calibri" w:hAnsi="Calibri"/>
                <w:b/>
                <w:color w:val="B58A35"/>
                <w:sz w:val="17"/>
              </w:rPr>
              <w:t>SPRINT WINDOW</w:t>
            </w:r>
          </w:p>
          <w:p>
            <w:r>
              <w:rPr>
                <w:rFonts w:ascii="Calibri" w:hAnsi="Calibri"/>
                <w:b/>
                <w:color w:val="17324D"/>
                <w:sz w:val="22"/>
              </w:rPr>
              <w:t>10-14 days from acceptance</w:t>
            </w:r>
          </w:p>
        </w:tc>
      </w:tr>
      <w:tr>
        <w:trPr>
          <w:cantSplit/>
        </w:trPr>
        <w:tc>
          <w:tcPr>
            <w:tcW w:type="dxa" w:w="4680"/>
            <w:tcMar>
              <w:top w:w="80" w:type="dxa"/>
              <w:start w:w="120" w:type="dxa"/>
              <w:bottom w:w="80" w:type="dxa"/>
              <w:end w:w="120" w:type="dxa"/>
            </w:tcMar>
            <w:vAlign w:val="top"/>
          </w:tcPr>
          <w:p>
            <w:r>
              <w:rPr>
                <w:rFonts w:ascii="Calibri" w:hAnsi="Calibri"/>
                <w:b/>
                <w:color w:val="66727E"/>
                <w:sz w:val="17"/>
              </w:rPr>
              <w:t>PREPARED BY</w:t>
            </w:r>
          </w:p>
          <w:p>
            <w:r>
              <w:rPr>
                <w:rFonts w:ascii="Calibri" w:hAnsi="Calibri"/>
                <w:color w:val="1F2933"/>
                <w:sz w:val="21"/>
              </w:rPr>
              <w:t>Major Dream Williams / Program Coordination</w:t>
            </w:r>
          </w:p>
        </w:tc>
        <w:tc>
          <w:tcPr>
            <w:tcW w:type="dxa" w:w="4680"/>
            <w:tcMar>
              <w:top w:w="80" w:type="dxa"/>
              <w:start w:w="120" w:type="dxa"/>
              <w:bottom w:w="80" w:type="dxa"/>
              <w:end w:w="120" w:type="dxa"/>
            </w:tcMar>
            <w:vAlign w:val="top"/>
          </w:tcPr>
          <w:p>
            <w:r>
              <w:rPr>
                <w:rFonts w:ascii="Calibri" w:hAnsi="Calibri"/>
                <w:b/>
                <w:color w:val="66727E"/>
                <w:sz w:val="17"/>
              </w:rPr>
              <w:t>STATUS</w:t>
            </w:r>
          </w:p>
          <w:p>
            <w:r>
              <w:rPr>
                <w:rFonts w:ascii="Calibri" w:hAnsi="Calibri"/>
                <w:color w:val="1F2933"/>
                <w:sz w:val="21"/>
              </w:rPr>
              <w:t>Field diligence - no commercial rights granted</w:t>
            </w:r>
          </w:p>
        </w:tc>
      </w:tr>
    </w:tbl>
    <w:p/>
    <w:p>
      <w:pPr>
        <w:pStyle w:val="Heading1"/>
      </w:pPr>
      <w:r>
        <w:rPr>
          <w:rFonts w:ascii="Calibri" w:hAnsi="Calibri"/>
          <w:b w:val="0"/>
          <w:color w:val="1F2933"/>
          <w:sz w:val="22"/>
        </w:rPr>
        <w:t>How to respond</w:t>
      </w:r>
    </w:p>
    <w:p>
      <w:r>
        <w:rPr>
          <w:rFonts w:ascii="Calibri" w:hAnsi="Calibri"/>
          <w:b w:val="0"/>
          <w:color w:val="1F2933"/>
          <w:sz w:val="22"/>
        </w:rPr>
        <w:t>For each question, provide:</w:t>
      </w:r>
    </w:p>
    <w:p>
      <w:pPr>
        <w:pStyle w:val="ListBullet"/>
      </w:pPr>
      <w:r>
        <w:rPr>
          <w:rFonts w:ascii="Calibri" w:hAnsi="Calibri"/>
          <w:b w:val="0"/>
          <w:color w:val="1F2933"/>
          <w:sz w:val="22"/>
        </w:rPr>
        <w:t>Direct answer</w:t>
      </w:r>
    </w:p>
    <w:p>
      <w:pPr>
        <w:pStyle w:val="ListBullet"/>
      </w:pPr>
      <w:r>
        <w:rPr>
          <w:rFonts w:ascii="Calibri" w:hAnsi="Calibri"/>
          <w:b w:val="0"/>
          <w:color w:val="1F2933"/>
          <w:sz w:val="22"/>
        </w:rPr>
        <w:t>Evidence or document</w:t>
      </w:r>
    </w:p>
    <w:p>
      <w:pPr>
        <w:pStyle w:val="ListBullet"/>
      </w:pPr>
      <w:r>
        <w:rPr>
          <w:rFonts w:ascii="Calibri" w:hAnsi="Calibri"/>
          <w:b w:val="0"/>
          <w:color w:val="1F2933"/>
          <w:sz w:val="22"/>
        </w:rPr>
        <w:t>Name and position of the confirming person</w:t>
      </w:r>
    </w:p>
    <w:p>
      <w:pPr>
        <w:pStyle w:val="ListBullet"/>
      </w:pPr>
      <w:r>
        <w:rPr>
          <w:rFonts w:ascii="Calibri" w:hAnsi="Calibri"/>
          <w:b w:val="0"/>
          <w:color w:val="1F2933"/>
          <w:sz w:val="22"/>
        </w:rPr>
        <w:t>Date confirmed</w:t>
      </w:r>
    </w:p>
    <w:p>
      <w:pPr>
        <w:pStyle w:val="ListBullet"/>
      </w:pPr>
      <w:r>
        <w:rPr>
          <w:rFonts w:ascii="Calibri" w:hAnsi="Calibri"/>
          <w:b w:val="0"/>
          <w:color w:val="1F2933"/>
          <w:sz w:val="22"/>
        </w:rPr>
        <w:t>Confidence: confirmed / probable / unknown</w:t>
      </w:r>
    </w:p>
    <w:p>
      <w:pPr>
        <w:pStyle w:val="ListBullet"/>
      </w:pPr>
      <w:r>
        <w:rPr>
          <w:rFonts w:ascii="Calibri" w:hAnsi="Calibri"/>
          <w:b w:val="0"/>
          <w:color w:val="1F2933"/>
          <w:sz w:val="22"/>
        </w:rPr>
        <w:t>Missing information</w:t>
      </w:r>
    </w:p>
    <w:p>
      <w:pPr>
        <w:pStyle w:val="ListBullet"/>
      </w:pPr>
      <w:r>
        <w:rPr>
          <w:rFonts w:ascii="Calibri" w:hAnsi="Calibri"/>
          <w:b w:val="0"/>
          <w:color w:val="1F2933"/>
          <w:sz w:val="22"/>
        </w:rPr>
        <w:t>Next action and expected completion date</w:t>
      </w:r>
    </w:p>
    <w:p>
      <w:r>
        <w:rPr>
          <w:rFonts w:ascii="Calibri" w:hAnsi="Calibri"/>
          <w:b w:val="0"/>
          <w:color w:val="1F2933"/>
          <w:sz w:val="22"/>
        </w:rPr>
        <w:t>An honest "not yet confirmed" is acceptable. Unsupported certainty is not.</w:t>
      </w:r>
    </w:p>
    <w:p>
      <w:r>
        <w:br w:type="page"/>
      </w:r>
    </w:p>
    <w:p>
      <w:pPr>
        <w:pStyle w:val="Heading1"/>
      </w:pPr>
      <w:r>
        <w:rPr>
          <w:rFonts w:ascii="Calibri" w:hAnsi="Calibri"/>
          <w:b w:val="0"/>
          <w:color w:val="1F2933"/>
          <w:sz w:val="22"/>
        </w:rPr>
        <w:t>A. Legal entity, authority, and capital</w:t>
      </w:r>
    </w:p>
    <w:p>
      <w:pPr>
        <w:pStyle w:val="Heading3"/>
      </w:pPr>
      <w:r>
        <w:rPr>
          <w:rFonts w:ascii="Calibri" w:hAnsi="Calibri"/>
          <w:b w:val="0"/>
          <w:color w:val="1F2933"/>
          <w:sz w:val="22"/>
        </w:rPr>
        <w:t>1. Operating entity</w:t>
      </w:r>
    </w:p>
    <w:p>
      <w:pPr>
        <w:keepNext/>
      </w:pPr>
      <w:r>
        <w:rPr>
          <w:rFonts w:ascii="Calibri" w:hAnsi="Calibri"/>
          <w:b w:val="0"/>
          <w:color w:val="1F2933"/>
          <w:sz w:val="22"/>
        </w:rPr>
        <w:t>Which legal entity would import, contract, receive customer payments, employ staff, and carry liability? Provide registration, ownership, directors, address, tax number, importer registration, and current standing.</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pPr>
        <w:pStyle w:val="Heading3"/>
      </w:pPr>
      <w:r>
        <w:rPr>
          <w:rFonts w:ascii="Calibri" w:hAnsi="Calibri"/>
          <w:b w:val="0"/>
          <w:color w:val="1F2933"/>
          <w:sz w:val="22"/>
        </w:rPr>
        <w:t>2. Decision-makers and proposed team</w:t>
      </w:r>
    </w:p>
    <w:p>
      <w:pPr>
        <w:keepNext/>
      </w:pPr>
      <w:r>
        <w:rPr>
          <w:rFonts w:ascii="Calibri" w:hAnsi="Calibri"/>
          <w:b w:val="0"/>
          <w:color w:val="1F2933"/>
          <w:sz w:val="22"/>
        </w:rPr>
        <w:t>Who will operate the business locally? Provide names, experience, availability, proposed roles, and decision authority. Identify the person responsible for sales, customs, finance, service, parts, and customer support.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r>
        <w:br w:type="page"/>
      </w:r>
    </w:p>
    <w:p>
      <w:pPr>
        <w:pStyle w:val="Heading3"/>
      </w:pPr>
      <w:r>
        <w:rPr>
          <w:rFonts w:ascii="Calibri" w:hAnsi="Calibri"/>
          <w:b w:val="0"/>
          <w:color w:val="1F2933"/>
          <w:sz w:val="22"/>
        </w:rPr>
        <w:t>3. Initial capital</w:t>
      </w:r>
    </w:p>
    <w:p>
      <w:pPr>
        <w:keepNext/>
      </w:pPr>
      <w:r>
        <w:rPr>
          <w:rFonts w:ascii="Calibri" w:hAnsi="Calibri"/>
          <w:b w:val="0"/>
          <w:color w:val="1F2933"/>
          <w:sz w:val="22"/>
        </w:rPr>
        <w:t>What amount can be mobilized for the first market test, by whom, in what currency, and under what conditions? Separate committed funds, likely funds, and hoped-for financing.</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pPr>
        <w:pStyle w:val="Heading3"/>
      </w:pPr>
      <w:r>
        <w:rPr>
          <w:rFonts w:ascii="Calibri" w:hAnsi="Calibri"/>
          <w:b w:val="0"/>
          <w:color w:val="1F2933"/>
          <w:sz w:val="22"/>
        </w:rPr>
        <w:t>4. First-order scenarios</w:t>
      </w:r>
    </w:p>
    <w:p>
      <w:pPr>
        <w:keepNext/>
      </w:pPr>
      <w:r>
        <w:rPr>
          <w:rFonts w:ascii="Calibri" w:hAnsi="Calibri"/>
          <w:b w:val="0"/>
          <w:color w:val="1F2933"/>
          <w:sz w:val="22"/>
        </w:rPr>
        <w:t>Prepare realistic scenarios for 2 demonstration vehicles and mixed orders of 5, 10, and 20 vehicles. Identify who would fund each scenario and the maximum acceptable capital exposure.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r>
        <w:br w:type="page"/>
      </w:r>
    </w:p>
    <w:p>
      <w:pPr>
        <w:pStyle w:val="Heading1"/>
      </w:pPr>
      <w:r>
        <w:rPr>
          <w:rFonts w:ascii="Calibri" w:hAnsi="Calibri"/>
          <w:b w:val="0"/>
          <w:color w:val="1F2933"/>
          <w:sz w:val="22"/>
        </w:rPr>
        <w:t>B. Import, customs, and road legality</w:t>
      </w:r>
    </w:p>
    <w:p>
      <w:pPr>
        <w:pStyle w:val="Heading3"/>
      </w:pPr>
      <w:r>
        <w:rPr>
          <w:rFonts w:ascii="Calibri" w:hAnsi="Calibri"/>
          <w:b w:val="0"/>
          <w:color w:val="1F2933"/>
          <w:sz w:val="22"/>
        </w:rPr>
        <w:t>5. Import procedure</w:t>
      </w:r>
    </w:p>
    <w:p>
      <w:pPr>
        <w:keepNext/>
      </w:pPr>
      <w:r>
        <w:rPr>
          <w:rFonts w:ascii="Calibri" w:hAnsi="Calibri"/>
          <w:b w:val="0"/>
          <w:color w:val="1F2933"/>
          <w:sz w:val="22"/>
        </w:rPr>
        <w:t>Document the complete process for importing a new vehicle into Mauritania, including responsible authorities, importer registration, required documents, customs broker, port, inspections, fees, expected timing, and registration.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pPr>
        <w:pStyle w:val="Heading3"/>
      </w:pPr>
      <w:r>
        <w:rPr>
          <w:rFonts w:ascii="Calibri" w:hAnsi="Calibri"/>
          <w:b w:val="0"/>
          <w:color w:val="1F2933"/>
          <w:sz w:val="22"/>
        </w:rPr>
        <w:t>6. Used-vehicle rules</w:t>
      </w:r>
    </w:p>
    <w:p>
      <w:pPr>
        <w:keepNext/>
      </w:pPr>
      <w:r>
        <w:rPr>
          <w:rFonts w:ascii="Calibri" w:hAnsi="Calibri"/>
          <w:b w:val="0"/>
          <w:color w:val="1F2933"/>
          <w:sz w:val="22"/>
        </w:rPr>
        <w:t>Document vehicle-age limits, valuation rules, inspection, emissions or roadworthiness requirements, restricted categories, duties, and any different treatment for used, damaged, refurbished, or certified pre-owned vehicles.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r>
        <w:br w:type="page"/>
      </w:r>
    </w:p>
    <w:p>
      <w:pPr>
        <w:pStyle w:val="Heading3"/>
      </w:pPr>
      <w:r>
        <w:rPr>
          <w:rFonts w:ascii="Calibri" w:hAnsi="Calibri"/>
          <w:b w:val="0"/>
          <w:color w:val="1F2933"/>
          <w:sz w:val="22"/>
        </w:rPr>
        <w:t>7. Taxes and landed cost</w:t>
      </w:r>
    </w:p>
    <w:p>
      <w:pPr>
        <w:keepNext/>
      </w:pPr>
      <w:r>
        <w:rPr>
          <w:rFonts w:ascii="Calibri" w:hAnsi="Calibri"/>
          <w:b w:val="0"/>
          <w:color w:val="1F2933"/>
          <w:sz w:val="22"/>
        </w:rPr>
        <w:t>Obtain written or professional confirmation of customs duties, taxes, port charges, broker fees, registration, insurance, inspection, and other costs. Build one sample landed-cost calculation for a vehicle with a stated export value.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pPr>
        <w:pStyle w:val="Heading3"/>
      </w:pPr>
      <w:r>
        <w:rPr>
          <w:rFonts w:ascii="Calibri" w:hAnsi="Calibri"/>
          <w:b w:val="0"/>
          <w:color w:val="1F2933"/>
          <w:sz w:val="22"/>
        </w:rPr>
        <w:t>8. Homologation, software, and technical compliance</w:t>
      </w:r>
    </w:p>
    <w:p>
      <w:pPr>
        <w:keepNext/>
      </w:pPr>
      <w:r>
        <w:rPr>
          <w:rFonts w:ascii="Calibri" w:hAnsi="Calibri"/>
          <w:b w:val="0"/>
          <w:color w:val="1F2933"/>
          <w:sz w:val="22"/>
        </w:rPr>
        <w:t>Identify technical approvals, steering configuration, lighting, emissions, connectivity, mapping, data, language, cybersecurity, or software requirements that may affect Chinese vehicles.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r>
        <w:br w:type="page"/>
      </w:r>
    </w:p>
    <w:p>
      <w:pPr>
        <w:pStyle w:val="Heading1"/>
      </w:pPr>
      <w:r>
        <w:rPr>
          <w:rFonts w:ascii="Calibri" w:hAnsi="Calibri"/>
          <w:b w:val="0"/>
          <w:color w:val="1F2933"/>
          <w:sz w:val="22"/>
        </w:rPr>
        <w:t>C. Market demand and buyer evidence</w:t>
      </w:r>
    </w:p>
    <w:p>
      <w:pPr>
        <w:pStyle w:val="Heading3"/>
      </w:pPr>
      <w:r>
        <w:rPr>
          <w:rFonts w:ascii="Calibri" w:hAnsi="Calibri"/>
          <w:b w:val="0"/>
          <w:color w:val="1F2933"/>
          <w:sz w:val="22"/>
        </w:rPr>
        <w:t>9. Buyer interview list</w:t>
      </w:r>
    </w:p>
    <w:p>
      <w:pPr>
        <w:keepNext/>
      </w:pPr>
      <w:r>
        <w:rPr>
          <w:rFonts w:ascii="Calibri" w:hAnsi="Calibri"/>
          <w:b w:val="0"/>
          <w:color w:val="1F2933"/>
          <w:sz w:val="22"/>
        </w:rPr>
        <w:t>Identify at least 25 prospective individual buyers. Record preferred category, budget, current vehicle, cash or finance preference, purchase timeline, and the decision factors that matter most.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pPr>
        <w:pStyle w:val="Heading3"/>
      </w:pPr>
      <w:r>
        <w:rPr>
          <w:rFonts w:ascii="Calibri" w:hAnsi="Calibri"/>
          <w:b w:val="0"/>
          <w:color w:val="1F2933"/>
          <w:sz w:val="22"/>
        </w:rPr>
        <w:t>10. Qualified individual interest</w:t>
      </w:r>
    </w:p>
    <w:p>
      <w:pPr>
        <w:keepNext/>
      </w:pPr>
      <w:r>
        <w:rPr>
          <w:rFonts w:ascii="Calibri" w:hAnsi="Calibri"/>
          <w:b w:val="0"/>
          <w:color w:val="1F2933"/>
          <w:sz w:val="22"/>
        </w:rPr>
        <w:t>Obtain at least five written, non-binding expressions of interest tied to a vehicle category and realistic budget. Do not describe general enthusiasm as an order.</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r>
        <w:br w:type="page"/>
      </w:r>
    </w:p>
    <w:p>
      <w:pPr>
        <w:pStyle w:val="Heading3"/>
      </w:pPr>
      <w:r>
        <w:rPr>
          <w:rFonts w:ascii="Calibri" w:hAnsi="Calibri"/>
          <w:b w:val="0"/>
          <w:color w:val="1F2933"/>
          <w:sz w:val="22"/>
        </w:rPr>
        <w:t>11. Institutional and fleet prospects</w:t>
      </w:r>
    </w:p>
    <w:p>
      <w:pPr>
        <w:keepNext/>
      </w:pPr>
      <w:r>
        <w:rPr>
          <w:rFonts w:ascii="Calibri" w:hAnsi="Calibri"/>
          <w:b w:val="0"/>
          <w:color w:val="1F2933"/>
          <w:sz w:val="22"/>
        </w:rPr>
        <w:t>Identify at least three named government, mining, construction, contractor, NGO, tourism, or company prospects. Record fleet size, use case, terrain, procurement method, budget cycle, decision-maker, and next meeting.</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pPr>
        <w:pStyle w:val="Heading3"/>
      </w:pPr>
      <w:r>
        <w:rPr>
          <w:rFonts w:ascii="Calibri" w:hAnsi="Calibri"/>
          <w:b w:val="0"/>
          <w:color w:val="1F2933"/>
          <w:sz w:val="22"/>
        </w:rPr>
        <w:t>12. Competitor and pricing map</w:t>
      </w:r>
    </w:p>
    <w:p>
      <w:pPr>
        <w:keepNext/>
      </w:pPr>
      <w:r>
        <w:rPr>
          <w:rFonts w:ascii="Calibri" w:hAnsi="Calibri"/>
          <w:b w:val="0"/>
          <w:color w:val="1F2933"/>
          <w:sz w:val="22"/>
        </w:rPr>
        <w:t>Compare at least 15 relevant Toyota, Nissan, Mitsubishi, Hyundai, Kia, European, luxury, and Chinese vehicles currently offered in Mauritania. Record new or used status, asking price, age, mileage, seller, parts confidence, service confidence, and perceived resale value.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r>
        <w:br w:type="page"/>
      </w:r>
    </w:p>
    <w:p>
      <w:pPr>
        <w:pStyle w:val="Heading1"/>
      </w:pPr>
      <w:r>
        <w:rPr>
          <w:rFonts w:ascii="Calibri" w:hAnsi="Calibri"/>
          <w:b w:val="0"/>
          <w:color w:val="1F2933"/>
          <w:sz w:val="22"/>
        </w:rPr>
        <w:t>D. Sales, facilities, service, and parts</w:t>
      </w:r>
    </w:p>
    <w:p>
      <w:pPr>
        <w:pStyle w:val="Heading3"/>
      </w:pPr>
      <w:r>
        <w:rPr>
          <w:rFonts w:ascii="Calibri" w:hAnsi="Calibri"/>
          <w:b w:val="0"/>
          <w:color w:val="1F2933"/>
          <w:sz w:val="22"/>
        </w:rPr>
        <w:t>13. Current Chinese-brand presence</w:t>
      </w:r>
    </w:p>
    <w:p>
      <w:pPr>
        <w:keepNext/>
      </w:pPr>
      <w:r>
        <w:rPr>
          <w:rFonts w:ascii="Calibri" w:hAnsi="Calibri"/>
          <w:b w:val="0"/>
          <w:color w:val="1F2933"/>
          <w:sz w:val="22"/>
        </w:rPr>
        <w:t>Map Chinese vehicle brands, importers, dealers, independent sellers, visible fleet deployments, service points, and parts sellers already operating in Mauritania. Distinguish verified activity from rumor.</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pPr>
        <w:pStyle w:val="Heading3"/>
      </w:pPr>
      <w:r>
        <w:rPr>
          <w:rFonts w:ascii="Calibri" w:hAnsi="Calibri"/>
          <w:b w:val="0"/>
          <w:color w:val="1F2933"/>
          <w:sz w:val="22"/>
        </w:rPr>
        <w:t>14. Sales and demonstration location</w:t>
      </w:r>
    </w:p>
    <w:p>
      <w:pPr>
        <w:keepNext/>
      </w:pPr>
      <w:r>
        <w:rPr>
          <w:rFonts w:ascii="Calibri" w:hAnsi="Calibri"/>
          <w:b w:val="0"/>
          <w:color w:val="1F2933"/>
          <w:sz w:val="22"/>
        </w:rPr>
        <w:t>Identify at least two possible locations for vehicle display, customer meetings, inspection, preparation, and delivery. Provide ownership, rent, size, access, utilities, security, photos, and availability.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r>
        <w:br w:type="page"/>
      </w:r>
    </w:p>
    <w:p>
      <w:pPr>
        <w:pStyle w:val="Heading3"/>
      </w:pPr>
      <w:r>
        <w:rPr>
          <w:rFonts w:ascii="Calibri" w:hAnsi="Calibri"/>
          <w:b w:val="0"/>
          <w:color w:val="1F2933"/>
          <w:sz w:val="22"/>
        </w:rPr>
        <w:t>15. Workshop map</w:t>
      </w:r>
    </w:p>
    <w:p>
      <w:pPr>
        <w:keepNext/>
      </w:pPr>
      <w:r>
        <w:rPr>
          <w:rFonts w:ascii="Calibri" w:hAnsi="Calibri"/>
          <w:b w:val="0"/>
          <w:color w:val="1F2933"/>
          <w:sz w:val="22"/>
        </w:rPr>
        <w:t>Identify at least 10 candidate workshops. Record location, ownership, lifts, tools, diagnostics, electrical capability, daily capacity, brand experience, parts storage, and willingness to participate.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pPr>
        <w:pStyle w:val="Heading3"/>
      </w:pPr>
      <w:r>
        <w:rPr>
          <w:rFonts w:ascii="Calibri" w:hAnsi="Calibri"/>
          <w:b w:val="0"/>
          <w:color w:val="1F2933"/>
          <w:sz w:val="22"/>
        </w:rPr>
        <w:t>16. Initial mechanic cohort</w:t>
      </w:r>
    </w:p>
    <w:p>
      <w:pPr>
        <w:keepNext/>
      </w:pPr>
      <w:r>
        <w:rPr>
          <w:rFonts w:ascii="Calibri" w:hAnsi="Calibri"/>
          <w:b w:val="0"/>
          <w:color w:val="1F2933"/>
          <w:sz w:val="22"/>
        </w:rPr>
        <w:t>Identify 20 mechanic candidates and five potential lead technicians. Record experience, employer, mechanical and electrical skills, diagnostic capability, languages, availability, and willingness to complete assessed training.</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r>
        <w:br w:type="page"/>
      </w:r>
    </w:p>
    <w:p>
      <w:pPr>
        <w:pStyle w:val="Heading3"/>
      </w:pPr>
      <w:r>
        <w:rPr>
          <w:rFonts w:ascii="Calibri" w:hAnsi="Calibri"/>
          <w:b w:val="0"/>
          <w:color w:val="1F2933"/>
          <w:sz w:val="22"/>
        </w:rPr>
        <w:t>17. Parts and logistics</w:t>
      </w:r>
    </w:p>
    <w:p>
      <w:pPr>
        <w:keepNext/>
      </w:pPr>
      <w:r>
        <w:rPr>
          <w:rFonts w:ascii="Calibri" w:hAnsi="Calibri"/>
          <w:b w:val="0"/>
          <w:color w:val="1F2933"/>
          <w:sz w:val="22"/>
        </w:rPr>
        <w:t>Identify potential warehouse space, parts import channels, courier or freight options, typical China-to-Mauritania replenishment time, customs treatment, inventory security, and the person who would manage parts.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pPr>
        <w:pStyle w:val="Heading3"/>
      </w:pPr>
      <w:r>
        <w:rPr>
          <w:rFonts w:ascii="Calibri" w:hAnsi="Calibri"/>
          <w:b w:val="0"/>
          <w:color w:val="1F2933"/>
          <w:sz w:val="22"/>
        </w:rPr>
        <w:t>18. Warranty, insurance, and customer protection</w:t>
      </w:r>
    </w:p>
    <w:p>
      <w:pPr>
        <w:keepNext/>
      </w:pPr>
      <w:r>
        <w:rPr>
          <w:rFonts w:ascii="Calibri" w:hAnsi="Calibri"/>
          <w:b w:val="0"/>
          <w:color w:val="1F2933"/>
          <w:sz w:val="22"/>
        </w:rPr>
        <w:t>Identify available vehicle insurers, repair authorization practices, accident and theft procedures, warranty expectations, consumer-contract requirements, deposit/refund expectations, and who could legally administer claims.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r>
        <w:br w:type="page"/>
      </w:r>
    </w:p>
    <w:p>
      <w:pPr>
        <w:pStyle w:val="Heading1"/>
      </w:pPr>
      <w:r>
        <w:rPr>
          <w:rFonts w:ascii="Calibri" w:hAnsi="Calibri"/>
          <w:b w:val="0"/>
          <w:color w:val="1F2933"/>
          <w:sz w:val="22"/>
        </w:rPr>
        <w:t>E. Powertrain, partnerships, and operating plan</w:t>
      </w:r>
    </w:p>
    <w:p>
      <w:pPr>
        <w:pStyle w:val="Heading3"/>
      </w:pPr>
      <w:r>
        <w:rPr>
          <w:rFonts w:ascii="Calibri" w:hAnsi="Calibri"/>
          <w:b w:val="0"/>
          <w:color w:val="1F2933"/>
          <w:sz w:val="22"/>
        </w:rPr>
        <w:t>19. Petrol, hybrid, and EV readiness</w:t>
      </w:r>
    </w:p>
    <w:p>
      <w:pPr>
        <w:keepNext/>
      </w:pPr>
      <w:r>
        <w:rPr>
          <w:rFonts w:ascii="Calibri" w:hAnsi="Calibri"/>
          <w:b w:val="0"/>
          <w:color w:val="1F2933"/>
          <w:sz w:val="22"/>
        </w:rPr>
        <w:t>Compare petrol availability and quality, diesel, electricity reliability, home charging, depot charging, public chargers, electrician capability, battery heat and dust risks, replacement logistics, and likely customer acceptance. Recommend an initial powertrain mix with evidence.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pPr>
        <w:pStyle w:val="Heading3"/>
      </w:pPr>
      <w:r>
        <w:rPr>
          <w:rFonts w:ascii="Calibri" w:hAnsi="Calibri"/>
          <w:b w:val="0"/>
          <w:color w:val="1F2933"/>
          <w:sz w:val="22"/>
        </w:rPr>
        <w:t>20. Twelve-month operating proposition</w:t>
      </w:r>
    </w:p>
    <w:p>
      <w:pPr>
        <w:keepNext/>
      </w:pPr>
      <w:r>
        <w:rPr>
          <w:rFonts w:ascii="Calibri" w:hAnsi="Calibri"/>
          <w:b w:val="0"/>
          <w:color w:val="1F2933"/>
          <w:sz w:val="22"/>
        </w:rPr>
        <w:t>Prepare a 12-month plan showing target customer segments, vehicle categories, lead generation, staffing, facilities, training, parts, supplier support, capital use, monthly operating costs, sales assumptions, key risks, and measurable milestones. State precisely what you will contribute and what role you propose to earn through delivery.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Direct answer</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Evidence / source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Confirming person</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r>
        <w:trPr>
          <w:cantSplit/>
        </w:trPr>
        <w:tc>
          <w:tcPr>
            <w:tcW w:type="dxa" w:w="1800"/>
            <w:tcMar>
              <w:top w:w="80" w:type="dxa"/>
              <w:start w:w="120" w:type="dxa"/>
              <w:bottom w:w="80" w:type="dxa"/>
              <w:end w:w="120" w:type="dxa"/>
            </w:tcMar>
            <w:vAlign w:val="top"/>
            <w:shd w:fill="F2F4F7"/>
          </w:tcPr>
          <w:p>
            <w:r>
              <w:rPr>
                <w:rFonts w:ascii="Calibri" w:hAnsi="Calibri"/>
                <w:b/>
                <w:color w:val="17324D"/>
                <w:sz w:val="18"/>
              </w:rPr>
              <w:t>Gap / next action / date</w:t>
            </w:r>
          </w:p>
        </w:tc>
        <w:tc>
          <w:tcPr>
            <w:tcW w:type="dxa" w:w="7560"/>
            <w:tcMar>
              <w:top w:w="80" w:type="dxa"/>
              <w:start w:w="120" w:type="dxa"/>
              <w:bottom w:w="80" w:type="dxa"/>
              <w:end w:w="120" w:type="dxa"/>
            </w:tcMar>
            <w:vAlign w:val="top"/>
          </w:tcPr>
          <w:p>
            <w:pPr>
              <w:spacing w:after="160"/>
            </w:pPr>
            <w:r>
              <w:rPr>
                <w:rFonts w:ascii="Calibri" w:hAnsi="Calibri"/>
                <w:i/>
                <w:color w:val="66727E"/>
                <w:sz w:val="19"/>
              </w:rPr>
              <w:t xml:space="preserve">Response: </w:t>
            </w:r>
          </w:p>
        </w:tc>
      </w:tr>
    </w:tbl>
    <w:p>
      <w:pPr>
        <w:spacing w:after="40"/>
      </w:pPr>
    </w:p>
    <w:p>
      <w:pPr>
        <w:pStyle w:val="Heading1"/>
      </w:pPr>
      <w:r>
        <w:rPr>
          <w:rFonts w:ascii="Calibri" w:hAnsi="Calibri"/>
          <w:b w:val="0"/>
          <w:color w:val="1F2933"/>
          <w:sz w:val="22"/>
        </w:rPr>
        <w:t>Sprint completion standard</w:t>
      </w:r>
    </w:p>
    <w:p>
      <w:pPr>
        <w:keepNext/>
      </w:pPr>
      <w:r>
        <w:rPr>
          <w:rFonts w:ascii="Calibri" w:hAnsi="Calibri"/>
          <w:b w:val="0"/>
          <w:color w:val="1F2933"/>
          <w:sz w:val="22"/>
        </w:rPr>
        <w:t>The sprint is complete when every question has a direct response, supporting evidence or an explicit evidence gap, a named owner, and a dated next action.</w:t>
      </w:r>
    </w:p>
    <w:p>
      <w:pPr>
        <w:keepNext/>
      </w:pPr>
      <w:r>
        <w:rPr>
          <w:rFonts w:ascii="Calibri" w:hAnsi="Calibri"/>
          <w:b w:val="0"/>
          <w:color w:val="1F2933"/>
          <w:sz w:val="22"/>
        </w:rPr>
        <w:t>Completion does not automatically create partnership, equity, exclusivity, dealership rights, or distribution authority. It creates the evidence needed to negotiate an appropriate role and pilot.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27E"/>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27E"/>
        <w:sz w:val="17"/>
      </w:rPr>
      <w:t>MAURITANIA AUTOMOTIVE MARKET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