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line="276"/>
        <w:jc w:val="center"/>
      </w:pPr>
      <w:r>
        <w:rPr>
          <w:rFonts w:ascii="Arial" w:cs="Arial" w:eastAsia="Arial" w:hAnsi="Arial"/>
          <w:b/>
          <w:bCs/>
          <w:color w:val="2E5090"/>
          <w:sz w:val="48"/>
          <w:szCs w:val="48"/>
        </w:rPr>
        <w:t xml:space="preserve">Recovering Forest Location and Type</w:t>
      </w:r>
    </w:p>
    <w:p>
      <w:pPr>
        <w:spacing w:after="400" w:line="276"/>
        <w:jc w:val="center"/>
      </w:pPr>
      <w:r>
        <w:rPr>
          <w:rFonts w:ascii="Arial" w:cs="Arial" w:eastAsia="Arial" w:hAnsi="Arial"/>
          <w:b/>
          <w:bCs/>
          <w:color w:val="2E5090"/>
          <w:sz w:val="48"/>
          <w:szCs w:val="48"/>
        </w:rPr>
        <w:t xml:space="preserve">from Airborne Hyperspectral Spectra</w:t>
      </w:r>
    </w:p>
    <w:p>
      <w:pPr>
        <w:spacing w:after="200" w:line="276"/>
        <w:jc w:val="center"/>
      </w:pPr>
      <w:r>
        <w:rPr>
          <w:rFonts w:ascii="Arial" w:cs="Arial" w:eastAsia="Arial" w:hAnsi="Arial"/>
          <w:color w:val="666666"/>
          <w:sz w:val="28"/>
          <w:szCs w:val="28"/>
        </w:rPr>
        <w:t xml:space="preserve">Preliminary Research Report</w:t>
      </w:r>
    </w:p>
    <w:p>
      <w:pPr>
        <w:spacing w:after="600" w:line="276"/>
        <w:jc w:val="center"/>
      </w:pPr>
      <w:r>
        <w:rPr>
          <w:rFonts w:ascii="Arial" w:cs="Arial" w:eastAsia="Arial" w:hAnsi="Arial"/>
          <w:color w:val="888888"/>
          <w:sz w:val="24"/>
          <w:szCs w:val="24"/>
        </w:rPr>
        <w:t xml:space="preserve">Based on the FREEDLES Airborne Dataset (All Four Sites, LOSO-CV)</w:t>
      </w:r>
    </w:p>
    <w:p>
      <w:pPr>
        <w:spacing w:after="200" w:line="276"/>
        <w:jc w:val="center"/>
      </w:pPr>
      <w:r>
        <w:rPr>
          <w:rFonts w:ascii="Arial" w:cs="Arial" w:eastAsia="Arial" w:hAnsi="Arial"/>
          <w:sz w:val="24"/>
          <w:szCs w:val="24"/>
        </w:rPr>
        <w:t xml:space="preserve">Manan Aggarwal</w:t>
      </w:r>
    </w:p>
    <w:p>
      <w:pPr>
        <w:spacing w:after="200" w:line="276"/>
        <w:jc w:val="center"/>
      </w:pPr>
      <w:r>
        <w:rPr>
          <w:rFonts w:ascii="Arial" w:cs="Arial" w:eastAsia="Arial" w:hAnsi="Arial"/>
          <w:color w:val="666666"/>
          <w:sz w:val="22"/>
          <w:szCs w:val="22"/>
        </w:rPr>
        <w:t xml:space="preserve">EIT Digital Masters — Semester 4</w:t>
      </w:r>
    </w:p>
    <w:p>
      <w:pPr>
        <w:spacing w:after="200" w:line="276"/>
        <w:jc w:val="center"/>
      </w:pPr>
      <w:r>
        <w:rPr>
          <w:rFonts w:ascii="Arial" w:cs="Arial" w:eastAsia="Arial" w:hAnsi="Arial"/>
          <w:color w:val="666666"/>
          <w:sz w:val="22"/>
          <w:szCs w:val="22"/>
        </w:rPr>
        <w:t xml:space="preserve">June 2026</w:t>
      </w:r>
    </w:p>
    <w:p>
      <w:r>
        <w:br w:type="page"/>
      </w:r>
    </w:p>
    <w:p>
      <w:pPr>
        <w:pStyle w:val="Heading1"/>
        <w:spacing w:after="200" w:before="300"/>
      </w:pPr>
      <w:r>
        <w:rPr>
          <w:rFonts w:ascii="Arial" w:cs="Arial" w:eastAsia="Arial" w:hAnsi="Arial"/>
        </w:rPr>
        <w:t xml:space="preserve">1. Introduction</w:t>
      </w:r>
    </w:p>
    <w:p>
      <w:pPr>
        <w:spacing w:after="200" w:line="276"/>
      </w:pPr>
      <w:r>
        <w:rPr>
          <w:rFonts w:ascii="Arial" w:cs="Arial" w:eastAsia="Arial" w:hAnsi="Arial"/>
          <w:sz w:val="22"/>
          <w:szCs w:val="22"/>
        </w:rPr>
        <w:t xml:space="preserve">This report presents preliminary findings from a research project investigating whether forest location and forest type can be recovered from airborne hyperspectral reflectance spectra alone. The study uses the FREEDLES (FoRest bio-divErsity, Ecology, Disturbances, and LifE Span) airborne remote sensing dataset, a multi-site European forest characterization campaign described by Rautiainen et al. (2024).</w:t>
      </w:r>
    </w:p>
    <w:p>
      <w:pPr>
        <w:spacing w:after="200" w:line="276"/>
      </w:pPr>
      <w:r>
        <w:rPr>
          <w:rFonts w:ascii="Arial" w:cs="Arial" w:eastAsia="Arial" w:hAnsi="Arial"/>
          <w:sz w:val="22"/>
          <w:szCs w:val="22"/>
        </w:rPr>
        <w:t xml:space="preserve">The central research question has two components. First, can spectral reflectance distinguish forest types (coniferous, broadleaved, mixed) across geographically and ecologically distinct sites? Second, can models trained on one set of sites generalize to unseen sites spanning different biomes — boreal, hemiboreal, and temperate?</w:t>
      </w:r>
    </w:p>
    <w:p>
      <w:pPr>
        <w:spacing w:after="200" w:line="276"/>
      </w:pPr>
      <w:r>
        <w:rPr>
          <w:rFonts w:ascii="Arial" w:cs="Arial" w:eastAsia="Arial" w:hAnsi="Arial"/>
          <w:sz w:val="22"/>
          <w:szCs w:val="22"/>
        </w:rPr>
        <w:t xml:space="preserve">Due to storage constraints, this preliminary analysis is restricted to the Hyytilä site (Finland, 28 boreal forest stands). The full experimental pipeline is designed for all four FREEDLES sites (58 stands), and the code repository supports seamless extension once additional data become available.</w:t>
      </w:r>
    </w:p>
    <w:p>
      <w:pPr>
        <w:pStyle w:val="Heading2"/>
        <w:spacing w:after="200" w:before="300"/>
      </w:pPr>
      <w:r>
        <w:rPr>
          <w:rFonts w:ascii="Arial" w:cs="Arial" w:eastAsia="Arial" w:hAnsi="Arial"/>
        </w:rPr>
        <w:t xml:space="preserve">1.1 Dataset Overview</w:t>
      </w:r>
    </w:p>
    <w:p>
      <w:pPr>
        <w:spacing w:after="200" w:line="276"/>
      </w:pPr>
      <w:r>
        <w:rPr>
          <w:rFonts w:ascii="Arial" w:cs="Arial" w:eastAsia="Arial" w:hAnsi="Arial"/>
          <w:sz w:val="22"/>
          <w:szCs w:val="22"/>
        </w:rPr>
        <w:t xml:space="preserve">The FREEDLES dataset encompasses four European forest sites with co-registered airborne hyperspectral imagery, airborne laser scanning (ALS) data, and ground-truth forest inventory measurements. The spectral data were acquired using CASI-1500 (382–1052 nm, 0.5 m pixels) and SASI-600 (958–2443 nm, 1.25 m pixels) sensors, with atmospheric correction performed via ATCOR-4 and vicarious calibration per 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26"/>
        <w:gridCol w:w="1200"/>
        <w:gridCol w:w="3000"/>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Site</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Country</w:t>
            </w:r>
          </w:p>
        </w:tc>
        <w:tc>
          <w:tcPr>
            <w:tcW w:type="dxa" w:w="162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Biome</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Stands</w:t>
            </w:r>
          </w:p>
        </w:tc>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Dominant Species</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Hyytilä</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Finland</w:t>
            </w:r>
          </w:p>
        </w:tc>
        <w:tc>
          <w:tcPr>
            <w:tcW w:type="dxa" w:w="16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Boreal</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28</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Norway spruce, Scots pine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Järvselja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Estonia</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Hemiboreal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Mixed broadleaved/coniferous</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Lanzhot</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Czech Rep.</w:t>
            </w:r>
          </w:p>
        </w:tc>
        <w:tc>
          <w:tcPr>
            <w:tcW w:type="dxa" w:w="16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Temperate</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10</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Broadleaf floodplain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Bily Kriz</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Czech Rep.</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Temperate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Norway spruce (mountain)</w:t>
            </w:r>
          </w:p>
        </w:tc>
      </w:tr>
    </w:tbl>
    <w:p>
      <w:pPr>
        <w:spacing w:after="200" w:line="276"/>
      </w:pPr>
      <w:r>
        <w:rPr>
          <w:rFonts w:ascii="Arial" w:cs="Arial" w:eastAsia="Arial" w:hAnsi="Arial"/>
          <w:sz w:val="22"/>
          <w:szCs w:val="22"/>
        </w:rPr>
        <w:t xml:space="preserve"/>
      </w:r>
    </w:p>
    <w:p>
      <w:pPr>
        <w:spacing w:after="200" w:line="276"/>
      </w:pPr>
      <w:r>
        <w:rPr>
          <w:rFonts w:ascii="Arial" w:cs="Arial" w:eastAsia="Arial" w:hAnsi="Arial"/>
          <w:sz w:val="22"/>
          <w:szCs w:val="22"/>
        </w:rPr>
        <w:t xml:space="preserve">Each stand is provided as a 100 m × 100 m analysis-ready plot tile in GeoTIFF or ENVI format, with co-located ALS-derived 1 m digital elevation models. Water vapor absorption bands (895–1003, 1092–1168, 1302–1528, 1737–2038 nm) were interpolated during ATCOR-4 atmospheric correction and are excluded from analysis.</w:t>
      </w:r>
    </w:p>
    <w:p>
      <w:r>
        <w:br w:type="page"/>
      </w:r>
    </w:p>
    <w:p>
      <w:pPr>
        <w:pStyle w:val="Heading1"/>
        <w:spacing w:after="200" w:before="300"/>
      </w:pPr>
      <w:r>
        <w:rPr>
          <w:rFonts w:ascii="Arial" w:cs="Arial" w:eastAsia="Arial" w:hAnsi="Arial"/>
        </w:rPr>
        <w:t xml:space="preserve">2. Methodology</w:t>
      </w:r>
    </w:p>
    <w:p>
      <w:pPr>
        <w:pStyle w:val="Heading2"/>
        <w:spacing w:after="200" w:before="300"/>
      </w:pPr>
      <w:r>
        <w:rPr>
          <w:rFonts w:ascii="Arial" w:cs="Arial" w:eastAsia="Arial" w:hAnsi="Arial"/>
        </w:rPr>
        <w:t xml:space="preserve">2.1 Experimental Design</w:t>
      </w:r>
    </w:p>
    <w:p>
      <w:pPr>
        <w:spacing w:after="200" w:line="276"/>
      </w:pPr>
      <w:r>
        <w:rPr>
          <w:rFonts w:ascii="Arial" w:cs="Arial" w:eastAsia="Arial" w:hAnsi="Arial"/>
          <w:sz w:val="22"/>
          <w:szCs w:val="22"/>
        </w:rPr>
        <w:t xml:space="preserve">The experimental pipeline follows a hierarchical design moving from conservative baselines to more complex spatial models:</w:t>
      </w:r>
    </w:p>
    <w:p>
      <w:pPr>
        <w:pStyle w:val="ListParagraph"/>
        <w:numPr>
          <w:ilvl w:val="0"/>
          <w:numId w:val="2"/>
        </w:numPr>
      </w:pPr>
      <w:r>
        <w:rPr>
          <w:rFonts w:ascii="Arial" w:cs="Arial" w:eastAsia="Arial" w:hAnsi="Arial"/>
          <w:sz w:val="22"/>
          <w:szCs w:val="22"/>
        </w:rPr>
        <w:t xml:space="preserve">Baseline (stand-level): Mean reflectance spectrum per stand → classical ML classifiers → leave-one-stand-out CV</w:t>
      </w:r>
    </w:p>
    <w:p>
      <w:pPr>
        <w:pStyle w:val="ListParagraph"/>
        <w:numPr>
          <w:ilvl w:val="0"/>
          <w:numId w:val="2"/>
        </w:numPr>
      </w:pPr>
      <w:r>
        <w:rPr>
          <w:rFonts w:ascii="Arial" w:cs="Arial" w:eastAsia="Arial" w:hAnsi="Arial"/>
          <w:sz w:val="22"/>
          <w:szCs w:val="22"/>
        </w:rPr>
        <w:t xml:space="preserve">Feature engineering: PCA reduction, spectral vegetation indices (NDVI, NDRE, PRI, EVI, Red Edge Position), normalization ablation (Standard, SNV, MinMax, Continuum Removal)</w:t>
      </w:r>
    </w:p>
    <w:p>
      <w:pPr>
        <w:pStyle w:val="ListParagraph"/>
        <w:numPr>
          <w:ilvl w:val="0"/>
          <w:numId w:val="2"/>
        </w:numPr>
      </w:pPr>
      <w:r>
        <w:rPr>
          <w:rFonts w:ascii="Arial" w:cs="Arial" w:eastAsia="Arial" w:hAnsi="Arial"/>
          <w:sz w:val="22"/>
          <w:szCs w:val="22"/>
        </w:rPr>
        <w:t xml:space="preserve">Deep learning: 1D CNN on pixel spectra, 3D spatial-spectral CNN on image patches</w:t>
      </w:r>
    </w:p>
    <w:p>
      <w:pPr>
        <w:pStyle w:val="ListParagraph"/>
        <w:numPr>
          <w:ilvl w:val="0"/>
          <w:numId w:val="2"/>
        </w:numPr>
        <w:spacing w:after="200"/>
      </w:pPr>
      <w:r>
        <w:rPr>
          <w:rFonts w:ascii="Arial" w:cs="Arial" w:eastAsia="Arial" w:hAnsi="Arial"/>
          <w:sz w:val="22"/>
          <w:szCs w:val="22"/>
        </w:rPr>
        <w:t xml:space="preserve">Data fusion: Spectral features combined with ALS-derived terrain statistics</w:t>
      </w:r>
    </w:p>
    <w:p>
      <w:pPr>
        <w:pStyle w:val="Heading2"/>
        <w:spacing w:after="200" w:before="300"/>
      </w:pPr>
      <w:r>
        <w:rPr>
          <w:rFonts w:ascii="Arial" w:cs="Arial" w:eastAsia="Arial" w:hAnsi="Arial"/>
        </w:rPr>
        <w:t xml:space="preserve">2.2 Classifiers</w:t>
      </w:r>
    </w:p>
    <w:p>
      <w:pPr>
        <w:spacing w:after="200" w:line="276"/>
      </w:pPr>
      <w:r>
        <w:rPr>
          <w:rFonts w:ascii="Arial" w:cs="Arial" w:eastAsia="Arial" w:hAnsi="Arial"/>
          <w:sz w:val="22"/>
          <w:szCs w:val="22"/>
        </w:rPr>
        <w:t xml:space="preserve">Five classical machine learning classifiers serve as the baseline suite, each chosen for complementary strengths: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Classifier</w:t>
            </w:r>
          </w:p>
        </w:tc>
        <w:tc>
          <w:tcPr>
            <w:tcW w:type="dxa" w:w="662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Rationale</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PLS-DA</w:t>
            </w:r>
          </w:p>
        </w:tc>
        <w:tc>
          <w:tcPr>
            <w:tcW w:type="dxa" w:w="66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Standard baseline in chemometrics/hyperspectral RS; handles high-dimensional correlated features natively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Random Forest</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Non-parametric, provides feature importance ranking, robust to noise</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SVM (RBF)</w:t>
            </w:r>
          </w:p>
        </w:tc>
        <w:tc>
          <w:tcPr>
            <w:tcW w:type="dxa" w:w="66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Effective in high-dimensional spaces; kernel trick captures non-linear boundaries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Gradient Boosting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Strong predictive performance; sequential ensemble approach</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Logistic Regression</w:t>
            </w:r>
          </w:p>
        </w:tc>
        <w:tc>
          <w:tcPr>
            <w:tcW w:type="dxa" w:w="66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Interpretable linear baseline; L2 regularization for collinear bands</w:t>
            </w:r>
          </w:p>
        </w:tc>
      </w:tr>
    </w:tbl>
    <w:p>
      <w:pPr>
        <w:spacing w:after="200" w:line="276"/>
      </w:pPr>
      <w:r>
        <w:rPr>
          <w:rFonts w:ascii="Arial" w:cs="Arial" w:eastAsia="Arial" w:hAnsi="Arial"/>
          <w:sz w:val="22"/>
          <w:szCs w:val="22"/>
        </w:rPr>
        <w:t xml:space="preserve"/>
      </w:r>
    </w:p>
    <w:p>
      <w:pPr>
        <w:pStyle w:val="Heading2"/>
        <w:spacing w:after="200" w:before="300"/>
      </w:pPr>
      <w:r>
        <w:rPr>
          <w:rFonts w:ascii="Arial" w:cs="Arial" w:eastAsia="Arial" w:hAnsi="Arial"/>
        </w:rPr>
        <w:t xml:space="preserve">2.3 Validation Strategy</w:t>
      </w:r>
    </w:p>
    <w:p>
      <w:pPr>
        <w:spacing w:after="200" w:line="276"/>
      </w:pPr>
      <w:r>
        <w:rPr>
          <w:rFonts w:ascii="Arial" w:cs="Arial" w:eastAsia="Arial" w:hAnsi="Arial"/>
          <w:sz w:val="22"/>
          <w:szCs w:val="22"/>
        </w:rPr>
        <w:t xml:space="preserve">Validation design follows the spatial cross-validation recommendations of Roberts et al. (2017, Ecography) and the autocorrelation warnings of Ploton et al. (2020, Nature Communications):</w:t>
      </w:r>
    </w:p>
    <w:p>
      <w:pPr>
        <w:pStyle w:val="ListParagraph"/>
        <w:numPr>
          <w:ilvl w:val="0"/>
          <w:numId w:val="3"/>
        </w:numPr>
      </w:pPr>
      <w:r>
        <w:rPr>
          <w:rFonts w:ascii="Arial" w:cs="Arial" w:eastAsia="Arial" w:hAnsi="Arial"/>
          <w:sz w:val="22"/>
          <w:szCs w:val="22"/>
        </w:rPr>
        <w:t xml:space="preserve">Multi-site (full dataset): Leave-One-Site-Out (LOSO) CV with 4 folds. Each fold holds out one entire site/biome, preventing site-level spectral leakage.</w:t>
      </w:r>
    </w:p>
    <w:p>
      <w:pPr>
        <w:pStyle w:val="ListParagraph"/>
        <w:numPr>
          <w:ilvl w:val="0"/>
          <w:numId w:val="3"/>
        </w:numPr>
      </w:pPr>
      <w:r>
        <w:rPr>
          <w:rFonts w:ascii="Arial" w:cs="Arial" w:eastAsia="Arial" w:hAnsi="Arial"/>
          <w:sz w:val="22"/>
          <w:szCs w:val="22"/>
        </w:rPr>
        <w:t xml:space="preserve">Single-site (Hyytilä preliminary): Leave-One-Stand-Out (LOGO-Stand) with 28 folds. All pixels from a stand go entirely into train or test.</w:t>
      </w:r>
    </w:p>
    <w:p>
      <w:pPr>
        <w:pStyle w:val="ListParagraph"/>
        <w:numPr>
          <w:ilvl w:val="0"/>
          <w:numId w:val="3"/>
        </w:numPr>
        <w:spacing w:after="200"/>
      </w:pPr>
      <w:r>
        <w:rPr>
          <w:rFonts w:ascii="Arial" w:cs="Arial" w:eastAsia="Arial" w:hAnsi="Arial"/>
          <w:sz w:val="22"/>
          <w:szCs w:val="22"/>
        </w:rPr>
        <w:t xml:space="preserve">Alternative: Stratified GroupKFold (5 folds, grouped by stand) when LOGO-Stand is computationally prohibitive.</w:t>
      </w:r>
    </w:p>
    <w:p>
      <w:pPr>
        <w:spacing w:after="200" w:line="276"/>
      </w:pPr>
      <w:r>
        <w:rPr>
          <w:rFonts w:ascii="Arial" w:cs="Arial" w:eastAsia="Arial" w:hAnsi="Arial"/>
          <w:sz w:val="22"/>
          <w:szCs w:val="22"/>
        </w:rPr>
        <w:t xml:space="preserve">All normalization and PCA fitting is performed strictly on the training fold to prevent information leakage. Class-balanced sample weights are applied to all classifiers to mitigate the coniferous-majority imbalance at Hyytilä.</w:t>
      </w:r>
    </w:p>
    <w:p>
      <w:pPr>
        <w:pStyle w:val="Heading2"/>
        <w:spacing w:after="200" w:before="300"/>
      </w:pPr>
      <w:r>
        <w:rPr>
          <w:rFonts w:ascii="Arial" w:cs="Arial" w:eastAsia="Arial" w:hAnsi="Arial"/>
        </w:rPr>
        <w:t xml:space="preserve">2.4 Evaluation Metrics</w:t>
      </w:r>
    </w:p>
    <w:p>
      <w:pPr>
        <w:spacing w:after="200" w:line="276"/>
      </w:pPr>
      <w:r>
        <w:rPr>
          <w:rFonts w:ascii="Arial" w:cs="Arial" w:eastAsia="Arial" w:hAnsi="Arial"/>
          <w:sz w:val="22"/>
          <w:szCs w:val="22"/>
        </w:rPr>
        <w:t xml:space="preserve">Performance is reported using multiple complementary metrics: overall accuracy (OA), balanced accuracy (BA), Cohen’s kappa (κ), and macro-averaged F1 score. Per-class precision and recall are reported to identify systematic misclassification patterns. Confusion matrices aggregate across folds.</w:t>
      </w:r>
    </w:p>
    <w:p>
      <w:pPr>
        <w:spacing w:after="200" w:line="276"/>
      </w:pPr>
      <w:r>
        <w:rPr>
          <w:rFonts w:ascii="Arial" w:cs="Arial" w:eastAsia="Arial" w:hAnsi="Arial"/>
          <w:sz w:val="22"/>
          <w:szCs w:val="22"/>
        </w:rPr>
        <w:t xml:space="preserve">Shortcut detection follows Ploton et al. (2020): a permutation test (100 shuffles) verifies that accuracy significantly exceeds chance, and feature–target correlation auditing checks for metadata leakage.</w:t>
      </w:r>
    </w:p>
    <w:p>
      <w:r>
        <w:br w:type="page"/>
      </w:r>
    </w:p>
    <w:p>
      <w:pPr>
        <w:pStyle w:val="Heading1"/>
        <w:spacing w:after="200" w:before="300"/>
      </w:pPr>
      <w:r>
        <w:rPr>
          <w:rFonts w:ascii="Arial" w:cs="Arial" w:eastAsia="Arial" w:hAnsi="Arial"/>
        </w:rPr>
        <w:t xml:space="preserve">3. Results: Baseline Classification Experiment</w:t>
      </w:r>
    </w:p>
    <w:p>
      <w:pPr>
        <w:pStyle w:val="Heading2"/>
        <w:spacing w:after="200" w:before="300"/>
      </w:pPr>
      <w:r>
        <w:rPr>
          <w:rFonts w:ascii="Arial" w:cs="Arial" w:eastAsia="Arial" w:hAnsi="Arial"/>
        </w:rPr>
        <w:t xml:space="preserve">3.1 Scope and Constraints</w:t>
      </w:r>
    </w:p>
    <w:p>
      <w:pPr>
        <w:spacing w:after="200" w:line="276"/>
      </w:pPr>
      <w:r>
        <w:rPr>
          <w:rFonts w:ascii="Arial" w:cs="Arial" w:eastAsia="Arial" w:hAnsi="Arial"/>
          <w:sz w:val="22"/>
          <w:szCs w:val="22"/>
        </w:rPr>
        <w:t xml:space="preserve">The baseline experiment uses all 58 analysis-ready CASI plot tiles (382–1052 nm) spanning all four FREEDLES sites: Hyytilä (Finland, 28 boreal stands), Järvselja (Estonia, 13 hemiboreal stands), Lanzhot (Czech Republic, 10 temperate broadleaved stands), and Bilý Kříž (Czech Republic, 7 temperate coniferous stands). After excluding water vapour absorption bands (895–1003 nm), 40 of 48 CASI bands are retained. Stand-level mean reflectance spectra serve as features (n = 58 samples × 40 bands).</w:t>
      </w:r>
    </w:p>
    <w:p>
      <w:pPr>
        <w:spacing w:after="200" w:line="276"/>
      </w:pPr>
      <w:r>
        <w:rPr>
          <w:rFonts w:ascii="Arial" w:cs="Arial" w:eastAsia="Arial" w:hAnsi="Arial"/>
          <w:sz w:val="22"/>
          <w:szCs w:val="22"/>
        </w:rPr>
        <w:t xml:space="preserve">Validation follows Leave-One-Site-Out (LOSO) cross-validation with four folds. Each fold holds out one entire site and trains on the remaining three, directly evaluating cross-biome generalisation. Class distributions are: coniferous (33 stands), broadleaved (15), mixed (10).</w:t>
      </w:r>
    </w:p>
    <w:p>
      <w:pPr>
        <w:pStyle w:val="Heading2"/>
        <w:spacing w:after="200" w:before="300"/>
      </w:pPr>
      <w:r>
        <w:rPr>
          <w:rFonts w:ascii="Arial" w:cs="Arial" w:eastAsia="Arial" w:hAnsi="Arial"/>
        </w:rPr>
        <w:t xml:space="preserve">3.2 Baseline Classification Results</w:t>
      </w:r>
    </w:p>
    <w:p>
      <w:pPr>
        <w:spacing w:after="200" w:line="276"/>
      </w:pPr>
      <w:r>
        <w:rPr>
          <w:rFonts w:ascii="Arial" w:cs="Arial" w:eastAsia="Arial" w:hAnsi="Arial"/>
          <w:sz w:val="22"/>
          <w:szCs w:val="22"/>
        </w:rPr>
        <w:t xml:space="preserve">Table 1 reports mean overall accuracy (OA) and balanced accuracy (BA) across the four LOSO-CV folds. Random Forest achieved the highest balanced accuracy (mean BA = 0.621), followed by SVM and Gradient Boosting (both BA = 0.592). All models substantially outperform random chance (1/3 ≈ 0.333 for balanced three-class classification).</w:t>
      </w:r>
    </w:p>
    <w:p>
      <w:pPr>
        <w:pStyle w:val="ListParagraph"/>
        <w:numPr>
          <w:ilvl w:val="0"/>
          <w:numId w:val="3"/>
        </w:numPr>
      </w:pPr>
      <w:r>
        <w:rPr>
          <w:rFonts w:ascii="Arial" w:cs="Arial" w:eastAsia="Arial" w:hAnsi="Arial"/>
          <w:sz w:val="22"/>
          <w:szCs w:val="22"/>
        </w:rPr>
        <w:t xml:space="preserve">Table 1: Per-fold and mean accuracy results under Leave-One-Site-Out CV (BK = Bilý Kříž, HY = Hyytilä, JS = Järvselja, LZ = Lanzhot).</w:t>
      </w:r>
    </w:p>
    <w:p>
      <w:pPr>
        <w:pStyle w:val="ListParagraph"/>
        <w:numPr>
          <w:ilvl w:val="0"/>
          <w:numId w:val="3"/>
        </w:numPr>
      </w:pPr>
      <w:r>
        <w:rPr>
          <w:rFonts w:ascii="Arial" w:cs="Arial" w:eastAsia="Arial" w:hAnsi="Arial"/>
          <w:sz w:val="22"/>
          <w:szCs w:val="22"/>
        </w:rPr>
        <w:t xml:space="preserve">Model                   OA (BK/HY/JS/LZ/Mean)    BA (BK/HY/JS/LZ/Mean)</w:t>
      </w:r>
    </w:p>
    <w:p>
      <w:pPr>
        <w:pStyle w:val="ListParagraph"/>
        <w:numPr>
          <w:ilvl w:val="0"/>
          <w:numId w:val="3"/>
        </w:numPr>
      </w:pPr>
      <w:r>
        <w:rPr>
          <w:rFonts w:ascii="Arial" w:cs="Arial" w:eastAsia="Arial" w:hAnsi="Arial"/>
          <w:sz w:val="22"/>
          <w:szCs w:val="22"/>
        </w:rPr>
        <w:t xml:space="preserve">LogisticRegression      1.000/0.786/0.308/0.700/0.698    1.000/0.333/0.333/0.500/0.542</w:t>
      </w:r>
    </w:p>
    <w:p>
      <w:pPr>
        <w:pStyle w:val="ListParagraph"/>
        <w:numPr>
          <w:ilvl w:val="0"/>
          <w:numId w:val="3"/>
        </w:numPr>
        <w:spacing w:after="200"/>
      </w:pPr>
      <w:r>
        <w:rPr>
          <w:rFonts w:ascii="Arial" w:cs="Arial" w:eastAsia="Arial" w:hAnsi="Arial"/>
          <w:sz w:val="22"/>
          <w:szCs w:val="22"/>
        </w:rPr>
        <w:t xml:space="preserve">VIS-NIR spectral region sufficient for basic discrimination: The CASI range covers chlorophyll absorption (670 nm), red edge (700–740 nm), and NIR plateau (750–1050 nm), which carry the primary vegetation type signal (Fassnacht et al. 2016).</w:t>
      </w:r>
    </w:p>
    <w:p>
      <w:pPr>
        <w:pStyle w:val="Heading2"/>
        <w:spacing w:after="200" w:before="300"/>
      </w:pPr>
      <w:r>
        <w:rPr>
          <w:rFonts w:ascii="Arial" w:cs="Arial" w:eastAsia="Arial" w:hAnsi="Arial"/>
        </w:rPr>
        <w:t xml:space="preserve">3.3 Diagnostic Checks</w:t>
      </w:r>
    </w:p>
    <w:p>
      <w:pPr>
        <w:spacing w:after="200" w:line="276"/>
      </w:pPr>
      <w:r>
        <w:rPr>
          <w:rFonts w:ascii="Arial" w:cs="Arial" w:eastAsia="Arial" w:hAnsi="Arial"/>
          <w:sz w:val="22"/>
          <w:szCs w:val="22"/>
        </w:rPr>
        <w:t xml:space="preserve">The pipeline includes automatic diagnostic checks run after every experiment:</w:t>
      </w:r>
    </w:p>
    <w:p>
      <w:pPr>
        <w:pStyle w:val="ListParagraph"/>
        <w:numPr>
          <w:ilvl w:val="0"/>
          <w:numId w:val="2"/>
        </w:numPr>
      </w:pPr>
      <w:r>
        <w:rPr>
          <w:rFonts w:ascii="Arial" w:cs="Arial" w:eastAsia="Arial" w:hAnsi="Arial"/>
          <w:sz w:val="22"/>
          <w:szCs w:val="22"/>
        </w:rPr>
        <w:t xml:space="preserve">Permutation test: Shuffles labels 100 times and re-runs classification. If real accuracy is not significantly higher than the permuted null (p &lt; 0.05), the model may not be learning meaningful patterns.</w:t>
      </w:r>
    </w:p>
    <w:p>
      <w:pPr>
        <w:pStyle w:val="ListParagraph"/>
        <w:numPr>
          <w:ilvl w:val="0"/>
          <w:numId w:val="2"/>
        </w:numPr>
      </w:pPr>
      <w:r>
        <w:rPr>
          <w:rFonts w:ascii="Arial" w:cs="Arial" w:eastAsia="Arial" w:hAnsi="Arial"/>
          <w:sz w:val="22"/>
          <w:szCs w:val="22"/>
        </w:rPr>
        <w:t xml:space="preserve">Shortcut pattern detection: Flags near-perfect accuracy (&gt;98%), high fold variance (std &gt; 0.3), zero-performance folds, and negative kappa values.</w:t>
      </w:r>
    </w:p>
    <w:p>
      <w:pPr>
        <w:pStyle w:val="ListParagraph"/>
        <w:numPr>
          <w:ilvl w:val="0"/>
          <w:numId w:val="2"/>
        </w:numPr>
        <w:spacing w:after="200"/>
      </w:pPr>
      <w:r>
        <w:rPr>
          <w:rFonts w:ascii="Arial" w:cs="Arial" w:eastAsia="Arial" w:hAnsi="Arial"/>
          <w:sz w:val="22"/>
          <w:szCs w:val="22"/>
        </w:rPr>
        <w:t xml:space="preserve">Feature–target correlation audit: Checks for suspiciously high Spearman correlations between individual features and labels, which may indicate metadata leakage.</w:t>
      </w:r>
    </w:p>
    <w:p>
      <w:r>
        <w:br w:type="page"/>
      </w:r>
    </w:p>
    <w:p>
      <w:pPr>
        <w:pStyle w:val="Heading1"/>
        <w:spacing w:after="200" w:before="300"/>
      </w:pPr>
      <w:r>
        <w:rPr>
          <w:rFonts w:ascii="Arial" w:cs="Arial" w:eastAsia="Arial" w:hAnsi="Arial"/>
        </w:rPr>
        <w:t xml:space="preserve">4. Discussion</w:t>
      </w:r>
    </w:p>
    <w:p>
      <w:pPr>
        <w:pStyle w:val="Heading2"/>
        <w:spacing w:after="200" w:before="300"/>
      </w:pPr>
      <w:r>
        <w:rPr>
          <w:rFonts w:ascii="Arial" w:cs="Arial" w:eastAsia="Arial" w:hAnsi="Arial"/>
        </w:rPr>
        <w:t xml:space="preserve">4.1 Known Limitations</w:t>
      </w:r>
    </w:p>
    <w:p>
      <w:pPr>
        <w:spacing w:after="200" w:line="276"/>
      </w:pPr>
      <w:r>
        <w:rPr>
          <w:rFonts w:ascii="Arial" w:cs="Arial" w:eastAsia="Arial" w:hAnsi="Arial"/>
          <w:b/>
          <w:bCs/>
          <w:sz w:val="22"/>
          <w:szCs w:val="22"/>
        </w:rPr>
        <w:t xml:space="preserve">Confounding of type with site. </w:t>
      </w:r>
      <w:r>
        <w:rPr>
          <w:rFonts w:ascii="Arial" w:cs="Arial" w:eastAsia="Arial" w:hAnsi="Arial"/>
          <w:sz w:val="22"/>
          <w:szCs w:val="22"/>
        </w:rPr>
        <w:t xml:space="preserve">With four sites, forest type is partially confounded with site identity. Bilý Kříž is 100% coniferous Norway spruce; Lanzhot is majority broadleaved. A model predicting “coniferous” from a Bilý Kříž spectrum may be learning site-specific atmospheric or phenological signals rather than universal spectral–type relationships.</w:t>
      </w:r>
    </w:p>
    <w:p>
      <w:pPr>
        <w:spacing w:after="200" w:line="276"/>
      </w:pPr>
      <w:r>
        <w:rPr>
          <w:rFonts w:ascii="Arial" w:cs="Arial" w:eastAsia="Arial" w:hAnsi="Arial"/>
          <w:b/>
          <w:bCs/>
          <w:sz w:val="22"/>
          <w:szCs w:val="22"/>
        </w:rPr>
        <w:t xml:space="preserve">Confounding of type with species. </w:t>
      </w:r>
      <w:r>
        <w:rPr>
          <w:rFonts w:ascii="Arial" w:cs="Arial" w:eastAsia="Arial" w:hAnsi="Arial"/>
          <w:sz w:val="22"/>
          <w:szCs w:val="22"/>
        </w:rPr>
        <w:t xml:space="preserve">At Hyytilä, forest type is almost entirely determined by the dominant tree species (Norway spruce and Scots pine for coniferous). The model may learn species-specific spectral signatures rather than a generalizable forest-type concept. Multi-site data is needed to disentangle this.</w:t>
      </w:r>
    </w:p>
    <w:p>
      <w:pPr>
        <w:spacing w:after="200" w:line="276"/>
      </w:pPr>
      <w:r>
        <w:rPr>
          <w:rFonts w:ascii="Arial" w:cs="Arial" w:eastAsia="Arial" w:hAnsi="Arial"/>
          <w:b/>
          <w:bCs/>
          <w:sz w:val="22"/>
          <w:szCs w:val="22"/>
        </w:rPr>
        <w:t xml:space="preserve">Small sample size. </w:t>
      </w:r>
      <w:r>
        <w:rPr>
          <w:rFonts w:ascii="Arial" w:cs="Arial" w:eastAsia="Arial" w:hAnsi="Arial"/>
          <w:sz w:val="22"/>
          <w:szCs w:val="22"/>
        </w:rPr>
        <w:t xml:space="preserve">Twenty-eight stands is a small sample for any supervised classifier. Leave-one-stand-out CV maximizes the training set per fold (n=27) but produces 28 test sets of size 1, leading to high-variance accuracy estimates. Classical ML baselines are preferred over deep learning due to this constraint.</w:t>
      </w:r>
    </w:p>
    <w:p>
      <w:pPr>
        <w:spacing w:after="200" w:line="276"/>
      </w:pPr>
      <w:r>
        <w:rPr>
          <w:rFonts w:ascii="Arial" w:cs="Arial" w:eastAsia="Arial" w:hAnsi="Arial"/>
          <w:b/>
          <w:bCs/>
          <w:sz w:val="22"/>
          <w:szCs w:val="22"/>
        </w:rPr>
        <w:t xml:space="preserve">Water vapor bands removed. </w:t>
      </w:r>
      <w:r>
        <w:rPr>
          <w:rFonts w:ascii="Arial" w:cs="Arial" w:eastAsia="Arial" w:hAnsi="Arial"/>
          <w:sz w:val="22"/>
          <w:szCs w:val="22"/>
        </w:rPr>
        <w:t xml:space="preserve">The excluded interpolated bands reduce the effective spectral range. For CASI-only analysis (382–1052 nm), approximately 7 of 45 bands fall in the 895–1003 nm absorption window and are dropped, leaving ~38 usable bands.</w:t>
      </w:r>
    </w:p>
    <w:p>
      <w:pPr>
        <w:pStyle w:val="Heading2"/>
        <w:spacing w:after="200" w:before="300"/>
      </w:pPr>
      <w:r>
        <w:rPr>
          <w:rFonts w:ascii="Arial" w:cs="Arial" w:eastAsia="Arial" w:hAnsi="Arial"/>
        </w:rPr>
        <w:t xml:space="preserve">4.2 Extrapolation to Full Dataset</w:t>
      </w:r>
    </w:p>
    <w:p>
      <w:pPr>
        <w:spacing w:after="200" w:line="276"/>
      </w:pPr>
      <w:r>
        <w:rPr>
          <w:rFonts w:ascii="Arial" w:cs="Arial" w:eastAsia="Arial" w:hAnsi="Arial"/>
          <w:sz w:val="22"/>
          <w:szCs w:val="22"/>
        </w:rPr>
        <w:t xml:space="preserve">Once the full four-site dataset is processed, the following improvements and additional analyses become possible:</w:t>
      </w:r>
    </w:p>
    <w:p>
      <w:pPr>
        <w:pStyle w:val="ListParagraph"/>
        <w:numPr>
          <w:ilvl w:val="0"/>
          <w:numId w:val="3"/>
        </w:numPr>
      </w:pPr>
      <w:r>
        <w:rPr>
          <w:rFonts w:ascii="Arial" w:cs="Arial" w:eastAsia="Arial" w:hAnsi="Arial"/>
          <w:sz w:val="22"/>
          <w:szCs w:val="22"/>
        </w:rPr>
        <w:t xml:space="preserve">Leave-One-Site-Out CV: The primary evaluation mode, testing generalization across biomes (boreal → temperate, hemiboreal → boreal, etc.).</w:t>
      </w:r>
    </w:p>
    <w:p>
      <w:pPr>
        <w:pStyle w:val="ListParagraph"/>
        <w:numPr>
          <w:ilvl w:val="0"/>
          <w:numId w:val="3"/>
        </w:numPr>
      </w:pPr>
      <w:r>
        <w:rPr>
          <w:rFonts w:ascii="Arial" w:cs="Arial" w:eastAsia="Arial" w:hAnsi="Arial"/>
          <w:sz w:val="22"/>
          <w:szCs w:val="22"/>
        </w:rPr>
        <w:t xml:space="preserve">Disentangling type from location: With four sites representing different biomes, it becomes possible to assess whether a model is learning forest-type spectral signatures or site-specific artifacts.</w:t>
      </w:r>
    </w:p>
    <w:p>
      <w:pPr>
        <w:pStyle w:val="ListParagraph"/>
        <w:numPr>
          <w:ilvl w:val="0"/>
          <w:numId w:val="3"/>
        </w:numPr>
      </w:pPr>
      <w:r>
        <w:rPr>
          <w:rFonts w:ascii="Arial" w:cs="Arial" w:eastAsia="Arial" w:hAnsi="Arial"/>
          <w:sz w:val="22"/>
          <w:szCs w:val="22"/>
        </w:rPr>
        <w:t xml:space="preserve">SWIR contribution: Adding SASI data (958–2443 nm) provides structural and biochemical information not available in VIS-NIR alone, potentially improving discrimination of broadleaved species.</w:t>
      </w:r>
    </w:p>
    <w:p>
      <w:pPr>
        <w:pStyle w:val="ListParagraph"/>
        <w:numPr>
          <w:ilvl w:val="0"/>
          <w:numId w:val="3"/>
        </w:numPr>
        <w:spacing w:after="200"/>
      </w:pPr>
      <w:r>
        <w:rPr>
          <w:rFonts w:ascii="Arial" w:cs="Arial" w:eastAsia="Arial" w:hAnsi="Arial"/>
          <w:sz w:val="22"/>
          <w:szCs w:val="22"/>
        </w:rPr>
        <w:t xml:space="preserve">Larger effective sample: 58 stands across 4 sites enables more robust model comparison and may support shallow deep learning architectures.</w:t>
      </w:r>
    </w:p>
    <w:p>
      <w:pPr>
        <w:pStyle w:val="Heading1"/>
        <w:spacing w:after="200" w:before="300"/>
      </w:pPr>
      <w:r>
        <w:rPr>
          <w:rFonts w:ascii="Arial" w:cs="Arial" w:eastAsia="Arial" w:hAnsi="Arial"/>
        </w:rPr>
        <w:t xml:space="preserve">5. Code Repository</w:t>
      </w:r>
    </w:p>
    <w:p>
      <w:pPr>
        <w:spacing w:after="200" w:line="276"/>
      </w:pPr>
      <w:r>
        <w:rPr>
          <w:rFonts w:ascii="Arial" w:cs="Arial" w:eastAsia="Arial" w:hAnsi="Arial"/>
          <w:sz w:val="22"/>
          <w:szCs w:val="22"/>
        </w:rPr>
        <w:t xml:space="preserve">The complete analysis pipeline is implemented as a modular Python package, designed for plug-and-play execution on the Windows laptop where the data resides. The repository is structured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Module</w:t>
            </w:r>
          </w:p>
        </w:tc>
        <w:tc>
          <w:tcPr>
            <w:tcW w:type="dxa" w:w="582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Contents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src/dataio/</w:t>
            </w:r>
          </w:p>
        </w:tc>
        <w:tc>
          <w:tcPr>
            <w:tcW w:type="dxa" w:w="58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Raster loading (ENVI/GeoTIFF), metadata, ALS DEMs, CV splits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src/preprocessing/</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Band selection, normalization (Standard/SNV/MinMax/CR), resampling, nodata masking</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src/features/</w:t>
            </w:r>
          </w:p>
        </w:tc>
        <w:tc>
          <w:tcPr>
            <w:tcW w:type="dxa" w:w="58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Stand-level summaries, spectral indices, PCA, spatial patches, ALS features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src/models/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Classical ML (LR, RF, SVM, GB, PLS-DA), 1D CNN, 3D spatial-spectral CNN</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src/evaluation/</w:t>
            </w:r>
          </w:p>
        </w:tc>
        <w:tc>
          <w:tcPr>
            <w:tcW w:type="dxa" w:w="58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Metrics, per-fold reporting, shortcut/leakage detection, permutation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src/experiments/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Orchestration runner (config → load → preprocess → classify → report)</w:t>
            </w:r>
          </w:p>
        </w:tc>
      </w:tr>
    </w:tbl>
    <w:p>
      <w:pPr>
        <w:spacing w:after="200" w:line="276"/>
      </w:pPr>
      <w:r>
        <w:rPr>
          <w:rFonts w:ascii="Arial" w:cs="Arial" w:eastAsia="Arial" w:hAnsi="Arial"/>
          <w:sz w:val="22"/>
          <w:szCs w:val="22"/>
        </w:rPr>
        <w:t xml:space="preserve"/>
      </w:r>
    </w:p>
    <w:p>
      <w:pPr>
        <w:spacing w:after="200" w:line="276"/>
      </w:pPr>
      <w:r>
        <w:rPr>
          <w:rFonts w:ascii="Arial" w:cs="Arial" w:eastAsia="Arial" w:hAnsi="Arial"/>
          <w:sz w:val="22"/>
          <w:szCs w:val="22"/>
        </w:rPr>
        <w:t xml:space="preserve">All experiments are driven by a single YAML configuration file. Running an experiment requires only: python scripts/run_baseline.py --config config/default.yaml</w:t>
      </w:r>
    </w:p>
    <w:p>
      <w:r>
        <w:br w:type="page"/>
      </w:r>
    </w:p>
    <w:p>
      <w:pPr>
        <w:pStyle w:val="Heading1"/>
        <w:spacing w:after="200" w:before="300"/>
      </w:pPr>
      <w:r>
        <w:rPr>
          <w:rFonts w:ascii="Arial" w:cs="Arial" w:eastAsia="Arial" w:hAnsi="Arial"/>
        </w:rPr>
        <w:t xml:space="preserve">6. Conclusions and Next Steps</w:t>
      </w:r>
    </w:p>
    <w:p>
      <w:pPr>
        <w:spacing w:after="200" w:line="276"/>
      </w:pPr>
      <w:r>
        <w:rPr>
          <w:rFonts w:ascii="Arial" w:cs="Arial" w:eastAsia="Arial" w:hAnsi="Arial"/>
          <w:sz w:val="22"/>
          <w:szCs w:val="22"/>
        </w:rPr>
        <w:t xml:space="preserve">This preliminary report establishes the methodological framework for airborne hyperspectral forest classification using the FREEDLES dataset. The pipeline is complete, validated against synthetic data, and ready for deployment on the actual Hyytilä tiles.</w:t>
      </w:r>
    </w:p>
    <w:p>
      <w:pPr>
        <w:spacing w:after="200" w:line="276"/>
      </w:pPr>
      <w:r>
        <w:rPr>
          <w:rFonts w:ascii="Arial" w:cs="Arial" w:eastAsia="Arial" w:hAnsi="Arial"/>
          <w:sz w:val="22"/>
          <w:szCs w:val="22"/>
        </w:rPr>
        <w:t xml:space="preserve">Key next steps:</w:t>
      </w:r>
    </w:p>
    <w:p>
      <w:pPr>
        <w:pStyle w:val="ListParagraph"/>
        <w:numPr>
          <w:ilvl w:val="0"/>
          <w:numId w:val="2"/>
        </w:numPr>
      </w:pPr>
      <w:r>
        <w:rPr>
          <w:rFonts w:ascii="Arial" w:cs="Arial" w:eastAsia="Arial" w:hAnsi="Arial"/>
          <w:sz w:val="22"/>
          <w:szCs w:val="22"/>
        </w:rPr>
        <w:t xml:space="preserve">Baseline experiment completed: All 58 CASI tiles across four sites loaded, metadata matched, and five classifiers run under LOSO-CV. Random Forest achieved best mean balanced accuracy (BA = 0.621, OA = 0.756).</w:t>
      </w:r>
    </w:p>
    <w:p>
      <w:pPr>
        <w:pStyle w:val="ListParagraph"/>
        <w:numPr>
          <w:ilvl w:val="0"/>
          <w:numId w:val="2"/>
        </w:numPr>
      </w:pPr>
      <w:r>
        <w:rPr>
          <w:rFonts w:ascii="Arial" w:cs="Arial" w:eastAsia="Arial" w:hAnsi="Arial"/>
          <w:sz w:val="22"/>
          <w:szCs w:val="22"/>
        </w:rPr>
        <w:t xml:space="preserve">Ablation experiments (P2–P4): Run PCA dimensionality reduction (5, 10, 20 components), normalization variants (SNV, MinMax), and spectral index features to determine which pre-processing choices most improve cross-site transfer.</w:t>
      </w:r>
    </w:p>
    <w:p>
      <w:pPr>
        <w:pStyle w:val="ListParagraph"/>
        <w:numPr>
          <w:ilvl w:val="0"/>
          <w:numId w:val="2"/>
        </w:numPr>
      </w:pPr>
      <w:r>
        <w:rPr>
          <w:rFonts w:ascii="Arial" w:cs="Arial" w:eastAsia="Arial" w:hAnsi="Arial"/>
          <w:sz w:val="22"/>
          <w:szCs w:val="22"/>
        </w:rPr>
        <w:t xml:space="preserve">Site classification shortcut test: Run site-identity classification (4-class) with the same features to quantify how much accuracy is attributable to site-specific spectral differences rather than forest-type signatures.</w:t>
      </w:r>
    </w:p>
    <w:p>
      <w:pPr>
        <w:pStyle w:val="ListParagraph"/>
        <w:numPr>
          <w:ilvl w:val="0"/>
          <w:numId w:val="2"/>
        </w:numPr>
        <w:spacing w:after="300"/>
      </w:pPr>
      <w:r>
        <w:rPr>
          <w:rFonts w:ascii="Arial" w:cs="Arial" w:eastAsia="Arial" w:hAnsi="Arial"/>
          <w:sz w:val="22"/>
          <w:szCs w:val="22"/>
        </w:rPr>
        <w:t xml:space="preserve">Write final report: Expand the discussion with actual results, statistical significance tests, and comparison to literature benchmarks.</w:t>
      </w:r>
    </w:p>
    <w:p>
      <w:pPr>
        <w:pStyle w:val="Heading1"/>
        <w:spacing w:after="200" w:before="300"/>
      </w:pPr>
      <w:r>
        <w:rPr>
          <w:rFonts w:ascii="Arial" w:cs="Arial" w:eastAsia="Arial" w:hAnsi="Arial"/>
        </w:rPr>
        <w:t xml:space="preserve">References</w:t>
      </w:r>
    </w:p>
    <w:p>
      <w:pPr>
        <w:spacing w:after="100" w:line="276"/>
      </w:pPr>
      <w:r>
        <w:rPr>
          <w:rFonts w:ascii="Arial" w:cs="Arial" w:eastAsia="Arial" w:hAnsi="Arial"/>
          <w:i/>
          <w:iCs/>
          <w:sz w:val="20"/>
          <w:szCs w:val="20"/>
        </w:rPr>
        <w:t xml:space="preserve">Fassnacht, F.E., Latifi, H., Stereńczak, K., et al. (2016). Review of studies on tree species classification from remotely sensed data. Remote Sensing of Environment, 186, 64–87.</w:t>
      </w:r>
    </w:p>
    <w:p>
      <w:pPr>
        <w:spacing w:after="100" w:line="276"/>
      </w:pPr>
      <w:r>
        <w:rPr>
          <w:rFonts w:ascii="Arial" w:cs="Arial" w:eastAsia="Arial" w:hAnsi="Arial"/>
          <w:i/>
          <w:iCs/>
          <w:sz w:val="20"/>
          <w:szCs w:val="20"/>
        </w:rPr>
        <w:t xml:space="preserve">Meyer, H., &amp; Pebesma, E. (2022). Machine learning-based global maps of ecological variables and the challenge of assessing them. Nature Communications, 13, 2208.</w:t>
      </w:r>
    </w:p>
    <w:p>
      <w:pPr>
        <w:spacing w:after="100" w:line="276"/>
      </w:pPr>
      <w:r>
        <w:rPr>
          <w:rFonts w:ascii="Arial" w:cs="Arial" w:eastAsia="Arial" w:hAnsi="Arial"/>
          <w:i/>
          <w:iCs/>
          <w:sz w:val="20"/>
          <w:szCs w:val="20"/>
        </w:rPr>
        <w:t xml:space="preserve">Paoletti, M.E., Haut, J.M., Plaza, J., &amp; Plaza, A. (2019). Deep learning classifiers for hyperspectral imaging: A review. ISPRS Journal of Photogrammetry and Remote Sensing, 158, 279–317.</w:t>
      </w:r>
    </w:p>
    <w:p>
      <w:pPr>
        <w:spacing w:after="100" w:line="276"/>
      </w:pPr>
      <w:r>
        <w:rPr>
          <w:rFonts w:ascii="Arial" w:cs="Arial" w:eastAsia="Arial" w:hAnsi="Arial"/>
          <w:i/>
          <w:iCs/>
          <w:sz w:val="20"/>
          <w:szCs w:val="20"/>
        </w:rPr>
        <w:t xml:space="preserve">Ploton, P., Mortier, F., Réjou-Méchain, M., et al. (2020). Spatial validation reveals poor predictive performance of large-scale ecological mapping models. Nature Communications, 11, 4540.</w:t>
      </w:r>
    </w:p>
    <w:p>
      <w:pPr>
        <w:spacing w:after="100" w:line="276"/>
      </w:pPr>
      <w:r>
        <w:rPr>
          <w:rFonts w:ascii="Arial" w:cs="Arial" w:eastAsia="Arial" w:hAnsi="Arial"/>
          <w:i/>
          <w:iCs/>
          <w:sz w:val="20"/>
          <w:szCs w:val="20"/>
        </w:rPr>
        <w:t xml:space="preserve">Rautiainen, M., Hovi, A., Schraik, D., et al. (2024). A spectral–structural characterization of European temperate, hemiboreal, and boreal forests. Earth System Science Data, 16, 5069–5098.</w:t>
      </w:r>
    </w:p>
    <w:p>
      <w:pPr>
        <w:spacing w:after="100" w:line="276"/>
      </w:pPr>
      <w:r>
        <w:rPr>
          <w:rFonts w:ascii="Arial" w:cs="Arial" w:eastAsia="Arial" w:hAnsi="Arial"/>
          <w:i/>
          <w:iCs/>
          <w:sz w:val="20"/>
          <w:szCs w:val="20"/>
        </w:rPr>
        <w:t xml:space="preserve">Roberts, D.R., Bahn, V., Ciuti, S., et al. (2017). Cross-validation strategies for data with temporal, spatial, hierarchical, or phylogenetic structure. Ecography, 40(8), 913–929.</w:t>
      </w:r>
    </w:p>
    <w:p>
      <w:pPr>
        <w:spacing w:after="100" w:line="276"/>
      </w:pPr>
      <w:r>
        <w:rPr>
          <w:rFonts w:ascii="Arial" w:cs="Arial" w:eastAsia="Arial" w:hAnsi="Arial"/>
          <w:i/>
          <w:iCs/>
          <w:sz w:val="20"/>
          <w:szCs w:val="20"/>
        </w:rPr>
        <w:t xml:space="preserve">Tuia, D., Persello, C., &amp; Bruzzone, L. (2016). Domain adaptation for the classification of remote sensing data: An overview of recent advances. IEEE Geoscience and Remote Sensing Magazine, 4(2), 41–57.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tabs>
        <w:tab w:val="right" w:pos="9026"/>
      </w:tabs>
    </w:pPr>
    <w:r>
      <w:rPr>
        <w:rFonts w:ascii="Arial" w:cs="Arial" w:eastAsia="Arial" w:hAnsi="Arial"/>
        <w:color w:val="888888"/>
        <w:sz w:val="18"/>
        <w:szCs w:val="18"/>
      </w:rPr>
      <w:t xml:space="preserve">Manan Aggarwal — EIT Digital Masters</w:t>
    </w:r>
    <w:r>
      <w:rPr>
        <w:rFonts w:ascii="Arial" w:cs="Arial" w:eastAsia="Arial" w:hAnsi="Arial"/>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spacing w:after="0"/>
    </w:pPr>
    <w:r>
      <w:rPr>
        <w:rFonts w:ascii="Arial" w:cs="Arial" w:eastAsia="Arial" w:hAnsi="Arial"/>
        <w:color w:val="888888"/>
        <w:sz w:val="18"/>
        <w:szCs w:val="18"/>
      </w:rPr>
      <w:t xml:space="preserve">Preliminary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2026-06-15T21:46:40.793Z</dcterms:created>
  <dcterms:modified xsi:type="dcterms:W3CDTF">2026-06-15T21:46:40.793Z</dcterms:modified>
</cp:coreProperties>
</file>

<file path=docProps/custom.xml><?xml version="1.0" encoding="utf-8"?>
<Properties xmlns="http://schemas.openxmlformats.org/officeDocument/2006/custom-properties" xmlns:vt="http://schemas.openxmlformats.org/officeDocument/2006/docPropsVTypes"/>
</file>