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relating_airborne_hyperspectral_s_8fbfe9"/>
      <w:r>
        <w:rPr>
          <w:rFonts w:eastAsia="source serif 4" w:cs="source serif 4" w:ascii="source serif 4" w:hAnsi="source serif 4"/>
          <w:b/>
          <w:color w:val="000000"/>
          <w:sz w:val="39"/>
        </w:rPr>
        <w:t xml:space="preserve">Relating Airborne Hyperspectral Spectra to Forest Location and Forest Type</w:t>
      </w:r>
      <w:bookmarkEnd w:id="0"/>
    </w:p>
    <w:p>
      <w:pPr>
        <w:spacing w:line="360" w:before="315" w:after="105" w:lineRule="auto"/>
        <w:ind w:left="-30"/>
        <w:jc w:val="left"/>
      </w:pPr>
      <w:bookmarkStart w:id="1" w:name="abstract"/>
      <w:r>
        <w:rPr>
          <w:rFonts w:eastAsia="source serif 4" w:cs="source serif 4" w:ascii="source serif 4" w:hAnsi="source serif 4"/>
          <w:b/>
          <w:color w:val="000000"/>
          <w:sz w:val="24"/>
        </w:rPr>
        <w:t xml:space="preserve">Abstract</w:t>
      </w:r>
      <w:bookmarkEnd w:id="1"/>
    </w:p>
    <w:p>
      <w:pPr>
        <w:spacing w:line="360" w:after="210" w:lineRule="auto"/>
      </w:pPr>
      <w:r>
        <w:rPr>
          <w:rFonts w:eastAsia="source serif 4" w:cs="source serif 4" w:ascii="source serif 4" w:hAnsi="source serif 4"/>
          <w:color w:val="000000"/>
        </w:rPr>
        <w:t xml:space="preserve">Accurately characterizing forest types and locations from remote sensing data is central to large-scale forest monitoring, biodiversity assessment, and carbon accounting. Airborne hyperspectral sensors such as CASI and SASI provide hundreds of contiguous spectral bands at sub-meter to meter spatial resolution, capturing subtle differences in canopy and understory properties that can be exploited for classification. This report investigates whether forest location and forest type can be recovered solely from airborne hyperspectral reflectance factors for European temperate, hemiboreal, and boreal forests, using a recent multi-scale spectral–structural dataset collected in Finland, Estonia, and the Czech Republic. Building on literature in tree-species mapping, forest-type classification, and hyperspectral image classification with deep learning, the work formulates a two-part problem: predicting site or plot identity (location recovery) and predicting forest type (forest-type recovery) from spectra alone under strict cross-site validation. Methods considered include classical spectral classifiers, spatial–spectral convolutional models, and domain-generalization approaches designed to handle site-specific spectral shifts.[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8][</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10][</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12][</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14][</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16][^17]</w:t>
      </w:r>
    </w:p>
    <w:p>
      <w:pPr>
        <w:spacing w:line="360" w:before="315" w:after="105" w:lineRule="auto"/>
        <w:ind w:left="-30"/>
        <w:jc w:val="left"/>
      </w:pPr>
      <w:bookmarkStart w:id="2" w:name="introduction"/>
      <w:r>
        <w:rPr>
          <w:rFonts w:eastAsia="source serif 4" w:cs="source serif 4" w:ascii="source serif 4" w:hAnsi="source serif 4"/>
          <w:b/>
          <w:color w:val="000000"/>
          <w:sz w:val="24"/>
        </w:rPr>
        <w:t xml:space="preserve">Introduction</w:t>
      </w:r>
      <w:bookmarkEnd w:id="2"/>
    </w:p>
    <w:p>
      <w:pPr>
        <w:spacing w:line="360" w:after="210" w:lineRule="auto"/>
      </w:pPr>
      <w:r>
        <w:rPr>
          <w:rFonts w:eastAsia="source serif 4" w:cs="source serif 4" w:ascii="source serif 4" w:hAnsi="source serif 4"/>
          <w:color w:val="000000"/>
        </w:rPr>
        <w:t xml:space="preserve">Hyperspectral imaging acquires a full reflectance spectrum for each image pixel, enabling fine-grained discrimination of vegetation types, biophysical parameters, and material properties. In forest ecosystems, hyperspectral data have been used to map tree species, estimate canopy structure, and characterize understory composition over large areas with higher thematic detail than traditional multispectral imagery. Airborne platforms carrying instruments such as CASI-1500 (visible to near-infrared) and SASI-600/1000 (shortwave infrared) can collect data with tens to more than a hundred spectral bands at spatial resolutions on the order of one meter, enabling analysis at the level of individual crowns or forest plots.[</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7][</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10][</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19][</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20][^21]</w:t>
      </w:r>
    </w:p>
    <w:p>
      <w:pPr>
        <w:spacing w:line="360" w:after="210" w:lineRule="auto"/>
      </w:pPr>
      <w:r>
        <w:rPr>
          <w:rFonts w:eastAsia="source serif 4" w:cs="source serif 4" w:ascii="source serif 4" w:hAnsi="source serif 4"/>
          <w:color w:val="000000"/>
        </w:rPr>
        <w:t xml:space="preserve">However, turning rich hyperspectral measurements into reusable models that generalize across forest sites and types remains challenging. Spectral signatures vary with species composition, canopy structure, understory, illumination geometry, atmospheric conditions, and sensor configuration, which can cause substantial domain shifts between sites or acquisition dates. Many existing studies focus on within-site performance, leaving open the question of whether models trained in one region can recover forest type or location information in another without site-specific retraining. The dataset considered here was explicitly designed to support radiative transfer modeling and multi-scale characterization of European temperate, hemiboreal, and boreal forests, making it well suited to address such questions about spectral separability across sites.[</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7][</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9][</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12][</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14][</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16][</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1][^18]</w:t>
      </w:r>
    </w:p>
    <w:p>
      <w:pPr>
        <w:spacing w:line="360" w:after="210" w:lineRule="auto"/>
      </w:pPr>
      <w:r>
        <w:rPr>
          <w:rFonts w:eastAsia="source serif 4" w:cs="source serif 4" w:ascii="source serif 4" w:hAnsi="source serif 4"/>
          <w:color w:val="000000"/>
        </w:rPr>
        <w:t xml:space="preserve">This report investigates whether airborne hyperspectral reflectance factors alone contain sufficient information to recover (i) forest location at the level of site or plot and (ii) forest type as defined by canopy composition and peatland or forest-inventory classifications. It also aims to document, in a scientific-paper style, a complete workflow from problem formulation and literature grounding to method selection, implementation design, and empirical evaluation strategy, using the ENVI and GeoTIFF products in the dataset.</w:t>
      </w:r>
    </w:p>
    <w:p>
      <w:pPr>
        <w:spacing w:line="360" w:before="315" w:after="105" w:lineRule="auto"/>
        <w:ind w:left="-30"/>
        <w:jc w:val="left"/>
      </w:pPr>
      <w:bookmarkStart w:id="3" w:name="motivation"/>
      <w:r>
        <w:rPr>
          <w:rFonts w:eastAsia="source serif 4" w:cs="source serif 4" w:ascii="source serif 4" w:hAnsi="source serif 4"/>
          <w:b/>
          <w:color w:val="000000"/>
          <w:sz w:val="24"/>
        </w:rPr>
        <w:t xml:space="preserve">Motivation</w:t>
      </w:r>
      <w:bookmarkEnd w:id="3"/>
    </w:p>
    <w:p>
      <w:pPr>
        <w:spacing w:line="360" w:after="210" w:lineRule="auto"/>
      </w:pPr>
      <w:r>
        <w:rPr>
          <w:rFonts w:eastAsia="source serif 4" w:cs="source serif 4" w:ascii="source serif 4" w:hAnsi="source serif 4"/>
          <w:color w:val="000000"/>
        </w:rPr>
        <w:t xml:space="preserve">Forest-type information underpins many ecological and management applications, including biodiversity conservation, timber resource assessment, and climate mitigation through carbon stock estimation. Traditional forest inventory methods rely on sparse ground plots that cannot easily capture fine-scale heterogeneity across large or remote areas. Airborne hyperspectral data offer a way to bridge this gap by providing wall-to-wall spectral measurements that are physically linked to canopy chemistry, leaf traits, and structure, allowing inference of species composition and functional types at landscape scales.[</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12][</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13][</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1][^18]</w:t>
      </w:r>
    </w:p>
    <w:p>
      <w:pPr>
        <w:spacing w:line="360" w:after="210" w:lineRule="auto"/>
      </w:pPr>
      <w:r>
        <w:rPr>
          <w:rFonts w:eastAsia="source serif 4" w:cs="source serif 4" w:ascii="source serif 4" w:hAnsi="source serif 4"/>
          <w:color w:val="000000"/>
        </w:rPr>
        <w:t xml:space="preserve">The dataset used in this work comprises multi-scale structural and spectral observations from 58 forest stands in Finland, Estonia, and the Czech Republic, including airborne hyperspectral flightlines, analysis-ready plot subsets, laser scanning data, and laboratory spectra of leaves, needles, and understory. Because the sites span temperate, hemiboreal, and boreal conditions and include varying peatland and mineral soil forest types, they provide a controlled testbed for asking whether airborne hyperspectral signatures can disentangle ecological variation from site-specific effects. From a methodological standpoint, this is also a natural setting to explore domain generalization and cross-domain classification, since the same forest types may exhibit different spectra under different illumination and structural contexts.[</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7][</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11][</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14][</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w:t>
      </w:r>
    </w:p>
    <w:p>
      <w:pPr>
        <w:spacing w:line="360" w:after="210" w:lineRule="auto"/>
      </w:pPr>
      <w:r>
        <w:rPr>
          <w:rFonts w:eastAsia="source serif 4" w:cs="source serif 4" w:ascii="source serif 4" w:hAnsi="source serif 4"/>
          <w:color w:val="000000"/>
        </w:rPr>
        <w:t xml:space="preserve">Being able to recover forest type from spectra alone, under strict cross-site validation, would support the use of airborne hyperspectral data as a reference for calibration and validation of satellite-based retrievals and radiative transfer models across biomes. Conversely, failure to generalize would highlight the need for joint use of structural data (e.g., airborne laser scanning) or local calibration, informing the design of future monitoring systems.[</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19][</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16][^1]</w:t>
      </w:r>
    </w:p>
    <w:p>
      <w:pPr>
        <w:spacing w:line="360" w:before="315" w:after="105" w:lineRule="auto"/>
        <w:ind w:left="-30"/>
        <w:jc w:val="left"/>
      </w:pPr>
      <w:bookmarkStart w:id="4" w:name="problem_statement"/>
      <w:r>
        <w:rPr>
          <w:rFonts w:eastAsia="source serif 4" w:cs="source serif 4" w:ascii="source serif 4" w:hAnsi="source serif 4"/>
          <w:b/>
          <w:color w:val="000000"/>
          <w:sz w:val="24"/>
        </w:rPr>
        <w:t xml:space="preserve">Problem Statement</w:t>
      </w:r>
      <w:bookmarkEnd w:id="4"/>
    </w:p>
    <w:p>
      <w:pPr>
        <w:spacing w:line="360" w:after="210" w:lineRule="auto"/>
      </w:pPr>
      <w:r>
        <w:rPr>
          <w:rFonts w:eastAsia="source serif 4" w:cs="source serif 4" w:ascii="source serif 4" w:hAnsi="source serif 4"/>
          <w:color w:val="000000"/>
        </w:rPr>
        <w:t xml:space="preserve">The overarching research question is: </w:t>
      </w:r>
      <w:r>
        <w:rPr>
          <w:rFonts w:eastAsia="source serif 4" w:cs="source serif 4" w:ascii="source serif 4" w:hAnsi="source serif 4"/>
          <w:b/>
          <w:color w:val="000000"/>
        </w:rPr>
        <w:t xml:space="preserve">Can forest location and forest type be recovered, or learned, from airborne hyperspectral spectra alone?</w:t>
      </w:r>
      <w:r>
        <w:rPr>
          <w:rFonts w:eastAsia="source serif 4" w:cs="source serif 4" w:ascii="source serif 4" w:hAnsi="source serif 4"/>
          <w:color w:val="000000"/>
        </w:rPr>
        <w:t xml:space="preserve"> Concretely, the work focuses on two related tasks:</w:t>
      </w:r>
    </w:p>
    <w:p>
      <w:pPr>
        <w:numPr>
          <w:ilvl w:val="0"/>
          <w:numId w:val="1"/>
        </w:numPr>
        <w:spacing w:line="360" w:before="105" w:after="105" w:lineRule="auto"/>
      </w:pPr>
      <w:r>
        <w:rPr>
          <w:rFonts w:eastAsia="source serif 4" w:cs="source serif 4" w:ascii="source serif 4" w:hAnsi="source serif 4"/>
          <w:b/>
          <w:color w:val="000000"/>
          <w:sz w:val="21"/>
        </w:rPr>
        <w:t xml:space="preserve">Location recovery</w:t>
      </w:r>
      <w:r>
        <w:rPr>
          <w:rFonts w:eastAsia="source serif 4" w:cs="source serif 4" w:ascii="source serif 4" w:hAnsi="source serif 4"/>
          <w:color w:val="000000"/>
          <w:sz w:val="21"/>
        </w:rPr>
        <w:t xml:space="preserve">: Given a hyperspectral reflectance vector or image patch derived from airborne CASI/SASI data, predict the corresponding forest site or plot without using explicit coordinates.</w:t>
      </w:r>
    </w:p>
    <w:p>
      <w:pPr>
        <w:numPr>
          <w:ilvl w:val="0"/>
          <w:numId w:val="1"/>
        </w:numPr>
        <w:spacing w:line="360" w:before="105" w:after="105" w:lineRule="auto"/>
      </w:pPr>
      <w:r>
        <w:rPr>
          <w:rFonts w:eastAsia="source serif 4" w:cs="source serif 4" w:ascii="source serif 4" w:hAnsi="source serif 4"/>
          <w:b/>
          <w:color w:val="000000"/>
          <w:sz w:val="21"/>
        </w:rPr>
        <w:t xml:space="preserve">Forest-type recovery</w:t>
      </w:r>
      <w:r>
        <w:rPr>
          <w:rFonts w:eastAsia="source serif 4" w:cs="source serif 4" w:ascii="source serif 4" w:hAnsi="source serif 4"/>
          <w:color w:val="000000"/>
          <w:sz w:val="21"/>
        </w:rPr>
        <w:t xml:space="preserve">: Given the same spectral inputs, predict forest-type labels (e.g., canopy species composition classes or peatland types) and evaluate performance under validation schemes that exclude entire sites or plots from training.</w:t>
      </w:r>
    </w:p>
    <w:p>
      <w:pPr>
        <w:spacing w:line="360" w:after="210" w:lineRule="auto"/>
      </w:pPr>
      <w:r>
        <w:rPr>
          <w:rFonts w:eastAsia="source serif 4" w:cs="source serif 4" w:ascii="source serif 4" w:hAnsi="source serif 4"/>
          <w:color w:val="000000"/>
        </w:rPr>
        <w:t xml:space="preserve">The dataset provides airborne hyperspectral data in two main forms.[^7]</w:t>
      </w:r>
    </w:p>
    <w:p>
      <w:pPr>
        <w:numPr>
          <w:ilvl w:val="0"/>
          <w:numId w:val="2"/>
        </w:numPr>
        <w:spacing w:line="360" w:before="105" w:after="105" w:lineRule="auto"/>
      </w:pPr>
      <w:r>
        <w:rPr>
          <w:rFonts w:eastAsia="source serif 4" w:cs="source serif 4" w:ascii="source serif 4" w:hAnsi="source serif 4"/>
          <w:b/>
          <w:color w:val="000000"/>
          <w:sz w:val="21"/>
        </w:rPr>
        <w:t xml:space="preserve">Flightlines</w:t>
      </w:r>
      <w:r>
        <w:rPr>
          <w:rFonts w:eastAsia="source serif 4" w:cs="source serif 4" w:ascii="source serif 4" w:hAnsi="source serif 4"/>
          <w:color w:val="000000"/>
          <w:sz w:val="21"/>
        </w:rPr>
        <w:t xml:space="preserve">: For each flightline, ENVI-standard </w:t>
      </w:r>
      <w:r>
        <w:rPr>
          <w:rStyle w:val="VerbatimChar"/>
          <w:rFonts w:eastAsia="menlo" w:cs="menlo" w:ascii="menlo" w:hAnsi="menlo"/>
          <w:color w:val="000000"/>
          <w:sz w:val="18"/>
          <w:shd w:val="clear" w:color="auto" w:fill="F8F8FA"/>
        </w:rPr>
        <w:t xml:space="preserve">.bsq</w:t>
      </w:r>
      <w:r>
        <w:rPr>
          <w:rFonts w:eastAsia="source serif 4" w:cs="source serif 4" w:ascii="source serif 4" w:hAnsi="source serif 4"/>
          <w:color w:val="000000"/>
          <w:sz w:val="21"/>
        </w:rPr>
        <w:t xml:space="preserve"> hyperspectral cubes and associated </w:t>
      </w:r>
      <w:r>
        <w:rPr>
          <w:rStyle w:val="VerbatimChar"/>
          <w:rFonts w:eastAsia="menlo" w:cs="menlo" w:ascii="menlo" w:hAnsi="menlo"/>
          <w:color w:val="000000"/>
          <w:sz w:val="18"/>
          <w:shd w:val="clear" w:color="auto" w:fill="F8F8FA"/>
        </w:rPr>
        <w:t xml:space="preserve">.hdr</w:t>
      </w:r>
      <w:r>
        <w:rPr>
          <w:rFonts w:eastAsia="source serif 4" w:cs="source serif 4" w:ascii="source serif 4" w:hAnsi="source serif 4"/>
          <w:color w:val="000000"/>
          <w:sz w:val="21"/>
        </w:rPr>
        <w:t xml:space="preserve"> header files are provided separately for the CASI-only configuration (approximately 48 bands at 0.5 m pixels) and the combined CASI+SASI configuration (approximately 140 bands at 1.25 m pixels, with the first 42 bands from CASI and the remaining 98 from SASI). The </w:t>
      </w:r>
      <w:r>
        <w:rPr>
          <w:rStyle w:val="VerbatimChar"/>
          <w:rFonts w:eastAsia="menlo" w:cs="menlo" w:ascii="menlo" w:hAnsi="menlo"/>
          <w:color w:val="000000"/>
          <w:sz w:val="18"/>
          <w:shd w:val="clear" w:color="auto" w:fill="F8F8FA"/>
        </w:rPr>
        <w:t xml:space="preserve">.hdr</w:t>
      </w:r>
      <w:r>
        <w:rPr>
          <w:rFonts w:eastAsia="source serif 4" w:cs="source serif 4" w:ascii="source serif 4" w:hAnsi="source serif 4"/>
          <w:color w:val="000000"/>
          <w:sz w:val="21"/>
        </w:rPr>
        <w:t xml:space="preserve"> files include central wavelengths and full-width-at-half-maximum for each band, as well as acquisition metadata, while the </w:t>
      </w:r>
      <w:r>
        <w:rPr>
          <w:rStyle w:val="VerbatimChar"/>
          <w:rFonts w:eastAsia="menlo" w:cs="menlo" w:ascii="menlo" w:hAnsi="menlo"/>
          <w:color w:val="000000"/>
          <w:sz w:val="18"/>
          <w:shd w:val="clear" w:color="auto" w:fill="F8F8FA"/>
        </w:rPr>
        <w:t xml:space="preserve">.bsq</w:t>
      </w:r>
      <w:r>
        <w:rPr>
          <w:rFonts w:eastAsia="source serif 4" w:cs="source serif 4" w:ascii="source serif 4" w:hAnsi="source serif 4"/>
          <w:color w:val="000000"/>
          <w:sz w:val="21"/>
        </w:rPr>
        <w:t xml:space="preserve"> files store 16-bit signed integer values that must be multiplied by 0.0001 to obtain hemispherical–directional reflectance factors.[</w:t>
      </w:r>
      <w:r>
        <w:rPr>
          <w:rFonts w:eastAsia="source serif 4" w:cs="source serif 4" w:ascii="source serif 4" w:hAnsi="source serif 4"/>
          <w:color w:val="000000"/>
          <w:sz w:val="21"/>
          <w:vertAlign w:val="superscript"/>
        </w:rPr>
        <w:t xml:space="preserve">19][</w:t>
      </w:r>
      <w:r>
        <w:rPr>
          <w:rFonts w:eastAsia="source serif 4" w:cs="source serif 4" w:ascii="source serif 4" w:hAnsi="source serif 4"/>
          <w:color w:val="000000"/>
          <w:sz w:val="21"/>
        </w:rPr>
        <w:t xml:space="preserve">20][^7]</w:t>
      </w:r>
    </w:p>
    <w:p>
      <w:pPr>
        <w:numPr>
          <w:ilvl w:val="0"/>
          <w:numId w:val="2"/>
        </w:numPr>
        <w:spacing w:line="360" w:before="105" w:after="105" w:lineRule="auto"/>
      </w:pPr>
      <w:r>
        <w:rPr>
          <w:rFonts w:eastAsia="source serif 4" w:cs="source serif 4" w:ascii="source serif 4" w:hAnsi="source serif 4"/>
          <w:b/>
          <w:color w:val="000000"/>
          <w:sz w:val="21"/>
        </w:rPr>
        <w:t xml:space="preserve">Analysis-ready subsets</w:t>
      </w:r>
      <w:r>
        <w:rPr>
          <w:rFonts w:eastAsia="source serif 4" w:cs="source serif 4" w:ascii="source serif 4" w:hAnsi="source serif 4"/>
          <w:color w:val="000000"/>
          <w:sz w:val="21"/>
        </w:rPr>
        <w:t xml:space="preserve">: For each forest plot, the data include 100 m by 100 m subsets of the airborne hyperspectral images in GeoTIFF (</w:t>
      </w:r>
      <w:r>
        <w:rPr>
          <w:rStyle w:val="VerbatimChar"/>
          <w:rFonts w:eastAsia="menlo" w:cs="menlo" w:ascii="menlo" w:hAnsi="menlo"/>
          <w:color w:val="000000"/>
          <w:sz w:val="18"/>
          <w:shd w:val="clear" w:color="auto" w:fill="F8F8FA"/>
        </w:rPr>
        <w:t xml:space="preserve">.tif</w:t>
      </w:r>
      <w:r>
        <w:rPr>
          <w:rFonts w:eastAsia="source serif 4" w:cs="source serif 4" w:ascii="source serif 4" w:hAnsi="source serif 4"/>
          <w:color w:val="000000"/>
          <w:sz w:val="21"/>
        </w:rPr>
        <w:t xml:space="preserve">) format, again for CASI and combined CS products. These subsets are orthorectified and clipped around the plot centers, using the same scaling and no-data conventions as the original flightlines.[</w:t>
      </w:r>
      <w:r>
        <w:rPr>
          <w:rFonts w:eastAsia="source serif 4" w:cs="source serif 4" w:ascii="source serif 4" w:hAnsi="source serif 4"/>
          <w:color w:val="000000"/>
          <w:sz w:val="21"/>
          <w:vertAlign w:val="superscript"/>
        </w:rPr>
        <w:t xml:space="preserve">16][</w:t>
      </w:r>
      <w:r>
        <w:rPr>
          <w:rFonts w:eastAsia="source serif 4" w:cs="source serif 4" w:ascii="source serif 4" w:hAnsi="source serif 4"/>
          <w:color w:val="000000"/>
          <w:sz w:val="21"/>
        </w:rPr>
        <w:t xml:space="preserve">7]</w:t>
      </w:r>
    </w:p>
    <w:p>
      <w:pPr>
        <w:spacing w:line="360" w:after="210" w:lineRule="auto"/>
      </w:pPr>
      <w:r>
        <w:rPr>
          <w:rFonts w:eastAsia="source serif 4" w:cs="source serif 4" w:ascii="source serif 4" w:hAnsi="source serif 4"/>
          <w:color w:val="000000"/>
        </w:rPr>
        <w:t xml:space="preserve">Metadata tables link plots to flightlines and provide information about site, acquisition time, solar and view geometry, cloud quality flags, and coverage extent, enabling grouping by site and assessing potential confounding factors. Forest-type labels and detailed structural information are available in the accompanying laboratory and field dataset, which includes forest inventory data, canopy structure metrics, and understory spectral measurements.[</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7][</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16]</w:t>
      </w:r>
    </w:p>
    <w:p>
      <w:pPr>
        <w:spacing w:line="360" w:after="210" w:lineRule="auto"/>
      </w:pPr>
      <w:r>
        <w:rPr>
          <w:rFonts w:eastAsia="source serif 4" w:cs="source serif 4" w:ascii="source serif 4" w:hAnsi="source serif 4"/>
          <w:color w:val="000000"/>
        </w:rPr>
        <w:t xml:space="preserve">The specific objectives are therefore:</w:t>
      </w:r>
    </w:p>
    <w:p>
      <w:pPr>
        <w:numPr>
          <w:ilvl w:val="0"/>
          <w:numId w:val="3"/>
        </w:numPr>
        <w:spacing w:line="360" w:before="105" w:after="105" w:lineRule="auto"/>
      </w:pPr>
      <w:r>
        <w:rPr>
          <w:rFonts w:eastAsia="source serif 4" w:cs="source serif 4" w:ascii="source serif 4" w:hAnsi="source serif 4"/>
          <w:color w:val="000000"/>
          <w:sz w:val="21"/>
        </w:rPr>
        <w:t xml:space="preserve">To design spectral features and models that can classify location (site/plot) and forest type from hyperspectral data at plot or pixel level.</w:t>
      </w:r>
    </w:p>
    <w:p>
      <w:pPr>
        <w:numPr>
          <w:ilvl w:val="0"/>
          <w:numId w:val="3"/>
        </w:numPr>
        <w:spacing w:line="360" w:before="105" w:after="105" w:lineRule="auto"/>
      </w:pPr>
      <w:r>
        <w:rPr>
          <w:rFonts w:eastAsia="source serif 4" w:cs="source serif 4" w:ascii="source serif 4" w:hAnsi="source serif 4"/>
          <w:color w:val="000000"/>
          <w:sz w:val="21"/>
        </w:rPr>
        <w:t xml:space="preserve">To quantify generalization performance using GroupKFold and leave-one-site-out validation, thereby testing whether models learn site-specific signatures or transferable ecological patterns.[</w:t>
      </w:r>
      <w:r>
        <w:rPr>
          <w:rFonts w:eastAsia="source serif 4" w:cs="source serif 4" w:ascii="source serif 4" w:hAnsi="source serif 4"/>
          <w:color w:val="000000"/>
          <w:sz w:val="21"/>
          <w:vertAlign w:val="superscript"/>
        </w:rPr>
        <w:t xml:space="preserve">11][</w:t>
      </w:r>
      <w:r>
        <w:rPr>
          <w:rFonts w:eastAsia="source serif 4" w:cs="source serif 4" w:ascii="source serif 4" w:hAnsi="source serif 4"/>
          <w:color w:val="000000"/>
          <w:sz w:val="21"/>
        </w:rPr>
        <w:t xml:space="preserve">14][^17]</w:t>
      </w:r>
    </w:p>
    <w:p>
      <w:pPr>
        <w:numPr>
          <w:ilvl w:val="0"/>
          <w:numId w:val="3"/>
        </w:numPr>
        <w:spacing w:line="360" w:before="105" w:after="105" w:lineRule="auto"/>
      </w:pPr>
      <w:r>
        <w:rPr>
          <w:rFonts w:eastAsia="source serif 4" w:cs="source serif 4" w:ascii="source serif 4" w:hAnsi="source serif 4"/>
          <w:color w:val="000000"/>
          <w:sz w:val="21"/>
        </w:rPr>
        <w:t xml:space="preserve">To document all choices in preprocessing, feature engineering, model architecture, and evaluation, with justification from existing literature on hyperspectral forest mapping and domain adaptation.</w:t>
      </w:r>
    </w:p>
    <w:p>
      <w:pPr>
        <w:spacing w:line="360" w:before="315" w:after="105" w:lineRule="auto"/>
        <w:ind w:left="-30"/>
        <w:jc w:val="left"/>
      </w:pPr>
      <w:bookmarkStart w:id="5" w:name="related_work"/>
      <w:r>
        <w:rPr>
          <w:rFonts w:eastAsia="source serif 4" w:cs="source serif 4" w:ascii="source serif 4" w:hAnsi="source serif 4"/>
          <w:b/>
          <w:color w:val="000000"/>
          <w:sz w:val="24"/>
        </w:rPr>
        <w:t xml:space="preserve">Related Work</w:t>
      </w:r>
      <w:bookmarkEnd w:id="5"/>
    </w:p>
    <w:p>
      <w:pPr>
        <w:spacing w:line="360" w:before="315" w:after="105" w:lineRule="auto"/>
        <w:ind w:left="-30"/>
        <w:jc w:val="left"/>
      </w:pPr>
      <w:bookmarkStart w:id="6" w:name="hyperspectral_imaging_and_forest_98cb33"/>
      <w:r>
        <w:rPr>
          <w:rFonts w:eastAsia="source serif 4" w:cs="source serif 4" w:ascii="source serif 4" w:hAnsi="source serif 4"/>
          <w:b/>
          <w:color w:val="000000"/>
          <w:sz w:val="24"/>
        </w:rPr>
        <w:t xml:space="preserve">Hyperspectral Imaging and Forest Remote Sensing</w:t>
      </w:r>
      <w:bookmarkEnd w:id="6"/>
    </w:p>
    <w:p>
      <w:pPr>
        <w:spacing w:line="360" w:after="210" w:lineRule="auto"/>
      </w:pPr>
      <w:r>
        <w:rPr>
          <w:rFonts w:eastAsia="source serif 4" w:cs="source serif 4" w:ascii="source serif 4" w:hAnsi="source serif 4"/>
          <w:color w:val="000000"/>
        </w:rPr>
        <w:t xml:space="preserve">Hyperspectral imaging has been widely applied in vegetation and forest remote sensing because it captures dense spectral information that aligns with physical absorption features of chlorophylls, pigments, water, and structural constituents. Reviews of hyperspectral image classification emphasize its ability to improve discrimination of plant species and functional types compared to broadband sensors, especially when combined with appropriate band selection or dimensionality reduction. A recent systematic review of multispectral and hyperspectral imaging for tree-species detection summarizes processing steps and classification performance across multiple forest types and sensor configurations, confirming that hyperspectral data generally improve separability compared to multispectral sensors.[</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6][</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13][</w:t>
      </w:r>
      <w:r>
        <w:rPr>
          <w:rFonts w:eastAsia="source serif 4" w:cs="source serif 4" w:ascii="source serif 4" w:hAnsi="source serif 4"/>
          <w:color w:val="000000"/>
          <w:vertAlign w:val="superscript"/>
        </w:rPr>
        <w:t xml:space="preserve">21][</w:t>
      </w:r>
      <w:r>
        <w:rPr>
          <w:rFonts w:eastAsia="source serif 4" w:cs="source serif 4" w:ascii="source serif 4" w:hAnsi="source serif 4"/>
          <w:color w:val="000000"/>
        </w:rPr>
        <w:t xml:space="preserve">2][^18]</w:t>
      </w:r>
    </w:p>
    <w:p>
      <w:pPr>
        <w:spacing w:line="360" w:after="210" w:lineRule="auto"/>
      </w:pPr>
      <w:r>
        <w:rPr>
          <w:rFonts w:eastAsia="source serif 4" w:cs="source serif 4" w:ascii="source serif 4" w:hAnsi="source serif 4"/>
          <w:color w:val="000000"/>
        </w:rPr>
        <w:t xml:space="preserve">In boreal and temperate forests, airborne hyperspectral data from CASI and SASI systems have been used to map tree species composition, estimate forest-floor lichen cover, and characterize understory reflectance over study sites similar to those considered here. For example, a large-area inventory study in Fennoscandian forests combined airborne laser scanning with hyperspectral metrics to estimate tree-species composition and found that hyperspectral information improved species discrimination when integrated with structural metrics. Another study estimated boreal forest-floor lichen cover using airborne hyperspectral data and demonstrated that visible–NIR and shortwave infrared bands together provided the best performance for lichen cover estimation.[</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19][^16]</w:t>
      </w:r>
    </w:p>
    <w:p>
      <w:pPr>
        <w:spacing w:line="360" w:before="315" w:after="105" w:lineRule="auto"/>
        <w:ind w:left="-30"/>
        <w:jc w:val="left"/>
      </w:pPr>
      <w:bookmarkStart w:id="7" w:name="tree_species_and_forest_type_clas_9dbd32"/>
      <w:r>
        <w:rPr>
          <w:rFonts w:eastAsia="source serif 4" w:cs="source serif 4" w:ascii="source serif 4" w:hAnsi="source serif 4"/>
          <w:b/>
          <w:color w:val="000000"/>
          <w:sz w:val="24"/>
        </w:rPr>
        <w:t xml:space="preserve">Tree-Species and Forest-Type Classification</w:t>
      </w:r>
      <w:bookmarkEnd w:id="7"/>
    </w:p>
    <w:p>
      <w:pPr>
        <w:spacing w:line="360" w:after="210" w:lineRule="auto"/>
      </w:pPr>
      <w:r>
        <w:rPr>
          <w:rFonts w:eastAsia="source serif 4" w:cs="source serif 4" w:ascii="source serif 4" w:hAnsi="source serif 4"/>
          <w:color w:val="000000"/>
        </w:rPr>
        <w:t xml:space="preserve">Tree-species classification from airborne hyperspectral and LiDAR data has been an active topic in the last decade. One line of work compares traditional machine-learning classifiers such as random forests, support vector machines, and gradient boosting machines with deep learning models that exploit spatial–spectral information directly. For instance, a study focusing on Scots pine, Norway spruce, birch, and European aspen compared three-dimensional convolutional neural networks with SVM, random forest, gradient boosting, and shallow neural networks for classifying individual tree crowns from hyperspectral data, showing that 3D CNNs can outperform classical methods when trained on sufficient data and carefully regularized.[</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12][^8]</w:t>
      </w:r>
    </w:p>
    <w:p>
      <w:pPr>
        <w:spacing w:line="360" w:after="210" w:lineRule="auto"/>
      </w:pPr>
      <w:r>
        <w:rPr>
          <w:rFonts w:eastAsia="source serif 4" w:cs="source serif 4" w:ascii="source serif 4" w:hAnsi="source serif 4"/>
          <w:color w:val="000000"/>
        </w:rPr>
        <w:t xml:space="preserve">Forest-type classification is closely related but targets broader categories such as FIA-defined forest types or canopy dominance classes, sometimes aggregating multiple tree species into functional or management-relevant units. A study in interior Alaska used airborne hyperspectral and LiDAR data to classify US Forest Service Forest Inventory and Analysis (FIA) forest types by testing five classification algorithms and multiple combinations of raw hyperspectral bands, vegetation indices, canopy height-model metrics, and digital terrain metrics. That study found that random forest using a combination of hyperspectral vegetation indices and LiDAR-derived structural metrics achieved the highest accuracy and kappa, while hyperspectral bands alone performed moderately but lower than structural metrics, highlighting the complementary value of structure and spectra for forest-type mapping.[^15]</w:t>
      </w:r>
    </w:p>
    <w:p>
      <w:pPr>
        <w:spacing w:line="360" w:after="210" w:lineRule="auto"/>
      </w:pPr>
      <w:r>
        <w:rPr>
          <w:rFonts w:eastAsia="source serif 4" w:cs="source serif 4" w:ascii="source serif 4" w:hAnsi="source serif 4"/>
          <w:color w:val="000000"/>
        </w:rPr>
        <w:t xml:space="preserve">More recently, a deep-learning model based on hyperspectral imagery has been proposed for forest-type identification and regeneration monitoring, demonstrating that convolutional architectures can capture both spectral and spatial patterns relevant to forest-type changes over time. This adds to evidence that deep learning is competitive or superior to traditional classifiers when sufficient training data and appropriate regularization are available, but it also reinforces the need to address overfitting and domain shift.[^1]</w:t>
      </w:r>
    </w:p>
    <w:p>
      <w:pPr>
        <w:spacing w:line="360" w:before="315" w:after="105" w:lineRule="auto"/>
        <w:ind w:left="-30"/>
        <w:jc w:val="left"/>
      </w:pPr>
      <w:bookmarkStart w:id="8" w:name="deep_learning_and_sota_hyperspect_795163"/>
      <w:r>
        <w:rPr>
          <w:rFonts w:eastAsia="source serif 4" w:cs="source serif 4" w:ascii="source serif 4" w:hAnsi="source serif 4"/>
          <w:b/>
          <w:color w:val="000000"/>
          <w:sz w:val="24"/>
        </w:rPr>
        <w:t xml:space="preserve">Deep Learning and SOTA Hyperspectral Image Classification</w:t>
      </w:r>
      <w:bookmarkEnd w:id="8"/>
    </w:p>
    <w:p>
      <w:pPr>
        <w:spacing w:line="360" w:after="210" w:lineRule="auto"/>
      </w:pPr>
      <w:r>
        <w:rPr>
          <w:rFonts w:eastAsia="source serif 4" w:cs="source serif 4" w:ascii="source serif 4" w:hAnsi="source serif 4"/>
          <w:color w:val="000000"/>
        </w:rPr>
        <w:t xml:space="preserve">Several surveys now provide a state-of-the-art overview of deep-learning methods for hyperspectral image classification. An influential 2019 overview article in IEEE Transactions on Geoscience and Remote Sensing categorized hyperspectral deep-learning architectures into spectral, spatial, and spectral–spatial networks, and highlighted key challenges such as high dimensionality, limited labeled samples, and domain shift. More recent comprehensive surveys from 2022 and 2024 revisit these themes, summarizing convolutional, recurrent, transformer-based, and hybrid architectures, and outlining strategies such as data augmentation, semi-supervised learning, and transfer learning to mitigate small-sample issues.[</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p>
    <w:p>
      <w:pPr>
        <w:spacing w:line="360" w:after="210" w:lineRule="auto"/>
      </w:pPr>
      <w:r>
        <w:rPr>
          <w:rFonts w:eastAsia="source serif 4" w:cs="source serif 4" w:ascii="source serif 4" w:hAnsi="source serif 4"/>
          <w:color w:val="000000"/>
        </w:rPr>
        <w:t xml:space="preserve">These surveys also emphasize that SOTA performance typically comes from models that jointly exploit spatial and spectral information—such as 3D CNNs or spectral–spatial attention networks—rather than purely spectral classifiers. At the same time, they note that classical machine-learning approaches combined with feature extraction or feature selection, including PCA, kernel methods, and joint spectral–spatial feature extraction, can still be competitive on some benchmarks and are often simpler to train and interpret.[</w:t>
      </w:r>
      <w:r>
        <w:rPr>
          <w:rFonts w:eastAsia="source serif 4" w:cs="source serif 4" w:ascii="source serif 4" w:hAnsi="source serif 4"/>
          <w:color w:val="000000"/>
          <w:vertAlign w:val="superscript"/>
        </w:rPr>
        <w:t xml:space="preserve">23][</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5][^6]</w:t>
      </w:r>
    </w:p>
    <w:p>
      <w:pPr>
        <w:spacing w:line="360" w:before="315" w:after="105" w:lineRule="auto"/>
        <w:ind w:left="-30"/>
        <w:jc w:val="left"/>
      </w:pPr>
      <w:bookmarkStart w:id="9" w:name="domain_adaptation_and_generalizat_b96214"/>
      <w:r>
        <w:rPr>
          <w:rFonts w:eastAsia="source serif 4" w:cs="source serif 4" w:ascii="source serif 4" w:hAnsi="source serif 4"/>
          <w:b/>
          <w:color w:val="000000"/>
          <w:sz w:val="24"/>
        </w:rPr>
        <w:t xml:space="preserve">Domain Adaptation and Generalization in Hyperspectral Classification</w:t>
      </w:r>
      <w:bookmarkEnd w:id="9"/>
    </w:p>
    <w:p>
      <w:pPr>
        <w:spacing w:line="360" w:after="210" w:lineRule="auto"/>
      </w:pPr>
      <w:r>
        <w:rPr>
          <w:rFonts w:eastAsia="source serif 4" w:cs="source serif 4" w:ascii="source serif 4" w:hAnsi="source serif 4"/>
          <w:color w:val="000000"/>
        </w:rPr>
        <w:t xml:space="preserve">A recurring challenge in hyperspectral classification is domain shift between training and deployment scenes. Spectral responses of the same land-cover classes can differ substantially between images due to illumination differences, atmospheric conditions, phenology, sensor calibration, and background effects. Domain-adaptation methods attempt to transfer models across scenes by aligning feature distributions, for example by using transfer component analysis (TCA) embeddings combined with ensemble learning or random forests. More recent work on cross-domain hyperspectral image classification uses bi-directional domain adaptation and adversarial training to disentangle domain-invariant and domain-specific features, improving transfer performance between sensors or acquisition conditions.[</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17][</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11]</w:t>
      </w:r>
    </w:p>
    <w:p>
      <w:pPr>
        <w:spacing w:line="360" w:after="210" w:lineRule="auto"/>
      </w:pPr>
      <w:r>
        <w:rPr>
          <w:rFonts w:eastAsia="source serif 4" w:cs="source serif 4" w:ascii="source serif 4" w:hAnsi="source serif 4"/>
          <w:color w:val="000000"/>
        </w:rPr>
        <w:t xml:space="preserve">Beyond hyperspectral data, domain-generalization frameworks in aerial and forest-health monitoring settings use deep models with dual feature extractors and adversarial losses to encourage domain-invariant representations across sites, seasons, and meteorological conditions, evaluated with leave-one-site-out validation. These ideas are directly relevant to the present study, in which each forest site can be considered a domain with its own spectral characteristics.[^17]</w:t>
      </w:r>
    </w:p>
    <w:p>
      <w:pPr>
        <w:spacing w:line="360" w:before="315" w:after="105" w:lineRule="auto"/>
        <w:ind w:left="-30"/>
        <w:jc w:val="left"/>
      </w:pPr>
      <w:bookmarkStart w:id="10" w:name="multi_scale_forest_spectral_struc_7217a4"/>
      <w:r>
        <w:rPr>
          <w:rFonts w:eastAsia="source serif 4" w:cs="source serif 4" w:ascii="source serif 4" w:hAnsi="source serif 4"/>
          <w:b/>
          <w:color w:val="000000"/>
          <w:sz w:val="24"/>
        </w:rPr>
        <w:t xml:space="preserve">Multi-Scale Forest Spectral–Structural Datasets</w:t>
      </w:r>
      <w:bookmarkEnd w:id="10"/>
    </w:p>
    <w:p>
      <w:pPr>
        <w:spacing w:line="360" w:after="210" w:lineRule="auto"/>
      </w:pPr>
      <w:r>
        <w:rPr>
          <w:rFonts w:eastAsia="source serif 4" w:cs="source serif 4" w:ascii="source serif 4" w:hAnsi="source serif 4"/>
          <w:color w:val="000000"/>
        </w:rPr>
        <w:t xml:space="preserve">The spectral–structural forest dataset used here is described in a recent data paper that presents multi-scale structural and spectral observations for 58 stands in European temperate, hemiboreal, and boreal forests. The dataset includes detailed forest inventory data, terrestrial and airborne laser scanning, digital hemispherical photography, and spectral measurements from laboratory and field setups. The airborne component comprises CASI and SASI hyperspectral imagery and corresponding airborne laser scanning over four study sites: Hyytiälä and Järvselja in northern Europe, and Lanžhot and Bílý Kˇríž in the Czech Republic.[</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9][^16]</w:t>
      </w:r>
    </w:p>
    <w:p>
      <w:pPr>
        <w:spacing w:line="360" w:after="210" w:lineRule="auto"/>
      </w:pPr>
      <w:r>
        <w:rPr>
          <w:rFonts w:eastAsia="source serif 4" w:cs="source serif 4" w:ascii="source serif 4" w:hAnsi="source serif 4"/>
          <w:color w:val="000000"/>
        </w:rPr>
        <w:t xml:space="preserve">Importantly, the airborne dataset is organized in a way that supports radiative transfer modeling and remote-sensing method development. Flightlines are provided as ENVI </w:t>
      </w:r>
      <w:r>
        <w:rPr>
          <w:rStyle w:val="VerbatimChar"/>
          <w:rFonts w:eastAsia="menlo" w:cs="menlo" w:ascii="menlo" w:hAnsi="menlo"/>
          <w:color w:val="000000"/>
          <w:sz w:val="18"/>
          <w:shd w:val="clear" w:color="auto" w:fill="F8F8FA"/>
        </w:rPr>
        <w:t xml:space="preserve">.bsq</w:t>
      </w:r>
      <w:r>
        <w:rPr>
          <w:rFonts w:eastAsia="source serif 4" w:cs="source serif 4" w:ascii="source serif 4" w:hAnsi="source serif 4"/>
          <w:color w:val="000000"/>
        </w:rPr>
        <w:t xml:space="preserve"> cubes with </w:t>
      </w:r>
      <w:r>
        <w:rPr>
          <w:rStyle w:val="VerbatimChar"/>
          <w:rFonts w:eastAsia="menlo" w:cs="menlo" w:ascii="menlo" w:hAnsi="menlo"/>
          <w:color w:val="000000"/>
          <w:sz w:val="18"/>
          <w:shd w:val="clear" w:color="auto" w:fill="F8F8FA"/>
        </w:rPr>
        <w:t xml:space="preserve">.hdr</w:t>
      </w:r>
      <w:r>
        <w:rPr>
          <w:rFonts w:eastAsia="source serif 4" w:cs="source serif 4" w:ascii="source serif 4" w:hAnsi="source serif 4"/>
          <w:color w:val="000000"/>
        </w:rPr>
        <w:t xml:space="preserve"> metadata, while analysis-ready subsets are supplied as 100 m by 100 m GeoTIFF tiles centered on forest plots, accompanied by metadata tables for plots and flightlines. Related datasets provide understory reflectance spectra and canopy structural metrics at overlapping sites, enabling multi-scale linking between leaf-level and stand-level spectra. This integrated design aligns with the objective of understanding how forest type and structure manifest in airborne spectra and provides the basis for the present study.[</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16][^7]</w:t>
      </w:r>
    </w:p>
    <w:p>
      <w:pPr>
        <w:spacing w:line="360" w:before="315" w:after="105" w:lineRule="auto"/>
        <w:ind w:left="-30"/>
        <w:jc w:val="left"/>
      </w:pPr>
      <w:bookmarkStart w:id="11" w:name="proposed_solution"/>
      <w:r>
        <w:rPr>
          <w:rFonts w:eastAsia="source serif 4" w:cs="source serif 4" w:ascii="source serif 4" w:hAnsi="source serif 4"/>
          <w:b/>
          <w:color w:val="000000"/>
          <w:sz w:val="24"/>
        </w:rPr>
        <w:t xml:space="preserve">Proposed Solution</w:t>
      </w:r>
      <w:bookmarkEnd w:id="11"/>
    </w:p>
    <w:p>
      <w:pPr>
        <w:spacing w:line="360" w:before="315" w:after="105" w:lineRule="auto"/>
        <w:ind w:left="-30"/>
        <w:jc w:val="left"/>
      </w:pPr>
      <w:bookmarkStart w:id="12" w:name="overall_approach"/>
      <w:r>
        <w:rPr>
          <w:rFonts w:eastAsia="source serif 4" w:cs="source serif 4" w:ascii="source serif 4" w:hAnsi="source serif 4"/>
          <w:b/>
          <w:color w:val="000000"/>
          <w:sz w:val="24"/>
        </w:rPr>
        <w:t xml:space="preserve">Overall Approach</w:t>
      </w:r>
      <w:bookmarkEnd w:id="12"/>
    </w:p>
    <w:p>
      <w:pPr>
        <w:spacing w:line="360" w:after="210" w:lineRule="auto"/>
      </w:pPr>
      <w:r>
        <w:rPr>
          <w:rFonts w:eastAsia="source serif 4" w:cs="source serif 4" w:ascii="source serif 4" w:hAnsi="source serif 4"/>
          <w:color w:val="000000"/>
        </w:rPr>
        <w:t xml:space="preserve">The proposed solution is a two-stage modeling framework that directly leverages the ENVI flightline files (</w:t>
      </w:r>
      <w:r>
        <w:rPr>
          <w:rStyle w:val="VerbatimChar"/>
          <w:rFonts w:eastAsia="menlo" w:cs="menlo" w:ascii="menlo" w:hAnsi="menlo"/>
          <w:color w:val="000000"/>
          <w:sz w:val="18"/>
          <w:shd w:val="clear" w:color="auto" w:fill="F8F8FA"/>
        </w:rPr>
        <w:t xml:space="preserve">.bsq</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.hdr</w:t>
      </w:r>
      <w:r>
        <w:rPr>
          <w:rFonts w:eastAsia="source serif 4" w:cs="source serif 4" w:ascii="source serif 4" w:hAnsi="source serif 4"/>
          <w:color w:val="000000"/>
        </w:rPr>
        <w:t xml:space="preserve">) and the analysis-ready GeoTIFF subsets (</w:t>
      </w:r>
      <w:r>
        <w:rPr>
          <w:rStyle w:val="VerbatimChar"/>
          <w:rFonts w:eastAsia="menlo" w:cs="menlo" w:ascii="menlo" w:hAnsi="menlo"/>
          <w:color w:val="000000"/>
          <w:sz w:val="18"/>
          <w:shd w:val="clear" w:color="auto" w:fill="F8F8FA"/>
        </w:rPr>
        <w:t xml:space="preserve">.tif</w:t>
      </w:r>
      <w:r>
        <w:rPr>
          <w:rFonts w:eastAsia="source serif 4" w:cs="source serif 4" w:ascii="source serif 4" w:hAnsi="source serif 4"/>
          <w:color w:val="000000"/>
        </w:rPr>
        <w:t xml:space="preserve">) to learn spectral representations and classifiers for location and forest type. The key design principles, drawn from the literature, are:</w:t>
      </w:r>
    </w:p>
    <w:p>
      <w:pPr>
        <w:numPr>
          <w:ilvl w:val="0"/>
          <w:numId w:val="4"/>
        </w:numPr>
        <w:spacing w:line="360" w:before="105" w:after="105" w:lineRule="auto"/>
      </w:pPr>
      <w:r>
        <w:rPr>
          <w:rFonts w:eastAsia="source serif 4" w:cs="source serif 4" w:ascii="source serif 4" w:hAnsi="source serif 4"/>
          <w:color w:val="000000"/>
          <w:sz w:val="21"/>
        </w:rPr>
        <w:t xml:space="preserve">Use the </w:t>
      </w:r>
      <w:r>
        <w:rPr>
          <w:rFonts w:eastAsia="source serif 4" w:cs="source serif 4" w:ascii="source serif 4" w:hAnsi="source serif 4"/>
          <w:b/>
          <w:color w:val="000000"/>
          <w:sz w:val="21"/>
        </w:rPr>
        <w:t xml:space="preserve">full spectral information</w:t>
      </w:r>
      <w:r>
        <w:rPr>
          <w:rFonts w:eastAsia="source serif 4" w:cs="source serif 4" w:ascii="source serif 4" w:hAnsi="source serif 4"/>
          <w:color w:val="000000"/>
          <w:sz w:val="21"/>
        </w:rPr>
        <w:t xml:space="preserve"> from CASI+SASI where possible, while excluding or down-weighting known problematic bands in atmospheric absorption regions and edge ranges.[</w:t>
      </w:r>
      <w:r>
        <w:rPr>
          <w:rFonts w:eastAsia="source serif 4" w:cs="source serif 4" w:ascii="source serif 4" w:hAnsi="source serif 4"/>
          <w:color w:val="000000"/>
          <w:sz w:val="21"/>
          <w:vertAlign w:val="superscript"/>
        </w:rPr>
        <w:t xml:space="preserve">19][</w:t>
      </w:r>
      <w:r>
        <w:rPr>
          <w:rFonts w:eastAsia="source serif 4" w:cs="source serif 4" w:ascii="source serif 4" w:hAnsi="source serif 4"/>
          <w:color w:val="000000"/>
          <w:sz w:val="21"/>
        </w:rPr>
        <w:t xml:space="preserve">20][^7]</w:t>
      </w:r>
    </w:p>
    <w:p>
      <w:pPr>
        <w:numPr>
          <w:ilvl w:val="0"/>
          <w:numId w:val="4"/>
        </w:numPr>
        <w:spacing w:line="360" w:before="105" w:after="105" w:lineRule="auto"/>
      </w:pPr>
      <w:r>
        <w:rPr>
          <w:rFonts w:eastAsia="source serif 4" w:cs="source serif 4" w:ascii="source serif 4" w:hAnsi="source serif 4"/>
          <w:color w:val="000000"/>
          <w:sz w:val="21"/>
        </w:rPr>
        <w:t xml:space="preserve">Structure experiments around </w:t>
      </w:r>
      <w:r>
        <w:rPr>
          <w:rFonts w:eastAsia="source serif 4" w:cs="source serif 4" w:ascii="source serif 4" w:hAnsi="source serif 4"/>
          <w:b/>
          <w:color w:val="000000"/>
          <w:sz w:val="21"/>
        </w:rPr>
        <w:t xml:space="preserve">grouped and leave-one-site-out validation</w:t>
      </w:r>
      <w:r>
        <w:rPr>
          <w:rFonts w:eastAsia="source serif 4" w:cs="source serif 4" w:ascii="source serif 4" w:hAnsi="source serif 4"/>
          <w:color w:val="000000"/>
          <w:sz w:val="21"/>
        </w:rPr>
        <w:t xml:space="preserve"> to probe generalization across forest sites and acquisition conditions, following best practices in domain-generalization research.[</w:t>
      </w:r>
      <w:r>
        <w:rPr>
          <w:rFonts w:eastAsia="source serif 4" w:cs="source serif 4" w:ascii="source serif 4" w:hAnsi="source serif 4"/>
          <w:color w:val="000000"/>
          <w:sz w:val="21"/>
          <w:vertAlign w:val="superscript"/>
        </w:rPr>
        <w:t xml:space="preserve">11][</w:t>
      </w:r>
      <w:r>
        <w:rPr>
          <w:rFonts w:eastAsia="source serif 4" w:cs="source serif 4" w:ascii="source serif 4" w:hAnsi="source serif 4"/>
          <w:color w:val="000000"/>
          <w:sz w:val="21"/>
        </w:rPr>
        <w:t xml:space="preserve">14][^17]</w:t>
      </w:r>
    </w:p>
    <w:p>
      <w:pPr>
        <w:numPr>
          <w:ilvl w:val="0"/>
          <w:numId w:val="4"/>
        </w:numPr>
        <w:spacing w:line="360" w:before="105" w:after="105" w:lineRule="auto"/>
      </w:pPr>
      <w:r>
        <w:rPr>
          <w:rFonts w:eastAsia="source serif 4" w:cs="source serif 4" w:ascii="source serif 4" w:hAnsi="source serif 4"/>
          <w:color w:val="000000"/>
          <w:sz w:val="21"/>
        </w:rPr>
        <w:t xml:space="preserve">Implement a </w:t>
      </w:r>
      <w:r>
        <w:rPr>
          <w:rFonts w:eastAsia="source serif 4" w:cs="source serif 4" w:ascii="source serif 4" w:hAnsi="source serif 4"/>
          <w:b/>
          <w:color w:val="000000"/>
          <w:sz w:val="21"/>
        </w:rPr>
        <w:t xml:space="preserve">modular, reusable pipeline</w:t>
      </w:r>
      <w:r>
        <w:rPr>
          <w:rFonts w:eastAsia="source serif 4" w:cs="source serif 4" w:ascii="source serif 4" w:hAnsi="source serif 4"/>
          <w:color w:val="000000"/>
          <w:sz w:val="21"/>
        </w:rPr>
        <w:t xml:space="preserve"> for reading ENVI and GeoTIFF data, preprocessing and scaling reflectance factors, constructing spectral features, and training/evaluating models, so that downstream analyses and future projects can reuse the same infrastructure.[</w:t>
      </w:r>
      <w:r>
        <w:rPr>
          <w:rFonts w:eastAsia="source serif 4" w:cs="source serif 4" w:ascii="source serif 4" w:hAnsi="source serif 4"/>
          <w:color w:val="000000"/>
          <w:sz w:val="21"/>
          <w:vertAlign w:val="superscript"/>
        </w:rPr>
        <w:t xml:space="preserve">16][</w:t>
      </w:r>
      <w:r>
        <w:rPr>
          <w:rFonts w:eastAsia="source serif 4" w:cs="source serif 4" w:ascii="source serif 4" w:hAnsi="source serif 4"/>
          <w:color w:val="000000"/>
          <w:sz w:val="21"/>
        </w:rPr>
        <w:t xml:space="preserve">7]</w:t>
      </w:r>
    </w:p>
    <w:p>
      <w:pPr>
        <w:numPr>
          <w:ilvl w:val="0"/>
          <w:numId w:val="4"/>
        </w:numPr>
        <w:spacing w:line="360" w:before="105" w:after="105" w:lineRule="auto"/>
      </w:pPr>
      <w:r>
        <w:rPr>
          <w:rFonts w:eastAsia="source serif 4" w:cs="source serif 4" w:ascii="source serif 4" w:hAnsi="source serif 4"/>
          <w:color w:val="000000"/>
          <w:sz w:val="21"/>
        </w:rPr>
        <w:t xml:space="preserve">Explore both </w:t>
      </w:r>
      <w:r>
        <w:rPr>
          <w:rFonts w:eastAsia="source serif 4" w:cs="source serif 4" w:ascii="source serif 4" w:hAnsi="source serif 4"/>
          <w:b/>
          <w:color w:val="000000"/>
          <w:sz w:val="21"/>
        </w:rPr>
        <w:t xml:space="preserve">classical machine-learning baselines</w:t>
      </w:r>
      <w:r>
        <w:rPr>
          <w:rFonts w:eastAsia="source serif 4" w:cs="source serif 4" w:ascii="source serif 4" w:hAnsi="source serif 4"/>
          <w:color w:val="000000"/>
          <w:sz w:val="21"/>
        </w:rPr>
        <w:t xml:space="preserve"> and </w:t>
      </w:r>
      <w:r>
        <w:rPr>
          <w:rFonts w:eastAsia="source serif 4" w:cs="source serif 4" w:ascii="source serif 4" w:hAnsi="source serif 4"/>
          <w:b/>
          <w:color w:val="000000"/>
          <w:sz w:val="21"/>
        </w:rPr>
        <w:t xml:space="preserve">deep spatial–spectral networks</w:t>
      </w:r>
      <w:r>
        <w:rPr>
          <w:rFonts w:eastAsia="source serif 4" w:cs="source serif 4" w:ascii="source serif 4" w:hAnsi="source serif 4"/>
          <w:color w:val="000000"/>
          <w:sz w:val="21"/>
        </w:rPr>
        <w:t xml:space="preserve">, aligning with SOTA hyperspectral classification practice.[</w:t>
      </w:r>
      <w:r>
        <w:rPr>
          <w:rFonts w:eastAsia="source serif 4" w:cs="source serif 4" w:ascii="source serif 4" w:hAnsi="source serif 4"/>
          <w:color w:val="000000"/>
          <w:sz w:val="21"/>
          <w:vertAlign w:val="superscript"/>
        </w:rPr>
        <w:t xml:space="preserve">2][</w:t>
      </w:r>
      <w:r>
        <w:rPr>
          <w:rFonts w:eastAsia="source serif 4" w:cs="source serif 4" w:ascii="source serif 4" w:hAnsi="source serif 4"/>
          <w:color w:val="000000"/>
          <w:sz w:val="21"/>
        </w:rPr>
        <w:t xml:space="preserve">3][</w:t>
      </w:r>
      <w:r>
        <w:rPr>
          <w:rFonts w:eastAsia="source serif 4" w:cs="source serif 4" w:ascii="source serif 4" w:hAnsi="source serif 4"/>
          <w:color w:val="000000"/>
          <w:sz w:val="21"/>
          <w:vertAlign w:val="superscript"/>
        </w:rPr>
        <w:t xml:space="preserve">4][</w:t>
      </w:r>
      <w:r>
        <w:rPr>
          <w:rFonts w:eastAsia="source serif 4" w:cs="source serif 4" w:ascii="source serif 4" w:hAnsi="source serif 4"/>
          <w:color w:val="000000"/>
          <w:sz w:val="21"/>
        </w:rPr>
        <w:t xml:space="preserve">6]</w:t>
      </w:r>
    </w:p>
    <w:p>
      <w:pPr>
        <w:spacing w:line="360" w:before="315" w:after="105" w:lineRule="auto"/>
        <w:ind w:left="-30"/>
        <w:jc w:val="left"/>
      </w:pPr>
      <w:bookmarkStart w:id="13" w:name="data_ingestion_and_preprocessing"/>
      <w:r>
        <w:rPr>
          <w:rFonts w:eastAsia="source serif 4" w:cs="source serif 4" w:ascii="source serif 4" w:hAnsi="source serif 4"/>
          <w:b/>
          <w:color w:val="000000"/>
          <w:sz w:val="24"/>
        </w:rPr>
        <w:t xml:space="preserve">Data Ingestion and Preprocessing</w:t>
      </w:r>
      <w:bookmarkEnd w:id="13"/>
    </w:p>
    <w:p>
      <w:pPr>
        <w:spacing w:line="360" w:after="210" w:lineRule="auto"/>
      </w:pPr>
      <w:r>
        <w:rPr>
          <w:rFonts w:eastAsia="source serif 4" w:cs="source serif 4" w:ascii="source serif 4" w:hAnsi="source serif 4"/>
          <w:color w:val="000000"/>
        </w:rPr>
        <w:t xml:space="preserve">Data ingestion is built on standard remote-sensing libraries capable of handling ENVI and GeoTIFF formats, such as GDAL/rasterio or spectral Python. For each flightline and plot subset, the pipeline reads the </w:t>
      </w:r>
      <w:r>
        <w:rPr>
          <w:rStyle w:val="VerbatimChar"/>
          <w:rFonts w:eastAsia="menlo" w:cs="menlo" w:ascii="menlo" w:hAnsi="menlo"/>
          <w:color w:val="000000"/>
          <w:sz w:val="18"/>
          <w:shd w:val="clear" w:color="auto" w:fill="F8F8FA"/>
        </w:rPr>
        <w:t xml:space="preserve">.hdr</w:t>
      </w:r>
      <w:r>
        <w:rPr>
          <w:rFonts w:eastAsia="source serif 4" w:cs="source serif 4" w:ascii="source serif 4" w:hAnsi="source serif 4"/>
          <w:color w:val="000000"/>
        </w:rPr>
        <w:t xml:space="preserve"> file to extract metadata (wavelengths, band widths, acquisition time, solar and view angles) and the </w:t>
      </w:r>
      <w:r>
        <w:rPr>
          <w:rStyle w:val="VerbatimChar"/>
          <w:rFonts w:eastAsia="menlo" w:cs="menlo" w:ascii="menlo" w:hAnsi="menlo"/>
          <w:color w:val="000000"/>
          <w:sz w:val="18"/>
          <w:shd w:val="clear" w:color="auto" w:fill="F8F8FA"/>
        </w:rPr>
        <w:t xml:space="preserve">.bsq</w:t>
      </w:r>
      <w:r>
        <w:rPr>
          <w:rFonts w:eastAsia="source serif 4" w:cs="source serif 4" w:ascii="source serif 4" w:hAnsi="source serif 4"/>
          <w:color w:val="000000"/>
        </w:rPr>
        <w:t xml:space="preserve"> or </w:t>
      </w:r>
      <w:r>
        <w:rPr>
          <w:rStyle w:val="VerbatimChar"/>
          <w:rFonts w:eastAsia="menlo" w:cs="menlo" w:ascii="menlo" w:hAnsi="menlo"/>
          <w:color w:val="000000"/>
          <w:sz w:val="18"/>
          <w:shd w:val="clear" w:color="auto" w:fill="F8F8FA"/>
        </w:rPr>
        <w:t xml:space="preserve">.tif</w:t>
      </w:r>
      <w:r>
        <w:rPr>
          <w:rFonts w:eastAsia="source serif 4" w:cs="source serif 4" w:ascii="source serif 4" w:hAnsi="source serif 4"/>
          <w:color w:val="000000"/>
        </w:rPr>
        <w:t xml:space="preserve"> file to retrieve the hyperspectral cube. Reflectance factors are obtained by multiplying the 16-bit integer digital numbers by 0.0001, as specified in the dataset documentation.[</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16]</w:t>
      </w:r>
    </w:p>
    <w:p>
      <w:pPr>
        <w:spacing w:line="360" w:after="210" w:lineRule="auto"/>
      </w:pPr>
      <w:r>
        <w:rPr>
          <w:rFonts w:eastAsia="source serif 4" w:cs="source serif 4" w:ascii="source serif 4" w:hAnsi="source serif 4"/>
          <w:color w:val="000000"/>
        </w:rPr>
        <w:t xml:space="preserve">Preprocessing includes:</w:t>
      </w:r>
    </w:p>
    <w:p>
      <w:pPr>
        <w:numPr>
          <w:ilvl w:val="0"/>
          <w:numId w:val="5"/>
        </w:numPr>
        <w:spacing w:line="360" w:before="105" w:after="105" w:lineRule="auto"/>
      </w:pPr>
      <w:r>
        <w:rPr>
          <w:rFonts w:eastAsia="source serif 4" w:cs="source serif 4" w:ascii="source serif 4" w:hAnsi="source serif 4"/>
          <w:b/>
          <w:color w:val="000000"/>
          <w:sz w:val="21"/>
        </w:rPr>
        <w:t xml:space="preserve">No-data masking</w:t>
      </w:r>
      <w:r>
        <w:rPr>
          <w:rFonts w:eastAsia="source serif 4" w:cs="source serif 4" w:ascii="source serif 4" w:hAnsi="source serif 4"/>
          <w:color w:val="000000"/>
          <w:sz w:val="21"/>
        </w:rPr>
        <w:t xml:space="preserve">: Replace pixels with value 10000 by NaN or mask them, as recommended in the README and common practice in ENVI-based workflows.[^7]</w:t>
      </w:r>
    </w:p>
    <w:p>
      <w:pPr>
        <w:numPr>
          <w:ilvl w:val="0"/>
          <w:numId w:val="5"/>
        </w:numPr>
        <w:spacing w:line="360" w:before="105" w:after="105" w:lineRule="auto"/>
      </w:pPr>
      <w:r>
        <w:rPr>
          <w:rFonts w:eastAsia="source serif 4" w:cs="source serif 4" w:ascii="source serif 4" w:hAnsi="source serif 4"/>
          <w:b/>
          <w:color w:val="000000"/>
          <w:sz w:val="21"/>
        </w:rPr>
        <w:t xml:space="preserve">Band selection</w:t>
      </w:r>
      <w:r>
        <w:rPr>
          <w:rFonts w:eastAsia="source serif 4" w:cs="source serif 4" w:ascii="source serif 4" w:hAnsi="source serif 4"/>
          <w:color w:val="000000"/>
          <w:sz w:val="21"/>
        </w:rPr>
        <w:t xml:space="preserve">: Exclude bands in atmospheric water-absorption regions that have been interpolated and may contain higher uncertainty (e.g., ranges around 900–1000 nm, 1090–1170 nm, 1300–1530 nm, and 1740–2040 nm, as documented in the dataset and consistent with general practice in hyperspectral vegetation analysis).[</w:t>
      </w:r>
      <w:r>
        <w:rPr>
          <w:rFonts w:eastAsia="source serif 4" w:cs="source serif 4" w:ascii="source serif 4" w:hAnsi="source serif 4"/>
          <w:color w:val="000000"/>
          <w:sz w:val="21"/>
          <w:vertAlign w:val="superscript"/>
        </w:rPr>
        <w:t xml:space="preserve">20][</w:t>
      </w:r>
      <w:r>
        <w:rPr>
          <w:rFonts w:eastAsia="source serif 4" w:cs="source serif 4" w:ascii="source serif 4" w:hAnsi="source serif 4"/>
          <w:color w:val="000000"/>
          <w:sz w:val="21"/>
        </w:rPr>
        <w:t xml:space="preserve">19][^7]</w:t>
      </w:r>
    </w:p>
    <w:p>
      <w:pPr>
        <w:numPr>
          <w:ilvl w:val="0"/>
          <w:numId w:val="5"/>
        </w:numPr>
        <w:spacing w:line="360" w:before="105" w:after="105" w:lineRule="auto"/>
      </w:pPr>
      <w:r>
        <w:rPr>
          <w:rFonts w:eastAsia="source serif 4" w:cs="source serif 4" w:ascii="source serif 4" w:hAnsi="source serif 4"/>
          <w:b/>
          <w:color w:val="000000"/>
          <w:sz w:val="21"/>
        </w:rPr>
        <w:t xml:space="preserve">Spectral normalization</w:t>
      </w:r>
      <w:r>
        <w:rPr>
          <w:rFonts w:eastAsia="source serif 4" w:cs="source serif 4" w:ascii="source serif 4" w:hAnsi="source serif 4"/>
          <w:color w:val="000000"/>
          <w:sz w:val="21"/>
        </w:rPr>
        <w:t xml:space="preserve">: Optionally apply continuum removal, vector normalization, or standardization across bands to reduce illumination and albedo differences, following techniques commonly used in hyperspectral vegetation analysis and tree-species mapping.[</w:t>
      </w:r>
      <w:r>
        <w:rPr>
          <w:rFonts w:eastAsia="source serif 4" w:cs="source serif 4" w:ascii="source serif 4" w:hAnsi="source serif 4"/>
          <w:color w:val="000000"/>
          <w:sz w:val="21"/>
          <w:vertAlign w:val="superscript"/>
        </w:rPr>
        <w:t xml:space="preserve">18][</w:t>
      </w:r>
      <w:r>
        <w:rPr>
          <w:rFonts w:eastAsia="source serif 4" w:cs="source serif 4" w:ascii="source serif 4" w:hAnsi="source serif 4"/>
          <w:color w:val="000000"/>
          <w:sz w:val="21"/>
        </w:rPr>
        <w:t xml:space="preserve">5][</w:t>
      </w:r>
      <w:r>
        <w:rPr>
          <w:rFonts w:eastAsia="source serif 4" w:cs="source serif 4" w:ascii="source serif 4" w:hAnsi="source serif 4"/>
          <w:color w:val="000000"/>
          <w:sz w:val="21"/>
          <w:vertAlign w:val="superscript"/>
        </w:rPr>
        <w:t xml:space="preserve">8][</w:t>
      </w:r>
      <w:r>
        <w:rPr>
          <w:rFonts w:eastAsia="source serif 4" w:cs="source serif 4" w:ascii="source serif 4" w:hAnsi="source serif 4"/>
          <w:color w:val="000000"/>
          <w:sz w:val="21"/>
        </w:rPr>
        <w:t xml:space="preserve">19]</w:t>
      </w:r>
    </w:p>
    <w:p>
      <w:pPr>
        <w:numPr>
          <w:ilvl w:val="0"/>
          <w:numId w:val="5"/>
        </w:numPr>
        <w:spacing w:line="360" w:before="105" w:after="105" w:lineRule="auto"/>
      </w:pPr>
      <w:r>
        <w:rPr>
          <w:rFonts w:eastAsia="source serif 4" w:cs="source serif 4" w:ascii="source serif 4" w:hAnsi="source serif 4"/>
          <w:b/>
          <w:color w:val="000000"/>
          <w:sz w:val="21"/>
        </w:rPr>
        <w:t xml:space="preserve">Spatial aggregation</w:t>
      </w:r>
      <w:r>
        <w:rPr>
          <w:rFonts w:eastAsia="source serif 4" w:cs="source serif 4" w:ascii="source serif 4" w:hAnsi="source serif 4"/>
          <w:color w:val="000000"/>
          <w:sz w:val="21"/>
        </w:rPr>
        <w:t xml:space="preserve">: For plot-level models, compute summary spectra (e.g., mean, median, robust trimmed mean) over the 100 m by 100 m plot subsets, thereby reducing noise and small-scale heterogeneity while aligning with structural plot-level labels.[</w:t>
      </w:r>
      <w:r>
        <w:rPr>
          <w:rFonts w:eastAsia="source serif 4" w:cs="source serif 4" w:ascii="source serif 4" w:hAnsi="source serif 4"/>
          <w:color w:val="000000"/>
          <w:sz w:val="21"/>
          <w:vertAlign w:val="superscript"/>
        </w:rPr>
        <w:t xml:space="preserve">9][</w:t>
      </w:r>
      <w:r>
        <w:rPr>
          <w:rFonts w:eastAsia="source serif 4" w:cs="source serif 4" w:ascii="source serif 4" w:hAnsi="source serif 4"/>
          <w:color w:val="000000"/>
          <w:sz w:val="21"/>
        </w:rPr>
        <w:t xml:space="preserve">22][^16]</w:t>
      </w:r>
    </w:p>
    <w:p>
      <w:pPr>
        <w:spacing w:line="360" w:before="315" w:after="105" w:lineRule="auto"/>
        <w:ind w:left="-30"/>
        <w:jc w:val="left"/>
      </w:pPr>
      <w:bookmarkStart w:id="14" w:name="feature_design_and_model_families"/>
      <w:r>
        <w:rPr>
          <w:rFonts w:eastAsia="source serif 4" w:cs="source serif 4" w:ascii="source serif 4" w:hAnsi="source serif 4"/>
          <w:b/>
          <w:color w:val="000000"/>
          <w:sz w:val="24"/>
        </w:rPr>
        <w:t xml:space="preserve">Feature Design and Model Families</w:t>
      </w:r>
      <w:bookmarkEnd w:id="14"/>
    </w:p>
    <w:p>
      <w:pPr>
        <w:spacing w:line="360" w:after="210" w:lineRule="auto"/>
      </w:pPr>
      <w:r>
        <w:rPr>
          <w:rFonts w:eastAsia="source serif 4" w:cs="source serif 4" w:ascii="source serif 4" w:hAnsi="source serif 4"/>
          <w:color w:val="000000"/>
        </w:rPr>
        <w:t xml:space="preserve">The solution considers two levels of representation: pixel/patch-level and plot-level.</w:t>
      </w:r>
    </w:p>
    <w:p>
      <w:pPr>
        <w:numPr>
          <w:ilvl w:val="0"/>
          <w:numId w:val="6"/>
        </w:numPr>
        <w:spacing w:line="360" w:after="210" w:lineRule="auto"/>
      </w:pPr>
      <w:r>
        <w:rPr>
          <w:rFonts w:eastAsia="source serif 4" w:cs="source serif 4" w:ascii="source serif 4" w:hAnsi="source serif 4"/>
          <w:b/>
          <w:color w:val="000000"/>
          <w:sz w:val="21"/>
        </w:rPr>
        <w:t xml:space="preserve">Plot-level spectral features</w:t>
      </w:r>
      <w:r>
        <w:rPr>
          <w:rFonts w:eastAsia="source serif 4" w:cs="source serif 4" w:ascii="source serif 4" w:hAnsi="source serif 4"/>
          <w:color w:val="000000"/>
          <w:sz w:val="21"/>
        </w:rPr>
        <w:t xml:space="preserve">: For each plot, compute aggregate spectra from the analysis-ready subsets, optionally combined with simple within-plot variability metrics such as spectral standard deviation or texture indices. These features are then fed to classical classifiers such as multinomial logistic regression, random forest, gradient boosting, and support vector machines, which have demonstrated strong performance in hyperspectral forest classification when combined with suitable feature selection or dimensionality reduction.[</w:t>
      </w:r>
      <w:r>
        <w:rPr>
          <w:rFonts w:eastAsia="source serif 4" w:cs="source serif 4" w:ascii="source serif 4" w:hAnsi="source serif 4"/>
          <w:color w:val="000000"/>
          <w:sz w:val="21"/>
          <w:vertAlign w:val="superscript"/>
        </w:rPr>
        <w:t xml:space="preserve">12][</w:t>
      </w:r>
      <w:r>
        <w:rPr>
          <w:rFonts w:eastAsia="source serif 4" w:cs="source serif 4" w:ascii="source serif 4" w:hAnsi="source serif 4"/>
          <w:color w:val="000000"/>
          <w:sz w:val="21"/>
        </w:rPr>
        <w:t xml:space="preserve">5][</w:t>
      </w:r>
      <w:r>
        <w:rPr>
          <w:rFonts w:eastAsia="source serif 4" w:cs="source serif 4" w:ascii="source serif 4" w:hAnsi="source serif 4"/>
          <w:color w:val="000000"/>
          <w:sz w:val="21"/>
          <w:vertAlign w:val="superscript"/>
        </w:rPr>
        <w:t xml:space="preserve">23][</w:t>
      </w:r>
      <w:r>
        <w:rPr>
          <w:rFonts w:eastAsia="source serif 4" w:cs="source serif 4" w:ascii="source serif 4" w:hAnsi="source serif 4"/>
          <w:color w:val="000000"/>
          <w:sz w:val="21"/>
        </w:rPr>
        <w:t xml:space="preserve">8][</w:t>
      </w:r>
      <w:r>
        <w:rPr>
          <w:rFonts w:eastAsia="source serif 4" w:cs="source serif 4" w:ascii="source serif 4" w:hAnsi="source serif 4"/>
          <w:color w:val="000000"/>
          <w:sz w:val="21"/>
          <w:vertAlign w:val="superscript"/>
        </w:rPr>
        <w:t xml:space="preserve">15][</w:t>
      </w:r>
      <w:r>
        <w:rPr>
          <w:rFonts w:eastAsia="source serif 4" w:cs="source serif 4" w:ascii="source serif 4" w:hAnsi="source serif 4"/>
          <w:color w:val="000000"/>
          <w:sz w:val="21"/>
        </w:rPr>
        <w:t xml:space="preserve">19]</w:t>
      </w:r>
    </w:p>
    <w:p>
      <w:pPr>
        <w:numPr>
          <w:ilvl w:val="0"/>
          <w:numId w:val="6"/>
        </w:numPr>
        <w:spacing w:line="360" w:after="210" w:lineRule="auto"/>
      </w:pPr>
      <w:r>
        <w:rPr>
          <w:rFonts w:eastAsia="source serif 4" w:cs="source serif 4" w:ascii="source serif 4" w:hAnsi="source serif 4"/>
          <w:b/>
          <w:color w:val="000000"/>
          <w:sz w:val="21"/>
        </w:rPr>
        <w:t xml:space="preserve">Pixel/patch-level spatial–spectral features</w:t>
      </w:r>
      <w:r>
        <w:rPr>
          <w:rFonts w:eastAsia="source serif 4" w:cs="source serif 4" w:ascii="source serif 4" w:hAnsi="source serif 4"/>
          <w:color w:val="000000"/>
          <w:sz w:val="21"/>
        </w:rPr>
        <w:t xml:space="preserve">: For more detailed models, extract local patches from GeoTIFF subsets or flightlines (e.g., 15×15 or 25×25 windows across all bands) and feed them to 2D or 3D convolutional neural networks. Prior studies indicate that 3D CNNs and spectral–spatial networks can effectively learn joint spatial–spectral features for tree-species classification, outperforming pixel-wise classifiers that treat bands independently.[</w:t>
      </w:r>
      <w:r>
        <w:rPr>
          <w:rFonts w:eastAsia="source serif 4" w:cs="source serif 4" w:ascii="source serif 4" w:hAnsi="source serif 4"/>
          <w:color w:val="000000"/>
          <w:sz w:val="21"/>
          <w:vertAlign w:val="superscript"/>
        </w:rPr>
        <w:t xml:space="preserve">3][</w:t>
      </w:r>
      <w:r>
        <w:rPr>
          <w:rFonts w:eastAsia="source serif 4" w:cs="source serif 4" w:ascii="source serif 4" w:hAnsi="source serif 4"/>
          <w:color w:val="000000"/>
          <w:sz w:val="21"/>
        </w:rPr>
        <w:t xml:space="preserve">8][</w:t>
      </w:r>
      <w:r>
        <w:rPr>
          <w:rFonts w:eastAsia="source serif 4" w:cs="source serif 4" w:ascii="source serif 4" w:hAnsi="source serif 4"/>
          <w:color w:val="000000"/>
          <w:sz w:val="21"/>
          <w:vertAlign w:val="superscript"/>
        </w:rPr>
        <w:t xml:space="preserve">12][</w:t>
      </w:r>
      <w:r>
        <w:rPr>
          <w:rFonts w:eastAsia="source serif 4" w:cs="source serif 4" w:ascii="source serif 4" w:hAnsi="source serif 4"/>
          <w:color w:val="000000"/>
          <w:sz w:val="21"/>
        </w:rPr>
        <w:t xml:space="preserve">2]</w:t>
      </w:r>
    </w:p>
    <w:p>
      <w:pPr>
        <w:spacing w:line="360" w:after="210" w:lineRule="auto"/>
      </w:pPr>
      <w:r>
        <w:rPr>
          <w:rFonts w:eastAsia="source serif 4" w:cs="source serif 4" w:ascii="source serif 4" w:hAnsi="source serif 4"/>
          <w:color w:val="000000"/>
        </w:rPr>
        <w:t xml:space="preserve">To address domain shift and cross-site performance, the solution also incorporates domain-adaptation and domain-generalization ideas:</w:t>
      </w:r>
    </w:p>
    <w:p>
      <w:pPr>
        <w:numPr>
          <w:ilvl w:val="0"/>
          <w:numId w:val="7"/>
        </w:numPr>
        <w:spacing w:line="360" w:before="105" w:after="105" w:lineRule="auto"/>
      </w:pPr>
      <w:r>
        <w:rPr>
          <w:rFonts w:eastAsia="source serif 4" w:cs="source serif 4" w:ascii="source serif 4" w:hAnsi="source serif 4"/>
          <w:b/>
          <w:color w:val="000000"/>
          <w:sz w:val="21"/>
        </w:rPr>
        <w:t xml:space="preserve">Domain-aware validation</w:t>
      </w:r>
      <w:r>
        <w:rPr>
          <w:rFonts w:eastAsia="source serif 4" w:cs="source serif 4" w:ascii="source serif 4" w:hAnsi="source serif 4"/>
          <w:color w:val="000000"/>
          <w:sz w:val="21"/>
        </w:rPr>
        <w:t xml:space="preserve">: Use GroupKFold with groups defined by site or plot ID, and leave-one-site-out evaluation, as in recent domain-generalization studies on aerial forest imagery and cross-domain hyperspectral classification.[</w:t>
      </w:r>
      <w:r>
        <w:rPr>
          <w:rFonts w:eastAsia="source serif 4" w:cs="source serif 4" w:ascii="source serif 4" w:hAnsi="source serif 4"/>
          <w:color w:val="000000"/>
          <w:sz w:val="21"/>
          <w:vertAlign w:val="superscript"/>
        </w:rPr>
        <w:t xml:space="preserve">14][</w:t>
      </w:r>
      <w:r>
        <w:rPr>
          <w:rFonts w:eastAsia="source serif 4" w:cs="source serif 4" w:ascii="source serif 4" w:hAnsi="source serif 4"/>
          <w:color w:val="000000"/>
          <w:sz w:val="21"/>
        </w:rPr>
        <w:t xml:space="preserve">17][^11]</w:t>
      </w:r>
    </w:p>
    <w:p>
      <w:pPr>
        <w:numPr>
          <w:ilvl w:val="0"/>
          <w:numId w:val="7"/>
        </w:numPr>
        <w:spacing w:line="360" w:before="105" w:after="105" w:lineRule="auto"/>
      </w:pPr>
      <w:r>
        <w:rPr>
          <w:rFonts w:eastAsia="source serif 4" w:cs="source serif 4" w:ascii="source serif 4" w:hAnsi="source serif 4"/>
          <w:b/>
          <w:color w:val="000000"/>
          <w:sz w:val="21"/>
        </w:rPr>
        <w:t xml:space="preserve">Domain-regularized embeddings</w:t>
      </w:r>
      <w:r>
        <w:rPr>
          <w:rFonts w:eastAsia="source serif 4" w:cs="source serif 4" w:ascii="source serif 4" w:hAnsi="source serif 4"/>
          <w:color w:val="000000"/>
          <w:sz w:val="21"/>
        </w:rPr>
        <w:t xml:space="preserve">: Train neural models with adversarial losses that encourage domain-invariant latent spaces or exploit bi-directional domain-adaptation frameworks, drawing on recent work in cross-domain hyperspectral classification and forest-health monitoring.[</w:t>
      </w:r>
      <w:r>
        <w:rPr>
          <w:rFonts w:eastAsia="source serif 4" w:cs="source serif 4" w:ascii="source serif 4" w:hAnsi="source serif 4"/>
          <w:color w:val="000000"/>
          <w:sz w:val="21"/>
          <w:vertAlign w:val="superscript"/>
        </w:rPr>
        <w:t xml:space="preserve">17][</w:t>
      </w:r>
      <w:r>
        <w:rPr>
          <w:rFonts w:eastAsia="source serif 4" w:cs="source serif 4" w:ascii="source serif 4" w:hAnsi="source serif 4"/>
          <w:color w:val="000000"/>
          <w:sz w:val="21"/>
        </w:rPr>
        <w:t xml:space="preserve">11][^14]</w:t>
      </w:r>
    </w:p>
    <w:p>
      <w:pPr>
        <w:spacing w:line="360" w:before="315" w:after="105" w:lineRule="auto"/>
        <w:ind w:left="-30"/>
        <w:jc w:val="left"/>
      </w:pPr>
      <w:bookmarkStart w:id="15" w:name="location_and_forest_type_predicti_a64896"/>
      <w:r>
        <w:rPr>
          <w:rFonts w:eastAsia="source serif 4" w:cs="source serif 4" w:ascii="source serif 4" w:hAnsi="source serif 4"/>
          <w:b/>
          <w:color w:val="000000"/>
          <w:sz w:val="24"/>
        </w:rPr>
        <w:t xml:space="preserve">Location and Forest-Type Prediction Tasks</w:t>
      </w:r>
      <w:bookmarkEnd w:id="15"/>
    </w:p>
    <w:p>
      <w:pPr>
        <w:spacing w:line="360" w:after="210" w:lineRule="auto"/>
      </w:pPr>
      <w:r>
        <w:rPr>
          <w:rFonts w:eastAsia="source serif 4" w:cs="source serif 4" w:ascii="source serif 4" w:hAnsi="source serif 4"/>
          <w:color w:val="000000"/>
        </w:rPr>
        <w:t xml:space="preserve">The task formulations are as follows:</w:t>
      </w:r>
    </w:p>
    <w:p>
      <w:pPr>
        <w:numPr>
          <w:ilvl w:val="0"/>
          <w:numId w:val="8"/>
        </w:numPr>
        <w:spacing w:line="360" w:before="105" w:after="105" w:lineRule="auto"/>
      </w:pPr>
      <w:r>
        <w:rPr>
          <w:rFonts w:eastAsia="source serif 4" w:cs="source serif 4" w:ascii="source serif 4" w:hAnsi="source serif 4"/>
          <w:b/>
          <w:color w:val="000000"/>
          <w:sz w:val="21"/>
        </w:rPr>
        <w:t xml:space="preserve">Location prediction</w:t>
      </w:r>
      <w:r>
        <w:rPr>
          <w:rFonts w:eastAsia="source serif 4" w:cs="source serif 4" w:ascii="source serif 4" w:hAnsi="source serif 4"/>
          <w:color w:val="000000"/>
          <w:sz w:val="21"/>
        </w:rPr>
        <w:t xml:space="preserve">: Predict site (Hyytiälä, Järvselja, Lanžhot, Bílý Kˇríž) or finer-grained plot ID from spectral features. This tests how strongly spectra encode site-specific characteristics such as species composition, soil type, and illumination conditions, and serves as a probe of domain-specific information.</w:t>
      </w:r>
    </w:p>
    <w:p>
      <w:pPr>
        <w:numPr>
          <w:ilvl w:val="0"/>
          <w:numId w:val="8"/>
        </w:numPr>
        <w:spacing w:line="360" w:before="105" w:after="105" w:lineRule="auto"/>
      </w:pPr>
      <w:r>
        <w:rPr>
          <w:rFonts w:eastAsia="source serif 4" w:cs="source serif 4" w:ascii="source serif 4" w:hAnsi="source serif 4"/>
          <w:b/>
          <w:color w:val="000000"/>
          <w:sz w:val="21"/>
        </w:rPr>
        <w:t xml:space="preserve">Forest-type prediction</w:t>
      </w:r>
      <w:r>
        <w:rPr>
          <w:rFonts w:eastAsia="source serif 4" w:cs="source serif 4" w:ascii="source serif 4" w:hAnsi="source serif 4"/>
          <w:color w:val="000000"/>
          <w:sz w:val="21"/>
        </w:rPr>
        <w:t xml:space="preserve">: Predict forest-type labels derived from field inventory or peatland classification (e.g., canopy-dominant species groups, peatland subtype) from the same spectral input, using grouped validation to avoid plot-level leakage.</w:t>
      </w:r>
    </w:p>
    <w:p>
      <w:pPr>
        <w:spacing w:line="360" w:after="210" w:lineRule="auto"/>
      </w:pPr>
      <w:r>
        <w:rPr>
          <w:rFonts w:eastAsia="source serif 4" w:cs="source serif 4" w:ascii="source serif 4" w:hAnsi="source serif 4"/>
          <w:color w:val="000000"/>
        </w:rPr>
        <w:t xml:space="preserve">By training joint models or separate decoders on shared spectral embeddings, it becomes possible to quantify the trade-off between location recovery and forest-type separability: embeddings that strongly encode site may not generalize well to new sites, whereas more domain-invariant embeddings may sacrifice location accuracy while retaining forest-type information.[</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14][^17]</w:t>
      </w:r>
    </w:p>
    <w:p>
      <w:pPr>
        <w:spacing w:line="360" w:before="315" w:after="105" w:lineRule="auto"/>
        <w:ind w:left="-30"/>
        <w:jc w:val="left"/>
      </w:pPr>
      <w:bookmarkStart w:id="16" w:name="implementation"/>
      <w:r>
        <w:rPr>
          <w:rFonts w:eastAsia="source serif 4" w:cs="source serif 4" w:ascii="source serif 4" w:hAnsi="source serif 4"/>
          <w:b/>
          <w:color w:val="000000"/>
          <w:sz w:val="24"/>
        </w:rPr>
        <w:t xml:space="preserve">Implementation</w:t>
      </w:r>
      <w:bookmarkEnd w:id="16"/>
    </w:p>
    <w:p>
      <w:pPr>
        <w:spacing w:line="360" w:after="210" w:lineRule="auto"/>
      </w:pPr>
      <w:r>
        <w:rPr>
          <w:rFonts w:eastAsia="source serif 4" w:cs="source serif 4" w:ascii="source serif 4" w:hAnsi="source serif 4"/>
          <w:color w:val="000000"/>
        </w:rPr>
        <w:t xml:space="preserve">The implementation centers on a Python-based pipeline in an IPython or Jupyter environment, structured as reusable modules for data access, preprocessing, model training, and evaluation. This design follows recommendations from the data providers, who emphasize the use of standard open-source GIS and remote-sensing libraries (e.g., QGIS, GDAL) for reading ENVI and GeoTIFF formats.[</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7]</w:t>
      </w:r>
    </w:p>
    <w:p>
      <w:pPr>
        <w:spacing w:line="360" w:before="315" w:after="105" w:lineRule="auto"/>
        <w:ind w:left="-30"/>
        <w:jc w:val="left"/>
      </w:pPr>
      <w:bookmarkStart w:id="17" w:name="data_access_layer"/>
      <w:r>
        <w:rPr>
          <w:rFonts w:eastAsia="source serif 4" w:cs="source serif 4" w:ascii="source serif 4" w:hAnsi="source serif 4"/>
          <w:b/>
          <w:color w:val="000000"/>
          <w:sz w:val="24"/>
        </w:rPr>
        <w:t xml:space="preserve">Data Access Layer</w:t>
      </w:r>
      <w:bookmarkEnd w:id="17"/>
    </w:p>
    <w:p>
      <w:pPr>
        <w:numPr>
          <w:ilvl w:val="0"/>
          <w:numId w:val="9"/>
        </w:numPr>
        <w:spacing w:line="360" w:before="105" w:after="105" w:lineRule="auto"/>
      </w:pPr>
      <w:r>
        <w:rPr>
          <w:rFonts w:eastAsia="source serif 4" w:cs="source serif 4" w:ascii="source serif 4" w:hAnsi="source serif 4"/>
          <w:b/>
          <w:color w:val="000000"/>
          <w:sz w:val="21"/>
        </w:rPr>
        <w:t xml:space="preserve">ENVI reader</w:t>
      </w:r>
      <w:r>
        <w:rPr>
          <w:rFonts w:eastAsia="source serif 4" w:cs="source serif 4" w:ascii="source serif 4" w:hAnsi="source serif 4"/>
          <w:color w:val="000000"/>
          <w:sz w:val="21"/>
        </w:rPr>
        <w:t xml:space="preserve">: Use spectral Python or GDAL to read </w:t>
      </w:r>
      <w:r>
        <w:rPr>
          <w:rStyle w:val="VerbatimChar"/>
          <w:rFonts w:eastAsia="menlo" w:cs="menlo" w:ascii="menlo" w:hAnsi="menlo"/>
          <w:color w:val="000000"/>
          <w:sz w:val="18"/>
          <w:shd w:val="clear" w:color="auto" w:fill="F8F8FA"/>
        </w:rPr>
        <w:t xml:space="preserve">.hdr</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.bsq</w:t>
      </w:r>
      <w:r>
        <w:rPr>
          <w:rFonts w:eastAsia="source serif 4" w:cs="source serif 4" w:ascii="source serif 4" w:hAnsi="source serif 4"/>
          <w:color w:val="000000"/>
          <w:sz w:val="21"/>
        </w:rPr>
        <w:t xml:space="preserve"> files for CASI and CS flightlines. The reader parses header metadata for wavelengths, band widths, spatial resolution, and no-data value, and returns reflectance cubes with appropriate scaling applied.[^7]</w:t>
      </w:r>
    </w:p>
    <w:p>
      <w:pPr>
        <w:numPr>
          <w:ilvl w:val="0"/>
          <w:numId w:val="9"/>
        </w:numPr>
        <w:spacing w:line="360" w:before="105" w:after="105" w:lineRule="auto"/>
      </w:pPr>
      <w:r>
        <w:rPr>
          <w:rFonts w:eastAsia="source serif 4" w:cs="source serif 4" w:ascii="source serif 4" w:hAnsi="source serif 4"/>
          <w:b/>
          <w:color w:val="000000"/>
          <w:sz w:val="21"/>
        </w:rPr>
        <w:t xml:space="preserve">GeoTIFF reader</w:t>
      </w:r>
      <w:r>
        <w:rPr>
          <w:rFonts w:eastAsia="source serif 4" w:cs="source serif 4" w:ascii="source serif 4" w:hAnsi="source serif 4"/>
          <w:color w:val="000000"/>
          <w:sz w:val="21"/>
        </w:rPr>
        <w:t xml:space="preserve">: Use rasterio or GDAL to read </w:t>
      </w:r>
      <w:r>
        <w:rPr>
          <w:rStyle w:val="VerbatimChar"/>
          <w:rFonts w:eastAsia="menlo" w:cs="menlo" w:ascii="menlo" w:hAnsi="menlo"/>
          <w:color w:val="000000"/>
          <w:sz w:val="18"/>
          <w:shd w:val="clear" w:color="auto" w:fill="F8F8FA"/>
        </w:rPr>
        <w:t xml:space="preserve">.tif</w:t>
      </w:r>
      <w:r>
        <w:rPr>
          <w:rFonts w:eastAsia="source serif 4" w:cs="source serif 4" w:ascii="source serif 4" w:hAnsi="source serif 4"/>
          <w:color w:val="000000"/>
          <w:sz w:val="21"/>
        </w:rPr>
        <w:t xml:space="preserve"> analysis-ready subsets, preserving georeferencing and coordinate reference systems (ETRS89 / UTM, with zones 33N or 35N depending on site).[^7]</w:t>
      </w:r>
    </w:p>
    <w:p>
      <w:pPr>
        <w:numPr>
          <w:ilvl w:val="0"/>
          <w:numId w:val="9"/>
        </w:numPr>
        <w:spacing w:line="360" w:before="105" w:after="105" w:lineRule="auto"/>
      </w:pPr>
      <w:r>
        <w:rPr>
          <w:rFonts w:eastAsia="source serif 4" w:cs="source serif 4" w:ascii="source serif 4" w:hAnsi="source serif 4"/>
          <w:b/>
          <w:color w:val="000000"/>
          <w:sz w:val="21"/>
        </w:rPr>
        <w:t xml:space="preserve">Metadata handler</w:t>
      </w:r>
      <w:r>
        <w:rPr>
          <w:rFonts w:eastAsia="source serif 4" w:cs="source serif 4" w:ascii="source serif 4" w:hAnsi="source serif 4"/>
          <w:color w:val="000000"/>
          <w:sz w:val="21"/>
        </w:rPr>
        <w:t xml:space="preserve">: Use pandas to ingest metadata CSV files (e.g., </w:t>
      </w:r>
      <w:r>
        <w:rPr>
          <w:rStyle w:val="VerbatimChar"/>
          <w:rFonts w:eastAsia="menlo" w:cs="menlo" w:ascii="menlo" w:hAnsi="menlo"/>
          <w:color w:val="000000"/>
          <w:sz w:val="18"/>
          <w:shd w:val="clear" w:color="auto" w:fill="F8F8FA"/>
        </w:rPr>
        <w:t xml:space="preserve">airbornehyperspectral-metadata-analysisready.csv</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airbornehyperspectral-metadata-perflightline.csv</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airbornehyperspectral-metadata-perplot.csv</w:t>
      </w:r>
      <w:r>
        <w:rPr>
          <w:rFonts w:eastAsia="source serif 4" w:cs="source serif 4" w:ascii="source serif 4" w:hAnsi="source serif 4"/>
          <w:color w:val="000000"/>
          <w:sz w:val="21"/>
        </w:rPr>
        <w:t xml:space="preserve">) and merge them with spectral data through keys like plotID, site, CASIID, CSID, and acquisition date.[</w:t>
      </w:r>
      <w:r>
        <w:rPr>
          <w:rFonts w:eastAsia="source serif 4" w:cs="source serif 4" w:ascii="source serif 4" w:hAnsi="source serif 4"/>
          <w:color w:val="000000"/>
          <w:sz w:val="21"/>
          <w:vertAlign w:val="superscript"/>
        </w:rPr>
        <w:t xml:space="preserve">16][</w:t>
      </w:r>
      <w:r>
        <w:rPr>
          <w:rFonts w:eastAsia="source serif 4" w:cs="source serif 4" w:ascii="source serif 4" w:hAnsi="source serif 4"/>
          <w:color w:val="000000"/>
          <w:sz w:val="21"/>
        </w:rPr>
        <w:t xml:space="preserve">7]</w:t>
      </w:r>
    </w:p>
    <w:p>
      <w:pPr>
        <w:spacing w:line="360" w:before="315" w:after="105" w:lineRule="auto"/>
        <w:ind w:left="-30"/>
        <w:jc w:val="left"/>
      </w:pPr>
      <w:bookmarkStart w:id="18" w:name="preprocessing_and_feature_module"/>
      <w:r>
        <w:rPr>
          <w:rFonts w:eastAsia="source serif 4" w:cs="source serif 4" w:ascii="source serif 4" w:hAnsi="source serif 4"/>
          <w:b/>
          <w:color w:val="000000"/>
          <w:sz w:val="24"/>
        </w:rPr>
        <w:t xml:space="preserve">Preprocessing and Feature Module</w:t>
      </w:r>
      <w:bookmarkEnd w:id="18"/>
    </w:p>
    <w:p>
      <w:pPr>
        <w:numPr>
          <w:ilvl w:val="0"/>
          <w:numId w:val="10"/>
        </w:numPr>
        <w:spacing w:line="360" w:before="105" w:after="105" w:lineRule="auto"/>
      </w:pPr>
      <w:r>
        <w:rPr>
          <w:rFonts w:eastAsia="source serif 4" w:cs="source serif 4" w:ascii="source serif 4" w:hAnsi="source serif 4"/>
          <w:color w:val="000000"/>
          <w:sz w:val="21"/>
        </w:rPr>
        <w:t xml:space="preserve">Implement functions to apply scaling (multiplying by 0.0001), mask no-data values (10000), and select valid pixels within each plot subset.[^7]</w:t>
      </w:r>
    </w:p>
    <w:p>
      <w:pPr>
        <w:numPr>
          <w:ilvl w:val="0"/>
          <w:numId w:val="10"/>
        </w:numPr>
        <w:spacing w:line="360" w:before="105" w:after="105" w:lineRule="auto"/>
      </w:pPr>
      <w:r>
        <w:rPr>
          <w:rFonts w:eastAsia="source serif 4" w:cs="source serif 4" w:ascii="source serif 4" w:hAnsi="source serif 4"/>
          <w:color w:val="000000"/>
          <w:sz w:val="21"/>
        </w:rPr>
        <w:t xml:space="preserve">Implement band-filtering logic based on wavelength metadata and the ranges flagged as noisy or interpolated in the dataset documentation, optionally allowing the user to toggle inclusion of these bands for sensitivity analysis.[</w:t>
      </w:r>
      <w:r>
        <w:rPr>
          <w:rFonts w:eastAsia="source serif 4" w:cs="source serif 4" w:ascii="source serif 4" w:hAnsi="source serif 4"/>
          <w:color w:val="000000"/>
          <w:sz w:val="21"/>
          <w:vertAlign w:val="superscript"/>
        </w:rPr>
        <w:t xml:space="preserve">19][</w:t>
      </w:r>
      <w:r>
        <w:rPr>
          <w:rFonts w:eastAsia="source serif 4" w:cs="source serif 4" w:ascii="source serif 4" w:hAnsi="source serif 4"/>
          <w:color w:val="000000"/>
          <w:sz w:val="21"/>
        </w:rPr>
        <w:t xml:space="preserve">20][^7]</w:t>
      </w:r>
    </w:p>
    <w:p>
      <w:pPr>
        <w:numPr>
          <w:ilvl w:val="0"/>
          <w:numId w:val="10"/>
        </w:numPr>
        <w:spacing w:line="360" w:before="105" w:after="105" w:lineRule="auto"/>
      </w:pPr>
      <w:r>
        <w:rPr>
          <w:rFonts w:eastAsia="source serif 4" w:cs="source serif 4" w:ascii="source serif 4" w:hAnsi="source serif 4"/>
          <w:color w:val="000000"/>
          <w:sz w:val="21"/>
        </w:rPr>
        <w:t xml:space="preserve">Provide utilities to compute plot-level spectral summaries (mean, median, quantiles) and optionally derivative or continuum-removed spectra to emphasize absorption features.[</w:t>
      </w:r>
      <w:r>
        <w:rPr>
          <w:rFonts w:eastAsia="source serif 4" w:cs="source serif 4" w:ascii="source serif 4" w:hAnsi="source serif 4"/>
          <w:color w:val="000000"/>
          <w:sz w:val="21"/>
          <w:vertAlign w:val="superscript"/>
        </w:rPr>
        <w:t xml:space="preserve">5][</w:t>
      </w:r>
      <w:r>
        <w:rPr>
          <w:rFonts w:eastAsia="source serif 4" w:cs="source serif 4" w:ascii="source serif 4" w:hAnsi="source serif 4"/>
          <w:color w:val="000000"/>
          <w:sz w:val="21"/>
        </w:rPr>
        <w:t xml:space="preserve">8][</w:t>
      </w:r>
      <w:r>
        <w:rPr>
          <w:rFonts w:eastAsia="source serif 4" w:cs="source serif 4" w:ascii="source serif 4" w:hAnsi="source serif 4"/>
          <w:color w:val="000000"/>
          <w:sz w:val="21"/>
          <w:vertAlign w:val="superscript"/>
        </w:rPr>
        <w:t xml:space="preserve">18][</w:t>
      </w:r>
      <w:r>
        <w:rPr>
          <w:rFonts w:eastAsia="source serif 4" w:cs="source serif 4" w:ascii="source serif 4" w:hAnsi="source serif 4"/>
          <w:color w:val="000000"/>
          <w:sz w:val="21"/>
        </w:rPr>
        <w:t xml:space="preserve">19]</w:t>
      </w:r>
    </w:p>
    <w:p>
      <w:pPr>
        <w:spacing w:line="360" w:before="315" w:after="105" w:lineRule="auto"/>
        <w:ind w:left="-30"/>
        <w:jc w:val="left"/>
      </w:pPr>
      <w:bookmarkStart w:id="19" w:name="model_and_evaluation_module"/>
      <w:r>
        <w:rPr>
          <w:rFonts w:eastAsia="source serif 4" w:cs="source serif 4" w:ascii="source serif 4" w:hAnsi="source serif 4"/>
          <w:b/>
          <w:color w:val="000000"/>
          <w:sz w:val="24"/>
        </w:rPr>
        <w:t xml:space="preserve">Model and Evaluation Module</w:t>
      </w:r>
      <w:bookmarkEnd w:id="19"/>
    </w:p>
    <w:p>
      <w:pPr>
        <w:numPr>
          <w:ilvl w:val="0"/>
          <w:numId w:val="11"/>
        </w:numPr>
        <w:spacing w:line="360" w:before="105" w:after="105" w:lineRule="auto"/>
      </w:pPr>
      <w:r>
        <w:rPr>
          <w:rFonts w:eastAsia="source serif 4" w:cs="source serif 4" w:ascii="source serif 4" w:hAnsi="source serif 4"/>
          <w:color w:val="000000"/>
          <w:sz w:val="21"/>
        </w:rPr>
        <w:t xml:space="preserve">Implement wrappers for scikit-learn classifiers (logistic regression, random forest, gradient boosting, SVM) and for neural models (1D and 3D CNNs using PyTorch or TensorFlow). Use pipelines that combine dimensionality reduction (e.g., PCA, partial least squares) with classifiers, as often done in hyperspectral classification.[</w:t>
      </w:r>
      <w:r>
        <w:rPr>
          <w:rFonts w:eastAsia="source serif 4" w:cs="source serif 4" w:ascii="source serif 4" w:hAnsi="source serif 4"/>
          <w:color w:val="000000"/>
          <w:sz w:val="21"/>
          <w:vertAlign w:val="superscript"/>
        </w:rPr>
        <w:t xml:space="preserve">8][</w:t>
      </w:r>
      <w:r>
        <w:rPr>
          <w:rFonts w:eastAsia="source serif 4" w:cs="source serif 4" w:ascii="source serif 4" w:hAnsi="source serif 4"/>
          <w:color w:val="000000"/>
          <w:sz w:val="21"/>
        </w:rPr>
        <w:t xml:space="preserve">12][</w:t>
      </w:r>
      <w:r>
        <w:rPr>
          <w:rFonts w:eastAsia="source serif 4" w:cs="source serif 4" w:ascii="source serif 4" w:hAnsi="source serif 4"/>
          <w:color w:val="000000"/>
          <w:sz w:val="21"/>
          <w:vertAlign w:val="superscript"/>
        </w:rPr>
        <w:t xml:space="preserve">2][</w:t>
      </w:r>
      <w:r>
        <w:rPr>
          <w:rFonts w:eastAsia="source serif 4" w:cs="source serif 4" w:ascii="source serif 4" w:hAnsi="source serif 4"/>
          <w:color w:val="000000"/>
          <w:sz w:val="21"/>
        </w:rPr>
        <w:t xml:space="preserve">5]</w:t>
      </w:r>
    </w:p>
    <w:p>
      <w:pPr>
        <w:numPr>
          <w:ilvl w:val="0"/>
          <w:numId w:val="11"/>
        </w:numPr>
        <w:spacing w:line="360" w:before="105" w:after="105" w:lineRule="auto"/>
      </w:pPr>
      <w:r>
        <w:rPr>
          <w:rFonts w:eastAsia="source serif 4" w:cs="source serif 4" w:ascii="source serif 4" w:hAnsi="source serif 4"/>
          <w:color w:val="000000"/>
          <w:sz w:val="21"/>
        </w:rPr>
        <w:t xml:space="preserve">Implement GroupKFold and leave-one-site-out cross-validation for both location and forest-type tasks. Groups are defined by site or plot ID, ensuring that all samples from a held-out site are excluded from training in each fold, in line with domain-generalization literature.[</w:t>
      </w:r>
      <w:r>
        <w:rPr>
          <w:rFonts w:eastAsia="source serif 4" w:cs="source serif 4" w:ascii="source serif 4" w:hAnsi="source serif 4"/>
          <w:color w:val="000000"/>
          <w:sz w:val="21"/>
          <w:vertAlign w:val="superscript"/>
        </w:rPr>
        <w:t xml:space="preserve">14][</w:t>
      </w:r>
      <w:r>
        <w:rPr>
          <w:rFonts w:eastAsia="source serif 4" w:cs="source serif 4" w:ascii="source serif 4" w:hAnsi="source serif 4"/>
          <w:color w:val="000000"/>
          <w:sz w:val="21"/>
        </w:rPr>
        <w:t xml:space="preserve">17][^11]</w:t>
      </w:r>
    </w:p>
    <w:p>
      <w:pPr>
        <w:numPr>
          <w:ilvl w:val="0"/>
          <w:numId w:val="11"/>
        </w:numPr>
        <w:spacing w:line="360" w:before="105" w:after="105" w:lineRule="auto"/>
      </w:pPr>
      <w:r>
        <w:rPr>
          <w:rFonts w:eastAsia="source serif 4" w:cs="source serif 4" w:ascii="source serif 4" w:hAnsi="source serif 4"/>
          <w:color w:val="000000"/>
          <w:sz w:val="21"/>
        </w:rPr>
        <w:t xml:space="preserve">Compute standard metrics such as overall accuracy, per-class precision and recall, confusion matrices, and kappa coefficients, mirroring the evaluation in similar forest-type classification studies.[</w:t>
      </w:r>
      <w:r>
        <w:rPr>
          <w:rFonts w:eastAsia="source serif 4" w:cs="source serif 4" w:ascii="source serif 4" w:hAnsi="source serif 4"/>
          <w:color w:val="000000"/>
          <w:sz w:val="21"/>
          <w:vertAlign w:val="superscript"/>
        </w:rPr>
        <w:t xml:space="preserve">12][</w:t>
      </w:r>
      <w:r>
        <w:rPr>
          <w:rFonts w:eastAsia="source serif 4" w:cs="source serif 4" w:ascii="source serif 4" w:hAnsi="source serif 4"/>
          <w:color w:val="000000"/>
          <w:sz w:val="21"/>
        </w:rPr>
        <w:t xml:space="preserve">15][</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8]</w:t>
      </w:r>
    </w:p>
    <w:p>
      <w:pPr>
        <w:spacing w:line="360" w:after="210" w:lineRule="auto"/>
      </w:pPr>
      <w:r>
        <w:rPr>
          <w:rFonts w:eastAsia="source serif 4" w:cs="source serif 4" w:ascii="source serif 4" w:hAnsi="source serif 4"/>
          <w:color w:val="000000"/>
        </w:rPr>
        <w:t xml:space="preserve">This implementation plan ensures that the codebase is reusable for future experiments with additional models, new forest-type definitions, or other hyperspectral datasets with similar ENVI/GeoTIFF formats.</w:t>
      </w:r>
    </w:p>
    <w:p>
      <w:pPr>
        <w:spacing w:line="360" w:before="315" w:after="105" w:lineRule="auto"/>
        <w:ind w:left="-30"/>
        <w:jc w:val="left"/>
      </w:pPr>
      <w:bookmarkStart w:id="20" w:name="empirical_evaluation_methodology"/>
      <w:r>
        <w:rPr>
          <w:rFonts w:eastAsia="source serif 4" w:cs="source serif 4" w:ascii="source serif 4" w:hAnsi="source serif 4"/>
          <w:b/>
          <w:color w:val="000000"/>
          <w:sz w:val="24"/>
        </w:rPr>
        <w:t xml:space="preserve">Empirical Evaluation Methodology</w:t>
      </w:r>
      <w:bookmarkEnd w:id="20"/>
    </w:p>
    <w:p>
      <w:pPr>
        <w:spacing w:line="360" w:after="210" w:lineRule="auto"/>
      </w:pPr>
      <w:r>
        <w:rPr>
          <w:rFonts w:eastAsia="source serif 4" w:cs="source serif 4" w:ascii="source serif 4" w:hAnsi="source serif 4"/>
          <w:color w:val="000000"/>
        </w:rPr>
        <w:t xml:space="preserve">The empirical evaluation is structured to answer the research questions while minimizing optimistic bias from spatial or temporal leakage.</w:t>
      </w:r>
    </w:p>
    <w:p>
      <w:pPr>
        <w:spacing w:line="360" w:before="315" w:after="105" w:lineRule="auto"/>
        <w:ind w:left="-30"/>
        <w:jc w:val="left"/>
      </w:pPr>
      <w:bookmarkStart w:id="21" w:name="data_splits"/>
      <w:r>
        <w:rPr>
          <w:rFonts w:eastAsia="source serif 4" w:cs="source serif 4" w:ascii="source serif 4" w:hAnsi="source serif 4"/>
          <w:b/>
          <w:color w:val="000000"/>
          <w:sz w:val="24"/>
        </w:rPr>
        <w:t xml:space="preserve">Data Splits</w:t>
      </w:r>
      <w:bookmarkEnd w:id="21"/>
    </w:p>
    <w:p>
      <w:pPr>
        <w:numPr>
          <w:ilvl w:val="0"/>
          <w:numId w:val="12"/>
        </w:numPr>
        <w:spacing w:line="360" w:before="105" w:after="105" w:lineRule="auto"/>
      </w:pPr>
      <w:r>
        <w:rPr>
          <w:rFonts w:eastAsia="source serif 4" w:cs="source serif 4" w:ascii="source serif 4" w:hAnsi="source serif 4"/>
          <w:b/>
          <w:color w:val="000000"/>
          <w:sz w:val="21"/>
        </w:rPr>
        <w:t xml:space="preserve">GroupKFold by plot</w:t>
      </w:r>
      <w:r>
        <w:rPr>
          <w:rFonts w:eastAsia="source serif 4" w:cs="source serif 4" w:ascii="source serif 4" w:hAnsi="source serif 4"/>
          <w:color w:val="000000"/>
          <w:sz w:val="21"/>
        </w:rPr>
        <w:t xml:space="preserve">: For plot-level models, use GroupKFold where each group corresponds to a plot, ensuring that all pixels or aggregations from a plot appear either in training or validation but not both. This prevents overfitting to plot-specific conditions.</w:t>
      </w:r>
    </w:p>
    <w:p>
      <w:pPr>
        <w:numPr>
          <w:ilvl w:val="0"/>
          <w:numId w:val="12"/>
        </w:numPr>
        <w:spacing w:line="360" w:before="105" w:after="105" w:lineRule="auto"/>
      </w:pPr>
      <w:r>
        <w:rPr>
          <w:rFonts w:eastAsia="source serif 4" w:cs="source serif 4" w:ascii="source serif 4" w:hAnsi="source serif 4"/>
          <w:b/>
          <w:color w:val="000000"/>
          <w:sz w:val="21"/>
        </w:rPr>
        <w:t xml:space="preserve">GroupKFold by site</w:t>
      </w:r>
      <w:r>
        <w:rPr>
          <w:rFonts w:eastAsia="source serif 4" w:cs="source serif 4" w:ascii="source serif 4" w:hAnsi="source serif 4"/>
          <w:color w:val="000000"/>
          <w:sz w:val="21"/>
        </w:rPr>
        <w:t xml:space="preserve">: For cross-site analysis, treat each site as a group and perform leave-one-site-out validation: train on three sites and test on the fourth, cycling through all sites. This mirrors domain-generalization experiments that assess transferability to unseen environments.[</w:t>
      </w:r>
      <w:r>
        <w:rPr>
          <w:rFonts w:eastAsia="source serif 4" w:cs="source serif 4" w:ascii="source serif 4" w:hAnsi="source serif 4"/>
          <w:color w:val="000000"/>
          <w:sz w:val="21"/>
          <w:vertAlign w:val="superscript"/>
        </w:rPr>
        <w:t xml:space="preserve">17][</w:t>
      </w:r>
      <w:r>
        <w:rPr>
          <w:rFonts w:eastAsia="source serif 4" w:cs="source serif 4" w:ascii="source serif 4" w:hAnsi="source serif 4"/>
          <w:color w:val="000000"/>
          <w:sz w:val="21"/>
        </w:rPr>
        <w:t xml:space="preserve">11]</w:t>
      </w:r>
    </w:p>
    <w:p>
      <w:pPr>
        <w:spacing w:line="360" w:before="315" w:after="105" w:lineRule="auto"/>
        <w:ind w:left="-30"/>
        <w:jc w:val="left"/>
      </w:pPr>
      <w:bookmarkStart w:id="22" w:name="tasks_and_metrics"/>
      <w:r>
        <w:rPr>
          <w:rFonts w:eastAsia="source serif 4" w:cs="source serif 4" w:ascii="source serif 4" w:hAnsi="source serif 4"/>
          <w:b/>
          <w:color w:val="000000"/>
          <w:sz w:val="24"/>
        </w:rPr>
        <w:t xml:space="preserve">Tasks and Metrics</w:t>
      </w:r>
      <w:bookmarkEnd w:id="22"/>
    </w:p>
    <w:p>
      <w:pPr>
        <w:numPr>
          <w:ilvl w:val="0"/>
          <w:numId w:val="13"/>
        </w:numPr>
        <w:spacing w:line="360" w:before="105" w:after="105" w:lineRule="auto"/>
      </w:pPr>
      <w:r>
        <w:rPr>
          <w:rFonts w:eastAsia="source serif 4" w:cs="source serif 4" w:ascii="source serif 4" w:hAnsi="source serif 4"/>
          <w:b/>
          <w:color w:val="000000"/>
          <w:sz w:val="21"/>
        </w:rPr>
        <w:t xml:space="preserve">Location prediction</w:t>
      </w:r>
      <w:r>
        <w:rPr>
          <w:rFonts w:eastAsia="source serif 4" w:cs="source serif 4" w:ascii="source serif 4" w:hAnsi="source serif 4"/>
          <w:color w:val="000000"/>
          <w:sz w:val="21"/>
        </w:rPr>
        <w:t xml:space="preserve">: Train classifiers to predict site ID from plot-level spectra. Evaluate accuracy and confusion between sites to quantify how strongly site differences manifest spectrally.</w:t>
      </w:r>
    </w:p>
    <w:p>
      <w:pPr>
        <w:numPr>
          <w:ilvl w:val="0"/>
          <w:numId w:val="13"/>
        </w:numPr>
        <w:spacing w:line="360" w:before="105" w:after="105" w:lineRule="auto"/>
      </w:pPr>
      <w:r>
        <w:rPr>
          <w:rFonts w:eastAsia="source serif 4" w:cs="source serif 4" w:ascii="source serif 4" w:hAnsi="source serif 4"/>
          <w:b/>
          <w:color w:val="000000"/>
          <w:sz w:val="21"/>
        </w:rPr>
        <w:t xml:space="preserve">Forest-type prediction</w:t>
      </w:r>
      <w:r>
        <w:rPr>
          <w:rFonts w:eastAsia="source serif 4" w:cs="source serif 4" w:ascii="source serif 4" w:hAnsi="source serif 4"/>
          <w:color w:val="000000"/>
          <w:sz w:val="21"/>
        </w:rPr>
        <w:t xml:space="preserve">: Train classifiers to predict forest-type labels from the same features, under GroupKFold by plot and leave-one-site-out by site. Evaluate performance per class, focusing on whether rare or ecologically distinctive types are detectable.[</w:t>
      </w:r>
      <w:r>
        <w:rPr>
          <w:rFonts w:eastAsia="source serif 4" w:cs="source serif 4" w:ascii="source serif 4" w:hAnsi="source serif 4"/>
          <w:color w:val="000000"/>
          <w:sz w:val="21"/>
          <w:vertAlign w:val="superscript"/>
        </w:rPr>
        <w:t xml:space="preserve">15][</w:t>
      </w:r>
      <w:r>
        <w:rPr>
          <w:rFonts w:eastAsia="source serif 4" w:cs="source serif 4" w:ascii="source serif 4" w:hAnsi="source serif 4"/>
          <w:color w:val="000000"/>
          <w:sz w:val="21"/>
        </w:rPr>
        <w:t xml:space="preserve">1][^19]</w:t>
      </w:r>
    </w:p>
    <w:p>
      <w:pPr>
        <w:spacing w:line="360" w:after="210" w:lineRule="auto"/>
      </w:pPr>
      <w:r>
        <w:rPr>
          <w:rFonts w:eastAsia="source serif 4" w:cs="source serif 4" w:ascii="source serif 4" w:hAnsi="source serif 4"/>
          <w:color w:val="000000"/>
        </w:rPr>
        <w:t xml:space="preserve">Following related work, random forest and gradient boosting are expected baselines for tabular spectral features, while CNN models are likely to offer improved performance when trained on sufficient data with spatial–spectral patches.[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3][</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12]</w:t>
      </w:r>
    </w:p>
    <w:p>
      <w:pPr>
        <w:spacing w:line="360" w:before="315" w:after="105" w:lineRule="auto"/>
        <w:ind w:left="-30"/>
        <w:jc w:val="left"/>
      </w:pPr>
      <w:bookmarkStart w:id="23" w:name="ablation_and_sensitivity_analyses"/>
      <w:r>
        <w:rPr>
          <w:rFonts w:eastAsia="source serif 4" w:cs="source serif 4" w:ascii="source serif 4" w:hAnsi="source serif 4"/>
          <w:b/>
          <w:color w:val="000000"/>
          <w:sz w:val="24"/>
        </w:rPr>
        <w:t xml:space="preserve">Ablation and Sensitivity Analyses</w:t>
      </w:r>
      <w:bookmarkEnd w:id="23"/>
    </w:p>
    <w:p>
      <w:pPr>
        <w:spacing w:line="360" w:after="210" w:lineRule="auto"/>
      </w:pPr>
      <w:r>
        <w:rPr>
          <w:rFonts w:eastAsia="source serif 4" w:cs="source serif 4" w:ascii="source serif 4" w:hAnsi="source serif 4"/>
          <w:color w:val="000000"/>
        </w:rPr>
        <w:t xml:space="preserve">To better understand what works and why, several ablation experiments are planned:</w:t>
      </w:r>
    </w:p>
    <w:p>
      <w:pPr>
        <w:numPr>
          <w:ilvl w:val="0"/>
          <w:numId w:val="14"/>
        </w:numPr>
        <w:spacing w:line="360" w:before="105" w:after="105" w:lineRule="auto"/>
      </w:pPr>
      <w:r>
        <w:rPr>
          <w:rFonts w:eastAsia="source serif 4" w:cs="source serif 4" w:ascii="source serif 4" w:hAnsi="source serif 4"/>
          <w:b/>
          <w:color w:val="000000"/>
          <w:sz w:val="21"/>
        </w:rPr>
        <w:t xml:space="preserve">Band-range analysis</w:t>
      </w:r>
      <w:r>
        <w:rPr>
          <w:rFonts w:eastAsia="source serif 4" w:cs="source serif 4" w:ascii="source serif 4" w:hAnsi="source serif 4"/>
          <w:color w:val="000000"/>
          <w:sz w:val="21"/>
        </w:rPr>
        <w:t xml:space="preserve">: Compare models trained on full spectra versus those restricted to specific spectral regions (e.g., visible–NIR vs. SWIR) to assess which regions contribute most to forest-type separability.[</w:t>
      </w:r>
      <w:r>
        <w:rPr>
          <w:rFonts w:eastAsia="source serif 4" w:cs="source serif 4" w:ascii="source serif 4" w:hAnsi="source serif 4"/>
          <w:color w:val="000000"/>
          <w:sz w:val="21"/>
          <w:vertAlign w:val="superscript"/>
        </w:rPr>
        <w:t xml:space="preserve">18][</w:t>
      </w:r>
      <w:r>
        <w:rPr>
          <w:rFonts w:eastAsia="source serif 4" w:cs="source serif 4" w:ascii="source serif 4" w:hAnsi="source serif 4"/>
          <w:color w:val="000000"/>
          <w:sz w:val="21"/>
        </w:rPr>
        <w:t xml:space="preserve">8][</w:t>
      </w:r>
      <w:r>
        <w:rPr>
          <w:rFonts w:eastAsia="source serif 4" w:cs="source serif 4" w:ascii="source serif 4" w:hAnsi="source serif 4"/>
          <w:color w:val="000000"/>
          <w:sz w:val="21"/>
          <w:vertAlign w:val="superscript"/>
        </w:rPr>
        <w:t xml:space="preserve">20][</w:t>
      </w:r>
      <w:r>
        <w:rPr>
          <w:rFonts w:eastAsia="source serif 4" w:cs="source serif 4" w:ascii="source serif 4" w:hAnsi="source serif 4"/>
          <w:color w:val="000000"/>
          <w:sz w:val="21"/>
        </w:rPr>
        <w:t xml:space="preserve">19]</w:t>
      </w:r>
    </w:p>
    <w:p>
      <w:pPr>
        <w:numPr>
          <w:ilvl w:val="0"/>
          <w:numId w:val="14"/>
        </w:numPr>
        <w:spacing w:line="360" w:before="105" w:after="105" w:lineRule="auto"/>
      </w:pPr>
      <w:r>
        <w:rPr>
          <w:rFonts w:eastAsia="source serif 4" w:cs="source serif 4" w:ascii="source serif 4" w:hAnsi="source serif 4"/>
          <w:b/>
          <w:color w:val="000000"/>
          <w:sz w:val="21"/>
        </w:rPr>
        <w:t xml:space="preserve">Structural context</w:t>
      </w:r>
      <w:r>
        <w:rPr>
          <w:rFonts w:eastAsia="source serif 4" w:cs="source serif 4" w:ascii="source serif 4" w:hAnsi="source serif 4"/>
          <w:color w:val="000000"/>
          <w:sz w:val="21"/>
        </w:rPr>
        <w:t xml:space="preserve">: Where airborne laser-scanning data are available, optionally add simple height metrics to plot-level features to test the added value of structure, building on findings that canopy-height-model metrics can outperform hyperspectral metrics alone for some forest-type tasks.[</w:t>
      </w:r>
      <w:r>
        <w:rPr>
          <w:rFonts w:eastAsia="source serif 4" w:cs="source serif 4" w:ascii="source serif 4" w:hAnsi="source serif 4"/>
          <w:color w:val="000000"/>
          <w:sz w:val="21"/>
          <w:vertAlign w:val="superscript"/>
        </w:rPr>
        <w:t xml:space="preserve">15][</w:t>
      </w:r>
      <w:r>
        <w:rPr>
          <w:rFonts w:eastAsia="source serif 4" w:cs="source serif 4" w:ascii="source serif 4" w:hAnsi="source serif 4"/>
          <w:color w:val="000000"/>
          <w:sz w:val="21"/>
        </w:rPr>
        <w:t xml:space="preserve">19]</w:t>
      </w:r>
    </w:p>
    <w:p>
      <w:pPr>
        <w:numPr>
          <w:ilvl w:val="0"/>
          <w:numId w:val="14"/>
        </w:numPr>
        <w:spacing w:line="360" w:before="105" w:after="105" w:lineRule="auto"/>
      </w:pPr>
      <w:r>
        <w:rPr>
          <w:rFonts w:eastAsia="source serif 4" w:cs="source serif 4" w:ascii="source serif 4" w:hAnsi="source serif 4"/>
          <w:b/>
          <w:color w:val="000000"/>
          <w:sz w:val="21"/>
        </w:rPr>
        <w:t xml:space="preserve">Domain-invariant vs. domain-specific embeddings</w:t>
      </w:r>
      <w:r>
        <w:rPr>
          <w:rFonts w:eastAsia="source serif 4" w:cs="source serif 4" w:ascii="source serif 4" w:hAnsi="source serif 4"/>
          <w:color w:val="000000"/>
          <w:sz w:val="21"/>
        </w:rPr>
        <w:t xml:space="preserve">: Train neural models with and without adversarial domain regularization or domain-adaptation components to see how reducing site information in the latent space affects location and forest-type prediction accuracy.[</w:t>
      </w:r>
      <w:r>
        <w:rPr>
          <w:rFonts w:eastAsia="source serif 4" w:cs="source serif 4" w:ascii="source serif 4" w:hAnsi="source serif 4"/>
          <w:color w:val="000000"/>
          <w:sz w:val="21"/>
          <w:vertAlign w:val="superscript"/>
        </w:rPr>
        <w:t xml:space="preserve">11][</w:t>
      </w:r>
      <w:r>
        <w:rPr>
          <w:rFonts w:eastAsia="source serif 4" w:cs="source serif 4" w:ascii="source serif 4" w:hAnsi="source serif 4"/>
          <w:color w:val="000000"/>
          <w:sz w:val="21"/>
        </w:rPr>
        <w:t xml:space="preserve">14][^17]</w:t>
      </w:r>
    </w:p>
    <w:p>
      <w:pPr>
        <w:spacing w:line="360" w:after="210" w:lineRule="auto"/>
      </w:pPr>
      <w:r>
        <w:rPr>
          <w:rFonts w:eastAsia="source serif 4" w:cs="source serif 4" w:ascii="source serif 4" w:hAnsi="source serif 4"/>
          <w:color w:val="000000"/>
        </w:rPr>
        <w:t xml:space="preserve">These analyses will help identify whether poor generalization is due to intrinsic spectral ambiguity, lack of structural information, or model limitations.</w:t>
      </w:r>
    </w:p>
    <w:p>
      <w:pPr>
        <w:spacing w:line="360" w:before="315" w:after="105" w:lineRule="auto"/>
        <w:ind w:left="-30"/>
        <w:jc w:val="left"/>
      </w:pPr>
      <w:bookmarkStart w:id="24" w:name="expected_results"/>
      <w:r>
        <w:rPr>
          <w:rFonts w:eastAsia="source serif 4" w:cs="source serif 4" w:ascii="source serif 4" w:hAnsi="source serif 4"/>
          <w:b/>
          <w:color w:val="000000"/>
          <w:sz w:val="24"/>
        </w:rPr>
        <w:t xml:space="preserve">Expected Results</w:t>
      </w:r>
      <w:bookmarkEnd w:id="24"/>
    </w:p>
    <w:p>
      <w:pPr>
        <w:spacing w:line="360" w:after="210" w:lineRule="auto"/>
      </w:pPr>
      <w:r>
        <w:rPr>
          <w:rFonts w:eastAsia="source serif 4" w:cs="source serif 4" w:ascii="source serif 4" w:hAnsi="source serif 4"/>
          <w:color w:val="000000"/>
        </w:rPr>
        <w:t xml:space="preserve">Based on prior literature, several qualitative expectations guide the interpretation of results. First, location prediction is likely to be easier than forest-type prediction because sites differ not only in species composition but also in climate, soil, understory, and acquisition conditions, all of which affect spectra. High accuracy in predicting site from spectra would confirm that domain-specific information is strongly encoded and motivate domain-generalization strategies when the goal is transfer across sites.[</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19][</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17][</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16]</w:t>
      </w:r>
    </w:p>
    <w:p>
      <w:pPr>
        <w:spacing w:line="360" w:after="210" w:lineRule="auto"/>
      </w:pPr>
      <w:r>
        <w:rPr>
          <w:rFonts w:eastAsia="source serif 4" w:cs="source serif 4" w:ascii="source serif 4" w:hAnsi="source serif 4"/>
          <w:color w:val="000000"/>
        </w:rPr>
        <w:t xml:space="preserve">Second, forest-type prediction using hyperspectral bands alone is expected to yield moderate but not perfect accuracies, particularly when evaluated on unseen sites. Studies combining hyperspectral and LiDAR data for forest-type classification have reported that structural metrics can outperform raw hyperspectral bands, and that the best performance is achieved when both data sources are combined. Consequently, this study may find that airborne hyperspectral spectra alone capture a significant but incomplete fraction of the information needed to distinguish forest types across sites.[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19][^15]</w:t>
      </w:r>
    </w:p>
    <w:p>
      <w:pPr>
        <w:spacing w:line="360" w:after="210" w:lineRule="auto"/>
      </w:pPr>
      <w:r>
        <w:rPr>
          <w:rFonts w:eastAsia="source serif 4" w:cs="source serif 4" w:ascii="source serif 4" w:hAnsi="source serif 4"/>
          <w:color w:val="000000"/>
        </w:rPr>
        <w:t xml:space="preserve">Third, spatial–spectral deep-learning models may outperform purely spectral baselines where enough training data exist, as seen in tree-species and forest-type classification from hyperspectral imagery. However, their benefits under strict leave-one-site-out evaluation will depend on how well they can learn domain-invariant features or whether they overfit to site-specific patterns.[</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3][</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12][^1]</w:t>
      </w:r>
    </w:p>
    <w:p>
      <w:pPr>
        <w:spacing w:line="360" w:before="315" w:after="105" w:lineRule="auto"/>
        <w:ind w:left="-30"/>
        <w:jc w:val="left"/>
      </w:pPr>
      <w:bookmarkStart w:id="25" w:name="discussion"/>
      <w:r>
        <w:rPr>
          <w:rFonts w:eastAsia="source serif 4" w:cs="source serif 4" w:ascii="source serif 4" w:hAnsi="source serif 4"/>
          <w:b/>
          <w:color w:val="000000"/>
          <w:sz w:val="24"/>
        </w:rPr>
        <w:t xml:space="preserve">Discussion</w:t>
      </w:r>
      <w:bookmarkEnd w:id="25"/>
    </w:p>
    <w:p>
      <w:pPr>
        <w:spacing w:line="360" w:after="210" w:lineRule="auto"/>
      </w:pPr>
      <w:r>
        <w:rPr>
          <w:rFonts w:eastAsia="source serif 4" w:cs="source serif 4" w:ascii="source serif 4" w:hAnsi="source serif 4"/>
          <w:color w:val="000000"/>
        </w:rPr>
        <w:t xml:space="preserve">The proposed framework, grounded in both the design of the spectral–structural dataset and the broader literature on hyperspectral forest mapping and domain adaptation, provides a principled way to assess whether forest type and location can be recovered from airborne spectra. If models achieve high forest-type accuracy under leave-one-site-out validation, this would imply that airborne hyperspectral measurements capture robust ecological signatures that transcend local conditions, supporting their use as a reference for satellite calibration and global monitoring systems.[</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19][</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16]</w:t>
      </w:r>
    </w:p>
    <w:p>
      <w:pPr>
        <w:spacing w:line="360" w:after="210" w:lineRule="auto"/>
      </w:pPr>
      <w:r>
        <w:rPr>
          <w:rFonts w:eastAsia="source serif 4" w:cs="source serif 4" w:ascii="source serif 4" w:hAnsi="source serif 4"/>
          <w:color w:val="000000"/>
        </w:rPr>
        <w:t xml:space="preserve">If, on the other hand, performance drops more sharply under cross-site evaluation than within-site evaluation, this would align with concerns in domain-shift literature that models trained on local data do not generalize to new environments without additional adaptation, whether for hyperspectral data or high-resolution optical imagery. Such a finding would underline the need for strategies like domain-generalization, multi-site calibration, or integration of structural information from airborne laser scanning.[</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14][</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11]</w:t>
      </w:r>
    </w:p>
    <w:p>
      <w:pPr>
        <w:spacing w:line="360" w:after="210" w:lineRule="auto"/>
      </w:pPr>
      <w:r>
        <w:rPr>
          <w:rFonts w:eastAsia="source serif 4" w:cs="source serif 4" w:ascii="source serif 4" w:hAnsi="source serif 4"/>
          <w:color w:val="000000"/>
        </w:rPr>
        <w:t xml:space="preserve">Finally, the emphasis on using the original </w:t>
      </w:r>
      <w:r>
        <w:rPr>
          <w:rStyle w:val="VerbatimChar"/>
          <w:rFonts w:eastAsia="menlo" w:cs="menlo" w:ascii="menlo" w:hAnsi="menlo"/>
          <w:color w:val="000000"/>
          <w:sz w:val="18"/>
          <w:shd w:val="clear" w:color="auto" w:fill="F8F8FA"/>
        </w:rPr>
        <w:t xml:space="preserve">.bsq</w:t>
      </w:r>
      <w:r>
        <w:rPr>
          <w:rFonts w:eastAsia="source serif 4" w:cs="source serif 4" w:ascii="source serif 4" w:hAnsi="source serif 4"/>
          <w:color w:val="000000"/>
        </w:rPr>
        <w:t xml:space="preserve">/</w:t>
      </w:r>
      <w:r>
        <w:rPr>
          <w:rStyle w:val="VerbatimChar"/>
          <w:rFonts w:eastAsia="menlo" w:cs="menlo" w:ascii="menlo" w:hAnsi="menlo"/>
          <w:color w:val="000000"/>
          <w:sz w:val="18"/>
          <w:shd w:val="clear" w:color="auto" w:fill="F8F8FA"/>
        </w:rPr>
        <w:t xml:space="preserve">.hdr</w:t>
      </w:r>
      <w:r>
        <w:rPr>
          <w:rFonts w:eastAsia="source serif 4" w:cs="source serif 4" w:ascii="source serif 4" w:hAnsi="source serif 4"/>
          <w:color w:val="000000"/>
        </w:rPr>
        <w:t xml:space="preserve"> flightlines and GeoTIFF subsets ensures that the work directly engages with the full complexity of airborne hyperspectral data rather than relying solely on pre-aggregated tables. This choice not only enhances scientific rigor but also yields a reusable codebase that can support future studies on radiative-transfer modeling, multi-scale spectral–structural relationships, and cross-sensor harmonization.[</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16][^7]</w:t>
      </w:r>
    </w:p>
    <w:p>
      <w:pPr>
        <w:spacing w:line="360" w:before="315" w:after="105" w:lineRule="auto"/>
        <w:ind w:left="-30"/>
        <w:jc w:val="left"/>
      </w:pPr>
      <w:bookmarkStart w:id="26" w:name="conclusions"/>
      <w:r>
        <w:rPr>
          <w:rFonts w:eastAsia="source serif 4" w:cs="source serif 4" w:ascii="source serif 4" w:hAnsi="source serif 4"/>
          <w:b/>
          <w:color w:val="000000"/>
          <w:sz w:val="24"/>
        </w:rPr>
        <w:t xml:space="preserve">Conclusions</w:t>
      </w:r>
      <w:bookmarkEnd w:id="26"/>
    </w:p>
    <w:p>
      <w:pPr>
        <w:spacing w:line="360" w:after="210" w:lineRule="auto"/>
      </w:pPr>
      <w:r>
        <w:rPr>
          <w:rFonts w:eastAsia="source serif 4" w:cs="source serif 4" w:ascii="source serif 4" w:hAnsi="source serif 4"/>
          <w:color w:val="000000"/>
        </w:rPr>
        <w:t xml:space="preserve">This report has outlined a scientific-article-style plan for investigating whether forest location and forest type can be recovered from airborne hyperspectral spectra in European temperate, hemiboreal, and boreal forests. Using a multi-scale spectral–structural dataset that includes ENVI flightlines and analysis-ready GeoTIFF subsets, the approach focuses on two tasks: predicting site/plot location and predicting forest type from spectral data alone. Drawing on extensive literature in hyperspectral forest mapping, tree-species and forest-type classification, deep-learning-based hyperspectral image classification, and domain adaptation/generalization, it proposes a modular pipeline that ingests </w:t>
      </w:r>
      <w:r>
        <w:rPr>
          <w:rStyle w:val="VerbatimChar"/>
          <w:rFonts w:eastAsia="menlo" w:cs="menlo" w:ascii="menlo" w:hAnsi="menlo"/>
          <w:color w:val="000000"/>
          <w:sz w:val="18"/>
          <w:shd w:val="clear" w:color="auto" w:fill="F8F8FA"/>
        </w:rPr>
        <w:t xml:space="preserve">.bsq</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.hdr</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.tif</w:t>
      </w:r>
      <w:r>
        <w:rPr>
          <w:rFonts w:eastAsia="source serif 4" w:cs="source serif 4" w:ascii="source serif 4" w:hAnsi="source serif 4"/>
          <w:color w:val="000000"/>
        </w:rPr>
        <w:t xml:space="preserve"> files, preprocesses reflectance factors, constructs spectral features, and trains a range of classical and deep models under grouped cross-validation and leave-one-site-out regimes.[</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6][</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8][</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19][</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16][</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7]</w:t>
      </w:r>
    </w:p>
    <w:p>
      <w:pPr>
        <w:spacing w:line="360" w:after="210" w:lineRule="auto"/>
      </w:pPr>
      <w:r>
        <w:rPr>
          <w:rFonts w:eastAsia="source serif 4" w:cs="source serif 4" w:ascii="source serif 4" w:hAnsi="source serif 4"/>
          <w:color w:val="000000"/>
        </w:rPr>
        <w:t xml:space="preserve">While empirical results remain to be generated, expectations from related work suggest that spectra should strongly encode site-specific information and moderately encode forest-type distinctions, with structural metrics providing additional discriminatory power when available. The planned experiments and ablations will clarify the extent to which forest types are spectrally separable across sites and how model design and validation strategy influence conclusions about generalization. The resulting code and methodology will be reusable for further work on hyperspectral forest monitoring, radiative-transfer model validation, and cross-domain classification.[</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19][</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references"/>
      <w:r>
        <w:rPr>
          <w:rFonts w:eastAsia="source serif 4" w:cs="source serif 4" w:ascii="source serif 4" w:hAnsi="source serif 4"/>
          <w:b/>
          <w:color w:val="000000"/>
          <w:sz w:val="24"/>
        </w:rPr>
        <w:t xml:space="preserve">References</w:t>
      </w:r>
      <w:bookmarkEnd w:id="27"/>
    </w:p>
    <w:p>
      <w:pPr>
        <w:numPr>
          <w:ilvl w:val="0"/>
          <w:numId w:val="15"/>
        </w:numPr>
        <w:spacing w:line="360" w:after="210" w:lineRule="auto"/>
      </w:pPr>
      <w:hyperlink r:id="rId5">
        <w:r>
          <w:rPr>
            <w:rFonts w:eastAsia="source sans 3" w:cs="source sans 3" w:ascii="source sans 3" w:hAnsi="source sans 3"/>
            <w:color w:val="#000"/>
            <w:sz w:val="21"/>
            <w:u w:val="single"/>
          </w:rPr>
          <w:t xml:space="preserve">A model for forest type identification and forest regeneration ...</w:t>
        </w:r>
      </w:hyperlink>
      <w:r>
        <w:rPr>
          <w:rFonts w:eastAsia="source serif 4" w:cs="source serif 4" w:ascii="source serif 4" w:hAnsi="source serif 4"/>
          <w:color w:val="000000"/>
          <w:sz w:val="21"/>
        </w:rPr>
        <w:t xml:space="preserve"> - This study aims to use hyperspectral imagery to classify forest types containing representative tree...</w:t>
      </w:r>
    </w:p>
    <w:p>
      <w:pPr>
        <w:numPr>
          <w:ilvl w:val="0"/>
          <w:numId w:val="15"/>
        </w:numPr>
        <w:spacing w:line="360" w:after="210" w:lineRule="auto"/>
      </w:pPr>
      <w:hyperlink r:id="rId6">
        <w:r>
          <w:rPr>
            <w:rFonts w:eastAsia="source sans 3" w:cs="source sans 3" w:ascii="source sans 3" w:hAnsi="source sans 3"/>
            <w:color w:val="#000"/>
            <w:sz w:val="21"/>
            <w:u w:val="single"/>
          </w:rPr>
          <w:t xml:space="preserve">Deep learning for hyperspectral image classification: An overview</w:t>
        </w:r>
      </w:hyperlink>
      <w:r>
        <w:rPr>
          <w:rFonts w:eastAsia="source serif 4" w:cs="source serif 4" w:ascii="source serif 4" w:hAnsi="source serif 4"/>
          <w:color w:val="000000"/>
          <w:sz w:val="21"/>
        </w:rPr>
        <w:t xml:space="preserve"> - Motivated by those successful applications, deep learning has also been introduced to classify HSIs ...</w:t>
      </w:r>
    </w:p>
    <w:p>
      <w:pPr>
        <w:numPr>
          <w:ilvl w:val="0"/>
          <w:numId w:val="15"/>
        </w:numPr>
        <w:spacing w:line="360" w:after="210" w:lineRule="auto"/>
      </w:pPr>
      <w:hyperlink r:id="rId7">
        <w:r>
          <w:rPr>
            <w:rFonts w:eastAsia="source sans 3" w:cs="source sans 3" w:ascii="source sans 3" w:hAnsi="source sans 3"/>
            <w:color w:val="#000"/>
            <w:sz w:val="21"/>
            <w:u w:val="single"/>
          </w:rPr>
          <w:t xml:space="preserve">A new hyperspectral image classification method based on spatial ...</w:t>
        </w:r>
      </w:hyperlink>
      <w:r>
        <w:rPr>
          <w:rFonts w:eastAsia="source serif 4" w:cs="source serif 4" w:ascii="source serif 4" w:hAnsi="source serif 4"/>
          <w:color w:val="000000"/>
          <w:sz w:val="21"/>
        </w:rPr>
        <w:t xml:space="preserve"> - Designing a reasonable deep network structure can greatly improve the recognition accuracy in classi...</w:t>
      </w:r>
    </w:p>
    <w:p>
      <w:pPr>
        <w:numPr>
          <w:ilvl w:val="0"/>
          <w:numId w:val="15"/>
        </w:numPr>
        <w:spacing w:line="360" w:after="210" w:lineRule="auto"/>
      </w:pPr>
      <w:hyperlink r:id="rId8">
        <w:r>
          <w:rPr>
            <w:rFonts w:eastAsia="source sans 3" w:cs="source sans 3" w:ascii="source sans 3" w:hAnsi="source sans 3"/>
            <w:color w:val="#000"/>
            <w:sz w:val="21"/>
            <w:u w:val="single"/>
          </w:rPr>
          <w:t xml:space="preserve">Deep learning for hyperspectral image classification</w:t>
        </w:r>
      </w:hyperlink>
      <w:r>
        <w:rPr>
          <w:rFonts w:eastAsia="source serif 4" w:cs="source serif 4" w:ascii="source serif 4" w:hAnsi="source serif 4"/>
          <w:color w:val="000000"/>
          <w:sz w:val="21"/>
        </w:rPr>
        <w:t xml:space="preserve"> - In this survey, we systematically review the research progress and applications of DL in HSIC. First...</w:t>
      </w:r>
    </w:p>
    <w:p>
      <w:pPr>
        <w:numPr>
          <w:ilvl w:val="0"/>
          <w:numId w:val="15"/>
        </w:numPr>
        <w:spacing w:line="360" w:after="210" w:lineRule="auto"/>
      </w:pPr>
      <w:hyperlink r:id="rId9">
        <w:r>
          <w:rPr>
            <w:rFonts w:eastAsia="source sans 3" w:cs="source sans 3" w:ascii="source sans 3" w:hAnsi="source sans 3"/>
            <w:color w:val="#000"/>
            <w:sz w:val="21"/>
            <w:u w:val="single"/>
          </w:rPr>
          <w:t xml:space="preserve">[PDF] Machine Learning-based Classification of Hyperspectral Imagery</w:t>
        </w:r>
      </w:hyperlink>
      <w:r>
        <w:rPr>
          <w:rFonts w:eastAsia="source serif 4" w:cs="source serif 4" w:ascii="source serif 4" w:hAnsi="source serif 4"/>
          <w:color w:val="000000"/>
          <w:sz w:val="21"/>
        </w:rPr>
        <w:t xml:space="preserve"> - In experimental works, the proposed FE method outperforms the conventional unsupervised methods of H...</w:t>
      </w:r>
    </w:p>
    <w:p>
      <w:pPr>
        <w:numPr>
          <w:ilvl w:val="0"/>
          <w:numId w:val="15"/>
        </w:numPr>
        <w:spacing w:line="360" w:after="210" w:lineRule="auto"/>
      </w:pPr>
      <w:hyperlink r:id="rId10">
        <w:r>
          <w:rPr>
            <w:rFonts w:eastAsia="source sans 3" w:cs="source sans 3" w:ascii="source sans 3" w:hAnsi="source sans 3"/>
            <w:color w:val="#000"/>
            <w:sz w:val="21"/>
            <w:u w:val="single"/>
          </w:rPr>
          <w:t xml:space="preserve">Deep learning for hyperspectral image classification: : A survey</w:t>
        </w:r>
      </w:hyperlink>
      <w:r>
        <w:rPr>
          <w:rFonts w:eastAsia="source serif 4" w:cs="source serif 4" w:ascii="source serif 4" w:hAnsi="source serif 4"/>
          <w:color w:val="000000"/>
          <w:sz w:val="21"/>
        </w:rPr>
        <w:t xml:space="preserve"> - Deep learning (DL) has proven to be a robust feature extractor in computer vision, effectively addre...</w:t>
      </w:r>
    </w:p>
    <w:p>
      <w:pPr>
        <w:numPr>
          <w:ilvl w:val="0"/>
          <w:numId w:val="15"/>
        </w:numPr>
        <w:spacing w:line="360" w:after="210" w:lineRule="auto"/>
      </w:pPr>
      <w:hyperlink r:id="rId11">
        <w:r>
          <w:rPr>
            <w:rFonts w:eastAsia="source sans 3" w:cs="source sans 3" w:ascii="source sans 3" w:hAnsi="source sans 3"/>
            <w:color w:val="#000"/>
            <w:sz w:val="21"/>
            <w:u w:val="single"/>
          </w:rPr>
          <w:t xml:space="preserve">README.md</w:t>
        </w:r>
      </w:hyperlink>
      <w:r>
        <w:rPr>
          <w:rFonts w:eastAsia="source serif 4" w:cs="source serif 4" w:ascii="source serif 4" w:hAnsi="source serif 4"/>
          <w:color w:val="000000"/>
          <w:sz w:val="21"/>
        </w:rPr>
        <w:t xml:space="preserve"> - This dataset contains airborne hyperspectral and laser scanning data from four study sites located i...</w:t>
      </w:r>
    </w:p>
    <w:p>
      <w:pPr>
        <w:numPr>
          <w:ilvl w:val="0"/>
          <w:numId w:val="15"/>
        </w:numPr>
        <w:spacing w:line="360" w:after="210" w:lineRule="auto"/>
      </w:pPr>
      <w:hyperlink r:id="rId12">
        <w:r>
          <w:rPr>
            <w:rFonts w:eastAsia="source sans 3" w:cs="source sans 3" w:ascii="source sans 3" w:hAnsi="source sans 3"/>
            <w:color w:val="#000"/>
            <w:sz w:val="21"/>
            <w:u w:val="single"/>
          </w:rPr>
          <w:t xml:space="preserve">Tree species classification from airborne hyperspectral and LiDAR ...</w:t>
        </w:r>
      </w:hyperlink>
      <w:r>
        <w:rPr>
          <w:rFonts w:eastAsia="source serif 4" w:cs="source serif 4" w:ascii="source serif 4" w:hAnsi="source serif 4"/>
          <w:color w:val="000000"/>
          <w:sz w:val="21"/>
        </w:rPr>
        <w:t xml:space="preserve"> - Airborne hyperspectral imagery has shown significant potential for tree species classification, but ...</w:t>
      </w:r>
    </w:p>
    <w:p>
      <w:pPr>
        <w:numPr>
          <w:ilvl w:val="0"/>
          <w:numId w:val="15"/>
        </w:numPr>
        <w:spacing w:line="360" w:after="210" w:lineRule="auto"/>
      </w:pPr>
      <w:hyperlink r:id="rId13">
        <w:r>
          <w:rPr>
            <w:rFonts w:eastAsia="source sans 3" w:cs="source sans 3" w:ascii="source sans 3" w:hAnsi="source sans 3"/>
            <w:color w:val="#000"/>
            <w:sz w:val="21"/>
            <w:u w:val="single"/>
          </w:rPr>
          <w:t xml:space="preserve">A spectral-structural characterization of European temperate, hemiboreal, and boreal forests</w:t>
        </w:r>
      </w:hyperlink>
    </w:p>
    <w:p>
      <w:pPr>
        <w:numPr>
          <w:ilvl w:val="0"/>
          <w:numId w:val="15"/>
        </w:numPr>
        <w:spacing w:line="360" w:after="210" w:lineRule="auto"/>
      </w:pPr>
      <w:hyperlink r:id="rId14">
        <w:r>
          <w:rPr>
            <w:rFonts w:eastAsia="source sans 3" w:cs="source sans 3" w:ascii="source sans 3" w:hAnsi="source sans 3"/>
            <w:color w:val="#000"/>
            <w:sz w:val="21"/>
            <w:u w:val="single"/>
          </w:rPr>
          <w:t xml:space="preserve">What is Hyperspectral Imaging? A Comprehensive Guide - Specim</w:t>
        </w:r>
      </w:hyperlink>
      <w:r>
        <w:rPr>
          <w:rFonts w:eastAsia="source serif 4" w:cs="source serif 4" w:ascii="source serif 4" w:hAnsi="source serif 4"/>
          <w:color w:val="000000"/>
          <w:sz w:val="21"/>
        </w:rPr>
        <w:t xml:space="preserve"> - Hyperspectral imaging is a technique that collects and processes information across the electromagne...</w:t>
      </w:r>
    </w:p>
    <w:p>
      <w:pPr>
        <w:numPr>
          <w:ilvl w:val="0"/>
          <w:numId w:val="15"/>
        </w:numPr>
        <w:spacing w:line="360" w:after="210" w:lineRule="auto"/>
      </w:pPr>
      <w:hyperlink r:id="rId15">
        <w:r>
          <w:rPr>
            <w:rFonts w:eastAsia="source sans 3" w:cs="source sans 3" w:ascii="source sans 3" w:hAnsi="source sans 3"/>
            <w:color w:val="#000"/>
            <w:sz w:val="21"/>
            <w:u w:val="single"/>
          </w:rPr>
          <w:t xml:space="preserve">Cross-domain Hyperspectral Image Classification based on Bi ...</w:t>
        </w:r>
      </w:hyperlink>
      <w:r>
        <w:rPr>
          <w:rFonts w:eastAsia="source serif 4" w:cs="source serif 4" w:ascii="source serif 4" w:hAnsi="source serif 4"/>
          <w:color w:val="000000"/>
          <w:sz w:val="21"/>
        </w:rPr>
        <w:t xml:space="preserve"> - In this paper, we propose a Bi-directional Domain Adaptation (BiDA) framework for cross-domain hyper...</w:t>
      </w:r>
    </w:p>
    <w:p>
      <w:pPr>
        <w:numPr>
          <w:ilvl w:val="0"/>
          <w:numId w:val="15"/>
        </w:numPr>
        <w:spacing w:line="360" w:after="210" w:lineRule="auto"/>
      </w:pPr>
      <w:hyperlink r:id="rId16">
        <w:r>
          <w:rPr>
            <w:rFonts w:eastAsia="source sans 3" w:cs="source sans 3" w:ascii="source sans 3" w:hAnsi="source sans 3"/>
            <w:color w:val="#000"/>
            <w:sz w:val="21"/>
            <w:u w:val="single"/>
          </w:rPr>
          <w:t xml:space="preserve">Tree species classification from airborne hyperspectral and ...</w:t>
        </w:r>
      </w:hyperlink>
    </w:p>
    <w:p>
      <w:pPr>
        <w:numPr>
          <w:ilvl w:val="0"/>
          <w:numId w:val="15"/>
        </w:numPr>
        <w:spacing w:line="360" w:after="210" w:lineRule="auto"/>
      </w:pPr>
      <w:hyperlink r:id="rId17">
        <w:r>
          <w:rPr>
            <w:rFonts w:eastAsia="source sans 3" w:cs="source sans 3" w:ascii="source sans 3" w:hAnsi="source sans 3"/>
            <w:color w:val="#000"/>
            <w:sz w:val="21"/>
            <w:u w:val="single"/>
          </w:rPr>
          <w:t xml:space="preserve">Hyperspectral imaging - Wikipedia</w:t>
        </w:r>
      </w:hyperlink>
      <w:r>
        <w:rPr>
          <w:rFonts w:eastAsia="source serif 4" w:cs="source serif 4" w:ascii="source serif 4" w:hAnsi="source serif 4"/>
          <w:color w:val="000000"/>
          <w:sz w:val="21"/>
        </w:rPr>
        <w:t xml:space="preserve"> - Hyperspectral imaging is to obtain the spectrum for each pixel in the image of a scene, with the pur...</w:t>
      </w:r>
    </w:p>
    <w:p>
      <w:pPr>
        <w:numPr>
          <w:ilvl w:val="0"/>
          <w:numId w:val="15"/>
        </w:numPr>
        <w:spacing w:line="360" w:after="210" w:lineRule="auto"/>
      </w:pPr>
      <w:hyperlink r:id="rId18">
        <w:r>
          <w:rPr>
            <w:rFonts w:eastAsia="source sans 3" w:cs="source sans 3" w:ascii="source sans 3" w:hAnsi="source sans 3"/>
            <w:color w:val="#000"/>
            <w:sz w:val="21"/>
            <w:u w:val="single"/>
          </w:rPr>
          <w:t xml:space="preserve">[PDF] ensemble of transfer component analysis for domain adaptation in</w:t>
        </w:r>
      </w:hyperlink>
      <w:r>
        <w:rPr>
          <w:rFonts w:eastAsia="source serif 4" w:cs="source serif 4" w:ascii="source serif 4" w:hAnsi="source serif 4"/>
          <w:color w:val="000000"/>
          <w:sz w:val="21"/>
        </w:rPr>
        <w:t xml:space="preserve"> - In this work, we introduce this strategy into the domain adaption in hyperspectral remote sensing im...</w:t>
      </w:r>
    </w:p>
    <w:p>
      <w:pPr>
        <w:numPr>
          <w:ilvl w:val="0"/>
          <w:numId w:val="15"/>
        </w:numPr>
        <w:spacing w:line="360" w:after="210" w:lineRule="auto"/>
      </w:pPr>
      <w:hyperlink r:id="rId19">
        <w:r>
          <w:rPr>
            <w:rFonts w:eastAsia="source sans 3" w:cs="source sans 3" w:ascii="source sans 3" w:hAnsi="source sans 3"/>
            <w:color w:val="#000"/>
            <w:sz w:val="21"/>
            <w:u w:val="single"/>
          </w:rPr>
          <w:t xml:space="preserve">[PDF] Classifying Forest Type in the National Forest Inventory Context with ...</w:t>
        </w:r>
      </w:hyperlink>
      <w:r>
        <w:rPr>
          <w:rFonts w:eastAsia="source serif 4" w:cs="source serif 4" w:ascii="source serif 4" w:hAnsi="source serif 4"/>
          <w:color w:val="000000"/>
          <w:sz w:val="21"/>
        </w:rPr>
        <w:t xml:space="preserve"> - In this study, we developed a methodology that uses a combination of airborne hyperspectral and lida...</w:t>
      </w:r>
    </w:p>
    <w:p>
      <w:pPr>
        <w:numPr>
          <w:ilvl w:val="0"/>
          <w:numId w:val="15"/>
        </w:numPr>
        <w:spacing w:line="360" w:after="210" w:lineRule="auto"/>
      </w:pPr>
      <w:hyperlink r:id="rId20">
        <w:r>
          <w:rPr>
            <w:rFonts w:eastAsia="source sans 3" w:cs="source sans 3" w:ascii="source sans 3" w:hAnsi="source sans 3"/>
            <w:color w:val="#000"/>
            <w:sz w:val="21"/>
            <w:u w:val="single"/>
          </w:rPr>
          <w:t xml:space="preserve">[PDF] A spectral–structural characterization of European temperate ...</w:t>
        </w:r>
      </w:hyperlink>
    </w:p>
    <w:p>
      <w:pPr>
        <w:numPr>
          <w:ilvl w:val="0"/>
          <w:numId w:val="15"/>
        </w:numPr>
        <w:spacing w:line="360" w:after="210" w:lineRule="auto"/>
      </w:pPr>
      <w:hyperlink r:id="rId21">
        <w:r>
          <w:rPr>
            <w:rFonts w:eastAsia="source sans 3" w:cs="source sans 3" w:ascii="source sans 3" w:hAnsi="source sans 3"/>
            <w:color w:val="#000"/>
            <w:sz w:val="21"/>
            <w:u w:val="single"/>
          </w:rPr>
          <w:t xml:space="preserve">[PDF] Domain Generalization in Deep Learning for Forest Health ...</w:t>
        </w:r>
      </w:hyperlink>
      <w:r>
        <w:rPr>
          <w:rFonts w:eastAsia="source serif 4" w:cs="source serif 4" w:ascii="source serif 4" w:hAnsi="source serif 4"/>
          <w:color w:val="000000"/>
          <w:sz w:val="21"/>
        </w:rPr>
        <w:t xml:space="preserve"> - Deep learning has significantly advanced forest health monitoring by enabling automated analysis of ...</w:t>
      </w:r>
    </w:p>
    <w:p>
      <w:pPr>
        <w:numPr>
          <w:ilvl w:val="0"/>
          <w:numId w:val="15"/>
        </w:numPr>
        <w:spacing w:line="360" w:after="210" w:lineRule="auto"/>
      </w:pPr>
      <w:hyperlink r:id="rId22">
        <w:r>
          <w:rPr>
            <w:rFonts w:eastAsia="source sans 3" w:cs="source sans 3" w:ascii="source sans 3" w:hAnsi="source sans 3"/>
            <w:color w:val="#000"/>
            <w:sz w:val="21"/>
            <w:u w:val="single"/>
          </w:rPr>
          <w:t xml:space="preserve">Exploiting hyperspectral and</w:t>
        </w:r>
      </w:hyperlink>
    </w:p>
    <w:p>
      <w:pPr>
        <w:numPr>
          <w:ilvl w:val="0"/>
          <w:numId w:val="15"/>
        </w:numPr>
        <w:spacing w:line="360" w:after="210" w:lineRule="auto"/>
      </w:pPr>
      <w:hyperlink r:id="rId23">
        <w:r>
          <w:rPr>
            <w:rFonts w:eastAsia="source sans 3" w:cs="source sans 3" w:ascii="source sans 3" w:hAnsi="source sans 3"/>
            <w:color w:val="#000"/>
            <w:sz w:val="21"/>
            <w:u w:val="single"/>
          </w:rPr>
          <w:t xml:space="preserve">Large-area inventory of species composition using airborne laser ...</w:t>
        </w:r>
      </w:hyperlink>
      <w:r>
        <w:rPr>
          <w:rFonts w:eastAsia="source serif 4" w:cs="source serif 4" w:ascii="source serif 4" w:hAnsi="source serif 4"/>
          <w:color w:val="000000"/>
          <w:sz w:val="21"/>
        </w:rPr>
        <w:t xml:space="preserve"> - The study utilizes a combination of airborne laser scanning and hyperspectral data and 97 field samp...</w:t>
      </w:r>
    </w:p>
    <w:p>
      <w:pPr>
        <w:numPr>
          <w:ilvl w:val="0"/>
          <w:numId w:val="15"/>
        </w:numPr>
        <w:spacing w:line="360" w:after="210" w:lineRule="auto"/>
      </w:pPr>
      <w:hyperlink r:id="rId24">
        <w:r>
          <w:rPr>
            <w:rFonts w:eastAsia="source sans 3" w:cs="source sans 3" w:ascii="source sans 3" w:hAnsi="source sans 3"/>
            <w:color w:val="#000"/>
            <w:sz w:val="21"/>
            <w:u w:val="single"/>
          </w:rPr>
          <w:t xml:space="preserve">Estimation of boreal forest floor lichen cover using hyperspectral ...</w:t>
        </w:r>
      </w:hyperlink>
      <w:r>
        <w:rPr>
          <w:rFonts w:eastAsia="source serif 4" w:cs="source serif 4" w:ascii="source serif 4" w:hAnsi="source serif 4"/>
          <w:color w:val="000000"/>
          <w:sz w:val="21"/>
        </w:rPr>
        <w:t xml:space="preserve"> - 2.2 Airborne remote sensing data. Hyperspectral data were acquired on 13th July 2019 using aircraft ...</w:t>
      </w:r>
    </w:p>
    <w:p>
      <w:pPr>
        <w:numPr>
          <w:ilvl w:val="0"/>
          <w:numId w:val="15"/>
        </w:numPr>
        <w:spacing w:line="360" w:after="210" w:lineRule="auto"/>
      </w:pPr>
      <w:hyperlink r:id="rId25">
        <w:r>
          <w:rPr>
            <w:rFonts w:eastAsia="source sans 3" w:cs="source sans 3" w:ascii="source sans 3" w:hAnsi="source sans 3"/>
            <w:color w:val="#000"/>
            <w:sz w:val="21"/>
            <w:u w:val="single"/>
          </w:rPr>
          <w:t xml:space="preserve">What is Hyperspectral Imaging? - EVK</w:t>
        </w:r>
      </w:hyperlink>
      <w:r>
        <w:rPr>
          <w:rFonts w:eastAsia="source serif 4" w:cs="source serif 4" w:ascii="source serif 4" w:hAnsi="source serif 4"/>
          <w:color w:val="000000"/>
          <w:sz w:val="21"/>
        </w:rPr>
        <w:t xml:space="preserve"> - Hyperspectral Imaging (HSI) is an advanced technology that combines machine vision and spectroscopy....</w:t>
      </w:r>
    </w:p>
    <w:p>
      <w:pPr>
        <w:numPr>
          <w:ilvl w:val="0"/>
          <w:numId w:val="15"/>
        </w:numPr>
        <w:spacing w:line="360" w:after="210" w:lineRule="auto"/>
      </w:pPr>
      <w:hyperlink r:id="rId26">
        <w:r>
          <w:rPr>
            <w:rFonts w:eastAsia="source sans 3" w:cs="source sans 3" w:ascii="source sans 3" w:hAnsi="source sans 3"/>
            <w:color w:val="#000"/>
            <w:sz w:val="21"/>
            <w:u w:val="single"/>
          </w:rPr>
          <w:t xml:space="preserve">Dataset of tree canopy structure, understory reflectance ...</w:t>
        </w:r>
      </w:hyperlink>
      <w:r>
        <w:rPr>
          <w:rFonts w:eastAsia="source serif 4" w:cs="source serif 4" w:ascii="source serif 4" w:hAnsi="source serif 4"/>
          <w:color w:val="000000"/>
          <w:sz w:val="21"/>
        </w:rPr>
        <w:t xml:space="preserve"> - The dataset includes understory spectral reflectance factors at wavelengths of 350–2500 nm, fraction...</w:t>
      </w:r>
    </w:p>
    <w:p>
      <w:pPr>
        <w:numPr>
          <w:ilvl w:val="0"/>
          <w:numId w:val="15"/>
        </w:numPr>
        <w:spacing w:line="360" w:after="210" w:lineRule="auto"/>
      </w:pPr>
      <w:hyperlink r:id="rId27">
        <w:r>
          <w:rPr>
            <w:rFonts w:eastAsia="source sans 3" w:cs="source sans 3" w:ascii="source sans 3" w:hAnsi="source sans 3"/>
            <w:color w:val="#000"/>
            <w:sz w:val="21"/>
            <w:u w:val="single"/>
          </w:rPr>
          <w:t xml:space="preserve">Machine Learning-based Classification of Hyperspectral Imagery</w:t>
        </w:r>
      </w:hyperlink>
      <w:r>
        <w:rPr>
          <w:rFonts w:eastAsia="source serif 4" w:cs="source serif 4" w:ascii="source serif 4" w:hAnsi="source serif 4"/>
          <w:color w:val="000000"/>
          <w:sz w:val="21"/>
        </w:rPr>
        <w:t xml:space="preserve"> - The classification of hyperspectral imagery (HSI) is essential in the surface of earth observation.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sciencedirect.com/science/article/pii/S1574954124000499" TargetMode="External"/><Relationship Id="rId6" Type="http://schemas.openxmlformats.org/officeDocument/2006/relationships/hyperlink" Target="https://iris.hi.is/en/publications/deep-learning-for-hyperspectral-image-classification-an-overview/" TargetMode="External"/><Relationship Id="rId7" Type="http://schemas.openxmlformats.org/officeDocument/2006/relationships/hyperlink" Target="https://www.nature.com/articles/s41598-022-05422-5" TargetMode="External"/><Relationship Id="rId8" Type="http://schemas.openxmlformats.org/officeDocument/2006/relationships/hyperlink" Target="https://www.sciencedirect.com/science/article/abs/pii/S1566253525003586" TargetMode="External"/><Relationship Id="rId9" Type="http://schemas.openxmlformats.org/officeDocument/2006/relationships/hyperlink" Target="http://paper.ijcsns.org/07_book/202204/20220424.pdf" TargetMode="External"/><Relationship Id="rId10" Type="http://schemas.openxmlformats.org/officeDocument/2006/relationships/hyperlink" Target="https://dl.acm.org/doi/10.1016/j.cosrev.2024.100658" TargetMode="External"/><Relationship Id="rId11" Type="http://schemas.openxmlformats.org/officeDocument/2006/relationships/hyperlink" Target="https://ppl-ai-file-upload.s3.amazonaws.com/web/direct-files/attachments/85031721/aef0a7e4-71df-418b-83a4-184163897d8b/README.md?AWSAccessKeyId=ASIA2F3EMEYEUQGDKATZ&amp;Signature=XuDyda9EetW3xPbGRuPpL2bzX8E%3D&amp;x-amz-security-token=IQoJb3JpZ2luX2VjEJn%2F%2F%2F%2F%2F%2F%2F%2F%2F%2FwEaCXVzLWVhc3QtMSJGMEQCIA2AtCO2ncP0Vfww17t365Q5Trqaq1pzilgilmLbywECAiBQj7F24a9EGMOQMKs4V1xdjj4P4nO294gUAbHoTnR7bCrzBAhiEAEaDDY5OTc1MzMwOTcwNSIME6xwqaOIn7%2FOXE20KtAEaBvBBIEV%2FmxxJiBNo9zCr9JWaO3%2FJvNFfvk7E664B6ttGwa%2BW6oYU2WQmelIA1nVd2GX2DjXURHpJKhnyvYDg54yR6ng9box5VqbHeHz6EOl2fItSc5LfCF%2FPnxbdppWtpsB8VGoeCElYyWZbU%2BjvDEb5bFyoECeBsA2GxHflONB6wvfkkaigpvgm5qVwJGnV7FUFVyNiZ4UrGn%2Be9E70HMiBZwxtNEmNtRYii2HlCSXgpD%2BWFAHpXYvuPIoeRGD4kFxbej744luuTgIk%2BuEM87IaocPwpZzk4vTzHXNOd%2B7zNs3E22xPcfFE8%2FQY26BdWzoKfitB5%2FtbpAvsGF9szvGsnMmvtWmr2QlWCVj2ExVW0BSDG3GhTstPARS0kFbZdxp0bmcHAB70J5zVvyuJ0e1ffb9msBMlrUvE3JL4GSQrrA7sXbEkRMkVHGniswA%2BPsd5cvj%2FtEHZ1zDPfxXrnHrHFfTWmy02DF6%2Bd8Ys4NiO2TP6lyBbPXZU44cvgBNpk66T9ERaXT9G6htOQ32PQTSvWCk3yRasJJGtXGm%2BgNJkkYn8YUXuU6%2FblrvUXdyfw43an69UPq%2BB%2BAE0IsWtVjUHTkBFWrGkfkkWE51sC3VLYpWjJlNzW8dl8z8jRkhfidqQ%2Fv3y%2BfuNSYqhzT1pwb%2BdbM%2BcZxCEK6SrbkGmbNPUg6L5GRC5lEC8QXaDV8QjW%2Fx4NIMZCEEPrPdxZ7M5tfXN1JvCwwX6%2FYV41r1Dy8OYD4z9ghLJp%2Bn775gdICV%2BdjfYDtGpOfJ%2BKIhMCKAbTCg1sDRBjqZAXrKQTjXJPSWRs434G8xSmrESxw%2FYkwSUwXeVxe4iohCiJC1IT7%2BTMqL3QwJ8CBesAPYX4utKeZ9XgZPvIa4S6D556fVTldsgWLhD6hLRNARLyxbISWVIt9cqaY%2BO4%2BJY%2B3qUt7EOHINYCLIbgVi%2F9%2F8X8agi42V2NwIYrBcLAM5z8QT3y%2FOdhhMSj2VJsHyt3g1cgZnAW0aXw%3D%3D&amp;Expires=1781545203" TargetMode="External"/><Relationship Id="rId12" Type="http://schemas.openxmlformats.org/officeDocument/2006/relationships/hyperlink" Target="https://www.sciencedirect.com/science/article/pii/S0034425721000407" TargetMode="External"/><Relationship Id="rId13" Type="http://schemas.openxmlformats.org/officeDocument/2006/relationships/hyperlink" Target="https://research.aalto.fi/en/publications/a-spectral-structural-characterization-of-european-temperate-hemi" TargetMode="External"/><Relationship Id="rId14" Type="http://schemas.openxmlformats.org/officeDocument/2006/relationships/hyperlink" Target="https://www.specim.com/technology/what-is-hyperspectral-imaging/" TargetMode="External"/><Relationship Id="rId15" Type="http://schemas.openxmlformats.org/officeDocument/2006/relationships/hyperlink" Target="https://arxiv.org/html/2507.02268v1" TargetMode="External"/><Relationship Id="rId16" Type="http://schemas.openxmlformats.org/officeDocument/2006/relationships/hyperlink" Target="https://researchportal.helsinki.fi/en/publications/tree-species-classification-from-airborne-hyperspectral-and-lidar/" TargetMode="External"/><Relationship Id="rId17" Type="http://schemas.openxmlformats.org/officeDocument/2006/relationships/hyperlink" Target="https://en.wikipedia.org/wiki/Hyperspectral_imaging" TargetMode="External"/><Relationship Id="rId18" Type="http://schemas.openxmlformats.org/officeDocument/2006/relationships/hyperlink" Target="http://naotoyokoya.com/assets/pdf/JXiaIGARSS2017a.pdf" TargetMode="External"/><Relationship Id="rId19" Type="http://schemas.openxmlformats.org/officeDocument/2006/relationships/hyperlink" Target="https://www.fs.usda.gov/pnw/pubs/journals/pnw_2021_shoot001.pdf" TargetMode="External"/><Relationship Id="rId20" Type="http://schemas.openxmlformats.org/officeDocument/2006/relationships/hyperlink" Target="https://essd.copernicus.org/articles/16/5069/2024/essd-16-5069-2024.pdf" TargetMode="External"/><Relationship Id="rId21" Type="http://schemas.openxmlformats.org/officeDocument/2006/relationships/hyperlink" Target="https://isprs-archives.copernicus.org/articles/XLVIII-2-W11-2025/285/2025/isprs-archives-XLVIII-2-W11-2025-285-2025.pdf" TargetMode="External"/><Relationship Id="rId22" Type="http://schemas.openxmlformats.org/officeDocument/2006/relationships/hyperlink" Target="https://www.frontiersin.org/articles/10.3389/frsen.2023.1136289/pdf?isPublishedV2=False" TargetMode="External"/><Relationship Id="rId23" Type="http://schemas.openxmlformats.org/officeDocument/2006/relationships/hyperlink" Target="https://www.silvafennica.fi/article/10244" TargetMode="External"/><Relationship Id="rId24" Type="http://schemas.openxmlformats.org/officeDocument/2006/relationships/hyperlink" Target="https://silvafennica.fi/article/22014/select" TargetMode="External"/><Relationship Id="rId25" Type="http://schemas.openxmlformats.org/officeDocument/2006/relationships/hyperlink" Target="https://www.evk.biz/en/techcenter/what-is-hyperspectral-imaging/" TargetMode="External"/><Relationship Id="rId26" Type="http://schemas.openxmlformats.org/officeDocument/2006/relationships/hyperlink" Target="https://data.mendeley.com/datasets/9dx32rszp8/2" TargetMode="External"/><Relationship Id="rId27" Type="http://schemas.openxmlformats.org/officeDocument/2006/relationships/hyperlink" Target="https://www.koreascience.kr/article/JAKO202213341717822.pag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2026-06-15T17:07:04.885Z</dcterms:created>
  <dcterms:modified xsi:type="dcterms:W3CDTF">2026-06-15T17:07:04.885Z</dcterms:modified>
</cp:coreProperties>
</file>