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6BCAE" w14:textId="089AE4E3" w:rsidR="00B619CE" w:rsidRPr="00B33669" w:rsidRDefault="00B619CE" w:rsidP="00B33669">
      <w:pPr>
        <w:spacing w:line="360" w:lineRule="auto"/>
        <w:outlineLvl w:val="0"/>
        <w:rPr>
          <w:rFonts w:ascii="Arial" w:eastAsia="Times New Roman" w:hAnsi="Arial" w:cs="Arial"/>
          <w:b/>
          <w:bCs/>
          <w:color w:val="000000"/>
          <w:kern w:val="36"/>
          <w:sz w:val="39"/>
          <w:szCs w:val="39"/>
          <w:lang w:eastAsia="en-GB"/>
        </w:rPr>
      </w:pPr>
      <w:r w:rsidRPr="00B619CE">
        <w:rPr>
          <w:rFonts w:ascii="Arial" w:eastAsia="Times New Roman" w:hAnsi="Arial" w:cs="Arial"/>
          <w:b/>
          <w:bCs/>
          <w:color w:val="000000"/>
          <w:kern w:val="36"/>
          <w:sz w:val="39"/>
          <w:szCs w:val="39"/>
          <w:lang w:eastAsia="en-GB"/>
        </w:rPr>
        <w:t>Battle of Neighbourhoods: A Case study of two Major Financial hubs in their Countries</w:t>
      </w:r>
    </w:p>
    <w:p w14:paraId="394B7DC8" w14:textId="77777777" w:rsidR="00B33669" w:rsidRPr="00B619CE" w:rsidRDefault="00B33669" w:rsidP="00B33669">
      <w:pPr>
        <w:spacing w:line="360" w:lineRule="auto"/>
        <w:outlineLvl w:val="0"/>
        <w:rPr>
          <w:rFonts w:ascii="Arial" w:eastAsia="Times New Roman" w:hAnsi="Arial" w:cs="Arial"/>
          <w:b/>
          <w:bCs/>
          <w:color w:val="000000"/>
          <w:kern w:val="36"/>
          <w:sz w:val="39"/>
          <w:szCs w:val="39"/>
          <w:lang w:eastAsia="en-GB"/>
        </w:rPr>
      </w:pPr>
    </w:p>
    <w:p w14:paraId="5B513993" w14:textId="2E4708FC" w:rsidR="00B619CE" w:rsidRPr="00B33669" w:rsidRDefault="00B619CE" w:rsidP="00B33669">
      <w:pPr>
        <w:pStyle w:val="ListParagraph"/>
        <w:numPr>
          <w:ilvl w:val="0"/>
          <w:numId w:val="5"/>
        </w:numPr>
        <w:spacing w:line="360" w:lineRule="auto"/>
        <w:outlineLvl w:val="1"/>
        <w:rPr>
          <w:rFonts w:ascii="Arial" w:eastAsia="Times New Roman" w:hAnsi="Arial" w:cs="Arial"/>
          <w:b/>
          <w:bCs/>
          <w:color w:val="000000"/>
          <w:sz w:val="33"/>
          <w:szCs w:val="33"/>
          <w:lang w:eastAsia="en-GB"/>
        </w:rPr>
      </w:pPr>
      <w:r w:rsidRPr="00B33669">
        <w:rPr>
          <w:rFonts w:ascii="Arial" w:eastAsia="Times New Roman" w:hAnsi="Arial" w:cs="Arial"/>
          <w:b/>
          <w:bCs/>
          <w:color w:val="000000"/>
          <w:sz w:val="33"/>
          <w:szCs w:val="33"/>
          <w:lang w:eastAsia="en-GB"/>
        </w:rPr>
        <w:t>Introduction</w:t>
      </w:r>
    </w:p>
    <w:p w14:paraId="4C492CC3" w14:textId="77777777" w:rsidR="00B33669" w:rsidRPr="00B33669" w:rsidRDefault="00B33669" w:rsidP="00B33669">
      <w:pPr>
        <w:spacing w:line="360" w:lineRule="auto"/>
        <w:outlineLvl w:val="1"/>
        <w:rPr>
          <w:rFonts w:ascii="Arial" w:eastAsia="Times New Roman" w:hAnsi="Arial" w:cs="Arial"/>
          <w:b/>
          <w:bCs/>
          <w:color w:val="000000"/>
          <w:sz w:val="33"/>
          <w:szCs w:val="33"/>
          <w:lang w:eastAsia="en-GB"/>
        </w:rPr>
      </w:pPr>
    </w:p>
    <w:p w14:paraId="561A987D" w14:textId="77777777" w:rsidR="00B619CE" w:rsidRPr="00B619CE" w:rsidRDefault="00B619CE" w:rsidP="00B33669">
      <w:pPr>
        <w:spacing w:line="360" w:lineRule="auto"/>
        <w:outlineLvl w:val="2"/>
        <w:rPr>
          <w:rFonts w:ascii="Arial" w:eastAsia="Times New Roman" w:hAnsi="Arial" w:cs="Arial"/>
          <w:b/>
          <w:bCs/>
          <w:color w:val="000000"/>
          <w:sz w:val="27"/>
          <w:szCs w:val="27"/>
          <w:lang w:eastAsia="en-GB"/>
        </w:rPr>
      </w:pPr>
      <w:r w:rsidRPr="00B619CE">
        <w:rPr>
          <w:rFonts w:ascii="Arial" w:eastAsia="Times New Roman" w:hAnsi="Arial" w:cs="Arial"/>
          <w:b/>
          <w:bCs/>
          <w:color w:val="000000"/>
          <w:sz w:val="27"/>
          <w:szCs w:val="27"/>
          <w:lang w:eastAsia="en-GB"/>
        </w:rPr>
        <w:t>1.1 Background</w:t>
      </w:r>
    </w:p>
    <w:p w14:paraId="5558D651" w14:textId="76A10079" w:rsidR="00B619CE" w:rsidRPr="00B33669" w:rsidRDefault="00B619CE" w:rsidP="00B33669">
      <w:pPr>
        <w:spacing w:line="360" w:lineRule="auto"/>
        <w:jc w:val="both"/>
        <w:rPr>
          <w:rFonts w:ascii="Arial" w:eastAsia="Times New Roman" w:hAnsi="Arial" w:cs="Arial"/>
          <w:color w:val="000000"/>
          <w:sz w:val="21"/>
          <w:szCs w:val="21"/>
          <w:lang w:eastAsia="en-GB"/>
        </w:rPr>
      </w:pPr>
      <w:r w:rsidRPr="00B619CE">
        <w:rPr>
          <w:rFonts w:ascii="Arial" w:eastAsia="Times New Roman" w:hAnsi="Arial" w:cs="Arial"/>
          <w:color w:val="000000"/>
          <w:sz w:val="21"/>
          <w:szCs w:val="21"/>
          <w:lang w:eastAsia="en-GB"/>
        </w:rPr>
        <w:t xml:space="preserve">The City of Johannesburg in South Africa is a major hub for economic activity in the country and is the financial centre of Africa’s most industrialised economy. Similar to Toronto in Canada, they are the financial capital centres as well as largest GDP contributors in their countries respectively. Toronto contributes about 20% to the GDP of Canada while Johannesburg contributes about 14%. Though the two countries are major contributors to the economies the size of the contribution varies vastly with GDP per capita of Toronto being 36000 US dollars and the GDP per capita for Johannesburg being 3000 US dollars GDP per capita. In a world where economies are fluid and international work opportunities are available for the skilled and mobile working professionals; as well as to investors looking to diversify their investments, understanding neighbourhoods in the two cities can be used as a marketing tool to help attract skilled contributors to the </w:t>
      </w:r>
      <w:proofErr w:type="spellStart"/>
      <w:r w:rsidRPr="00B619CE">
        <w:rPr>
          <w:rFonts w:ascii="Arial" w:eastAsia="Times New Roman" w:hAnsi="Arial" w:cs="Arial"/>
          <w:color w:val="000000"/>
          <w:sz w:val="21"/>
          <w:szCs w:val="21"/>
          <w:lang w:eastAsia="en-GB"/>
        </w:rPr>
        <w:t>countries</w:t>
      </w:r>
      <w:proofErr w:type="spellEnd"/>
      <w:r w:rsidRPr="00B619CE">
        <w:rPr>
          <w:rFonts w:ascii="Arial" w:eastAsia="Times New Roman" w:hAnsi="Arial" w:cs="Arial"/>
          <w:color w:val="000000"/>
          <w:sz w:val="21"/>
          <w:szCs w:val="21"/>
          <w:lang w:eastAsia="en-GB"/>
        </w:rPr>
        <w:t xml:space="preserve"> economy in the form of visitors, investors or as a way to boost local economy by the locals.</w:t>
      </w:r>
    </w:p>
    <w:p w14:paraId="199C2383" w14:textId="77777777" w:rsidR="00B33669" w:rsidRPr="00B619CE" w:rsidRDefault="00B33669" w:rsidP="00B33669">
      <w:pPr>
        <w:spacing w:line="360" w:lineRule="auto"/>
        <w:jc w:val="both"/>
        <w:rPr>
          <w:rFonts w:ascii="Arial" w:eastAsia="Times New Roman" w:hAnsi="Arial" w:cs="Arial"/>
          <w:color w:val="000000"/>
          <w:sz w:val="21"/>
          <w:szCs w:val="21"/>
          <w:lang w:eastAsia="en-GB"/>
        </w:rPr>
      </w:pPr>
    </w:p>
    <w:p w14:paraId="4C22B246" w14:textId="77777777" w:rsidR="00B619CE" w:rsidRPr="00B619CE" w:rsidRDefault="00B619CE" w:rsidP="00B33669">
      <w:pPr>
        <w:spacing w:line="360" w:lineRule="auto"/>
        <w:outlineLvl w:val="2"/>
        <w:rPr>
          <w:rFonts w:ascii="Arial" w:eastAsia="Times New Roman" w:hAnsi="Arial" w:cs="Arial"/>
          <w:b/>
          <w:bCs/>
          <w:color w:val="000000"/>
          <w:sz w:val="27"/>
          <w:szCs w:val="27"/>
          <w:lang w:eastAsia="en-GB"/>
        </w:rPr>
      </w:pPr>
      <w:r w:rsidRPr="00B619CE">
        <w:rPr>
          <w:rFonts w:ascii="Arial" w:eastAsia="Times New Roman" w:hAnsi="Arial" w:cs="Arial"/>
          <w:b/>
          <w:bCs/>
          <w:color w:val="000000"/>
          <w:sz w:val="27"/>
          <w:szCs w:val="27"/>
          <w:lang w:eastAsia="en-GB"/>
        </w:rPr>
        <w:t>1.2 Problem</w:t>
      </w:r>
    </w:p>
    <w:p w14:paraId="6A1E00E4" w14:textId="77777777" w:rsidR="00B619CE" w:rsidRPr="00B619CE" w:rsidRDefault="00B619CE" w:rsidP="00B33669">
      <w:pPr>
        <w:spacing w:line="360" w:lineRule="auto"/>
        <w:jc w:val="both"/>
        <w:rPr>
          <w:rFonts w:ascii="Arial" w:eastAsia="Times New Roman" w:hAnsi="Arial" w:cs="Arial"/>
          <w:color w:val="000000"/>
          <w:sz w:val="21"/>
          <w:szCs w:val="21"/>
          <w:lang w:eastAsia="en-GB"/>
        </w:rPr>
      </w:pPr>
      <w:r w:rsidRPr="00B619CE">
        <w:rPr>
          <w:rFonts w:ascii="Arial" w:eastAsia="Times New Roman" w:hAnsi="Arial" w:cs="Arial"/>
          <w:color w:val="000000"/>
          <w:sz w:val="21"/>
          <w:szCs w:val="21"/>
          <w:lang w:eastAsia="en-GB"/>
        </w:rPr>
        <w:t xml:space="preserve">The Financial Districts of Johannesburg and Toronto are by nature and design present a flurry of financial activities and attractions, stemming from the fact that the financial industry has been and continues to engine of growth and wealth in economies across the World. This study explores how an individual living or a visitor to the two cities is likely to experience the neighbourhoods surrounding the two financial districts. The two financial districts will be indexed by the Johannesburg Stock Exchange and the Toronto Stock Exchange for Johannesburg and </w:t>
      </w:r>
      <w:proofErr w:type="spellStart"/>
      <w:r w:rsidRPr="00B619CE">
        <w:rPr>
          <w:rFonts w:ascii="Arial" w:eastAsia="Times New Roman" w:hAnsi="Arial" w:cs="Arial"/>
          <w:color w:val="000000"/>
          <w:sz w:val="21"/>
          <w:szCs w:val="21"/>
          <w:lang w:eastAsia="en-GB"/>
        </w:rPr>
        <w:t>Toronot</w:t>
      </w:r>
      <w:proofErr w:type="spellEnd"/>
      <w:r w:rsidRPr="00B619CE">
        <w:rPr>
          <w:rFonts w:ascii="Arial" w:eastAsia="Times New Roman" w:hAnsi="Arial" w:cs="Arial"/>
          <w:color w:val="000000"/>
          <w:sz w:val="21"/>
          <w:szCs w:val="21"/>
          <w:lang w:eastAsia="en-GB"/>
        </w:rPr>
        <w:t xml:space="preserve"> respectively.</w:t>
      </w:r>
    </w:p>
    <w:p w14:paraId="341300B5" w14:textId="1C152663" w:rsidR="00A109B1" w:rsidRPr="00B33669" w:rsidRDefault="00B33669" w:rsidP="00B33669">
      <w:pPr>
        <w:spacing w:line="360" w:lineRule="auto"/>
        <w:rPr>
          <w:rFonts w:ascii="Arial" w:hAnsi="Arial" w:cs="Arial"/>
        </w:rPr>
      </w:pPr>
    </w:p>
    <w:p w14:paraId="726E6B98" w14:textId="112298F0" w:rsidR="00B619CE" w:rsidRPr="00B33669" w:rsidRDefault="00B619CE" w:rsidP="00B33669">
      <w:pPr>
        <w:spacing w:line="360" w:lineRule="auto"/>
        <w:rPr>
          <w:rFonts w:ascii="Arial" w:hAnsi="Arial" w:cs="Arial"/>
        </w:rPr>
      </w:pPr>
    </w:p>
    <w:p w14:paraId="6CFFAD8B" w14:textId="77777777" w:rsidR="00B619CE" w:rsidRPr="00B33669" w:rsidRDefault="00B619CE" w:rsidP="00B33669">
      <w:pPr>
        <w:pStyle w:val="Heading3"/>
        <w:spacing w:before="0" w:beforeAutospacing="0" w:after="0" w:afterAutospacing="0" w:line="360" w:lineRule="auto"/>
        <w:rPr>
          <w:rFonts w:ascii="Arial" w:hAnsi="Arial" w:cs="Arial"/>
          <w:color w:val="000000"/>
        </w:rPr>
      </w:pPr>
      <w:r w:rsidRPr="00B33669">
        <w:rPr>
          <w:rFonts w:ascii="Arial" w:hAnsi="Arial" w:cs="Arial"/>
          <w:color w:val="000000"/>
        </w:rPr>
        <w:t>1.3 Interest</w:t>
      </w:r>
    </w:p>
    <w:p w14:paraId="27B19D4A" w14:textId="77777777"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The study of the two financial districts would be of particular interest to, a working professional, looking to enrich their local experience (South African/Canadian), a visitor looking to enrich their international experience of South Africa or Toronto, or an investor conducting research to assess viability for a financial investment project.</w:t>
      </w:r>
    </w:p>
    <w:p w14:paraId="63EBFA05" w14:textId="77777777"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r w:rsidRPr="00B33669">
        <w:rPr>
          <w:rFonts w:ascii="Arial" w:hAnsi="Arial" w:cs="Arial"/>
          <w:color w:val="000000"/>
          <w:sz w:val="33"/>
          <w:szCs w:val="33"/>
        </w:rPr>
        <w:lastRenderedPageBreak/>
        <w:t xml:space="preserve">2 Data </w:t>
      </w:r>
      <w:proofErr w:type="spellStart"/>
      <w:r w:rsidRPr="00B33669">
        <w:rPr>
          <w:rFonts w:ascii="Arial" w:hAnsi="Arial" w:cs="Arial"/>
          <w:color w:val="000000"/>
          <w:sz w:val="33"/>
          <w:szCs w:val="33"/>
        </w:rPr>
        <w:t>Acquistion</w:t>
      </w:r>
      <w:proofErr w:type="spellEnd"/>
      <w:r w:rsidRPr="00B33669">
        <w:rPr>
          <w:rFonts w:ascii="Arial" w:hAnsi="Arial" w:cs="Arial"/>
          <w:color w:val="000000"/>
          <w:sz w:val="33"/>
          <w:szCs w:val="33"/>
        </w:rPr>
        <w:t xml:space="preserve"> and Cleaning</w:t>
      </w:r>
    </w:p>
    <w:p w14:paraId="6EE37F5C" w14:textId="77777777" w:rsidR="00B619CE" w:rsidRPr="00B33669" w:rsidRDefault="00B619CE" w:rsidP="00B33669">
      <w:pPr>
        <w:pStyle w:val="Heading3"/>
        <w:spacing w:before="0" w:beforeAutospacing="0" w:after="0" w:afterAutospacing="0" w:line="360" w:lineRule="auto"/>
        <w:rPr>
          <w:rFonts w:ascii="Arial" w:hAnsi="Arial" w:cs="Arial"/>
          <w:color w:val="000000"/>
        </w:rPr>
      </w:pPr>
      <w:r w:rsidRPr="00B33669">
        <w:rPr>
          <w:rFonts w:ascii="Arial" w:hAnsi="Arial" w:cs="Arial"/>
          <w:color w:val="000000"/>
        </w:rPr>
        <w:t>2.1 Data Acquisition</w:t>
      </w:r>
    </w:p>
    <w:p w14:paraId="2899DBB1" w14:textId="160B0E51" w:rsidR="00B619CE"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 xml:space="preserve">For the Initial starting points of the two financial districts the Google search engine was used to determine the address of the stock </w:t>
      </w:r>
      <w:proofErr w:type="spellStart"/>
      <w:r w:rsidRPr="00B33669">
        <w:rPr>
          <w:rFonts w:ascii="Arial" w:hAnsi="Arial" w:cs="Arial"/>
          <w:color w:val="000000"/>
          <w:sz w:val="21"/>
          <w:szCs w:val="21"/>
        </w:rPr>
        <w:t>exchnage</w:t>
      </w:r>
      <w:proofErr w:type="spellEnd"/>
      <w:r w:rsidRPr="00B33669">
        <w:rPr>
          <w:rFonts w:ascii="Arial" w:hAnsi="Arial" w:cs="Arial"/>
          <w:color w:val="000000"/>
          <w:sz w:val="21"/>
          <w:szCs w:val="21"/>
        </w:rPr>
        <w:t xml:space="preserve"> buildings. For the Toronto Stock Exchange, the Google search engine was further used to obtain the GPS coordinates of the building. For all data pertaining the project reliance was placed on the Foursquare API for input into the exploration and analysis work.</w:t>
      </w:r>
    </w:p>
    <w:p w14:paraId="4130F5F8" w14:textId="77777777" w:rsidR="00B33669" w:rsidRPr="00B33669" w:rsidRDefault="00B33669" w:rsidP="00B33669">
      <w:pPr>
        <w:pStyle w:val="NormalWeb"/>
        <w:spacing w:before="0" w:beforeAutospacing="0" w:after="0" w:afterAutospacing="0" w:line="360" w:lineRule="auto"/>
        <w:jc w:val="both"/>
        <w:rPr>
          <w:rFonts w:ascii="Arial" w:hAnsi="Arial" w:cs="Arial"/>
          <w:color w:val="000000"/>
          <w:sz w:val="21"/>
          <w:szCs w:val="21"/>
        </w:rPr>
      </w:pPr>
    </w:p>
    <w:p w14:paraId="318DE51A" w14:textId="77777777" w:rsidR="00B619CE" w:rsidRPr="00B33669" w:rsidRDefault="00B619CE" w:rsidP="00B33669">
      <w:pPr>
        <w:pStyle w:val="Heading3"/>
        <w:spacing w:before="0" w:beforeAutospacing="0" w:after="0" w:afterAutospacing="0" w:line="360" w:lineRule="auto"/>
        <w:rPr>
          <w:rFonts w:ascii="Arial" w:hAnsi="Arial" w:cs="Arial"/>
          <w:color w:val="000000"/>
        </w:rPr>
      </w:pPr>
      <w:r w:rsidRPr="00B33669">
        <w:rPr>
          <w:rFonts w:ascii="Arial" w:hAnsi="Arial" w:cs="Arial"/>
          <w:color w:val="000000"/>
        </w:rPr>
        <w:t>2.2 Feature Selection</w:t>
      </w:r>
    </w:p>
    <w:p w14:paraId="2B9ADB15" w14:textId="0E58FBF2" w:rsidR="00B619CE"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After extensive research and exploration of Foursquare API documentation, I settled on 3 API's to use for the study in this project. These are Building, Entertainment and Restaurant API’s. Selection of these API's in my view will be able to provide one with high level information and also directionally will be able to make educated decisions regarding neighbourhoods of the two financial districts.</w:t>
      </w:r>
    </w:p>
    <w:p w14:paraId="06C62605" w14:textId="77777777" w:rsidR="00B33669" w:rsidRPr="00B33669" w:rsidRDefault="00B33669" w:rsidP="00B33669">
      <w:pPr>
        <w:pStyle w:val="NormalWeb"/>
        <w:spacing w:before="0" w:beforeAutospacing="0" w:after="0" w:afterAutospacing="0" w:line="360" w:lineRule="auto"/>
        <w:jc w:val="both"/>
        <w:rPr>
          <w:rFonts w:ascii="Arial" w:hAnsi="Arial" w:cs="Arial"/>
          <w:color w:val="000000"/>
          <w:sz w:val="21"/>
          <w:szCs w:val="21"/>
        </w:rPr>
      </w:pPr>
    </w:p>
    <w:p w14:paraId="6ED376CA" w14:textId="77777777"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r w:rsidRPr="00B33669">
        <w:rPr>
          <w:rFonts w:ascii="Arial" w:hAnsi="Arial" w:cs="Arial"/>
          <w:color w:val="000000"/>
          <w:sz w:val="33"/>
          <w:szCs w:val="33"/>
        </w:rPr>
        <w:t>3. Data Exploration</w:t>
      </w:r>
    </w:p>
    <w:p w14:paraId="41810C22" w14:textId="77777777"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 xml:space="preserve">As the study is an exploration study with reliance on </w:t>
      </w:r>
      <w:proofErr w:type="spellStart"/>
      <w:r w:rsidRPr="00B33669">
        <w:rPr>
          <w:rFonts w:ascii="Arial" w:hAnsi="Arial" w:cs="Arial"/>
          <w:color w:val="000000"/>
          <w:sz w:val="21"/>
          <w:szCs w:val="21"/>
        </w:rPr>
        <w:t>on</w:t>
      </w:r>
      <w:proofErr w:type="spellEnd"/>
      <w:r w:rsidRPr="00B33669">
        <w:rPr>
          <w:rFonts w:ascii="Arial" w:hAnsi="Arial" w:cs="Arial"/>
          <w:color w:val="000000"/>
          <w:sz w:val="21"/>
          <w:szCs w:val="21"/>
        </w:rPr>
        <w:t xml:space="preserve"> built in Python function. </w:t>
      </w:r>
      <w:proofErr w:type="spellStart"/>
      <w:r w:rsidRPr="00B33669">
        <w:rPr>
          <w:rFonts w:ascii="Arial" w:hAnsi="Arial" w:cs="Arial"/>
          <w:color w:val="000000"/>
          <w:sz w:val="21"/>
          <w:szCs w:val="21"/>
        </w:rPr>
        <w:t>Neccesary</w:t>
      </w:r>
      <w:proofErr w:type="spellEnd"/>
      <w:r w:rsidRPr="00B33669">
        <w:rPr>
          <w:rFonts w:ascii="Arial" w:hAnsi="Arial" w:cs="Arial"/>
          <w:color w:val="000000"/>
          <w:sz w:val="21"/>
          <w:szCs w:val="21"/>
        </w:rPr>
        <w:t xml:space="preserve"> libraries needed to perform analysis needed to be imported. The next section imports the relevant Python Libraries</w:t>
      </w:r>
    </w:p>
    <w:p w14:paraId="7751E642" w14:textId="0EBB4BCC" w:rsidR="00B619CE" w:rsidRPr="00B33669" w:rsidRDefault="00B619CE" w:rsidP="00B33669">
      <w:pPr>
        <w:spacing w:line="360" w:lineRule="auto"/>
        <w:rPr>
          <w:rFonts w:ascii="Arial" w:hAnsi="Arial" w:cs="Arial"/>
        </w:rPr>
      </w:pPr>
    </w:p>
    <w:p w14:paraId="126EAA81" w14:textId="77777777"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bookmarkStart w:id="0" w:name="OLE_LINK1"/>
      <w:r w:rsidRPr="00B33669">
        <w:rPr>
          <w:rFonts w:ascii="Arial" w:hAnsi="Arial" w:cs="Arial"/>
          <w:color w:val="000000"/>
          <w:sz w:val="33"/>
          <w:szCs w:val="33"/>
        </w:rPr>
        <w:t>3.1 Exploring Buildings around the Johannesburg Stock Exchange</w:t>
      </w:r>
    </w:p>
    <w:bookmarkEnd w:id="0"/>
    <w:p w14:paraId="3A8FD67A" w14:textId="0563CEC3"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 xml:space="preserve">Using the address obtained from the Google Search engine as input, the below program seeks to find the GPS coordinates of the Johannesburg stock </w:t>
      </w:r>
      <w:proofErr w:type="spellStart"/>
      <w:r w:rsidRPr="00B33669">
        <w:rPr>
          <w:rFonts w:ascii="Arial" w:hAnsi="Arial" w:cs="Arial"/>
          <w:color w:val="000000"/>
          <w:sz w:val="21"/>
          <w:szCs w:val="21"/>
        </w:rPr>
        <w:t>exchnage</w:t>
      </w:r>
      <w:proofErr w:type="spellEnd"/>
      <w:r w:rsidRPr="00B33669">
        <w:rPr>
          <w:rFonts w:ascii="Arial" w:hAnsi="Arial" w:cs="Arial"/>
          <w:color w:val="000000"/>
          <w:sz w:val="21"/>
          <w:szCs w:val="21"/>
        </w:rPr>
        <w:t xml:space="preserve"> building in South Africa.</w:t>
      </w:r>
    </w:p>
    <w:p w14:paraId="60FFCE14" w14:textId="5091BACB"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p>
    <w:p w14:paraId="7763C4AC" w14:textId="77777777" w:rsidR="00B619CE" w:rsidRPr="00B619CE" w:rsidRDefault="00B619CE" w:rsidP="00B33669">
      <w:pPr>
        <w:numPr>
          <w:ilvl w:val="0"/>
          <w:numId w:val="1"/>
        </w:numPr>
        <w:spacing w:line="360" w:lineRule="auto"/>
        <w:rPr>
          <w:rFonts w:ascii="Arial" w:hAnsi="Arial" w:cs="Arial"/>
        </w:rPr>
      </w:pPr>
      <w:r w:rsidRPr="00B619CE">
        <w:rPr>
          <w:rFonts w:ascii="Arial" w:hAnsi="Arial" w:cs="Arial"/>
          <w:lang w:val="en-US"/>
        </w:rPr>
        <w:t>6 building location exist within 1 KM radius from the Johannesburg Stock Exchange</w:t>
      </w:r>
    </w:p>
    <w:p w14:paraId="497CE8A1" w14:textId="77777777" w:rsidR="00B619CE" w:rsidRPr="00B619CE" w:rsidRDefault="00B619CE" w:rsidP="00B33669">
      <w:pPr>
        <w:numPr>
          <w:ilvl w:val="0"/>
          <w:numId w:val="1"/>
        </w:numPr>
        <w:spacing w:line="360" w:lineRule="auto"/>
        <w:rPr>
          <w:rFonts w:ascii="Arial" w:hAnsi="Arial" w:cs="Arial"/>
        </w:rPr>
      </w:pPr>
      <w:r w:rsidRPr="00B619CE">
        <w:rPr>
          <w:rFonts w:ascii="Arial" w:hAnsi="Arial" w:cs="Arial"/>
          <w:lang w:val="en-US"/>
        </w:rPr>
        <w:t xml:space="preserve">4 of them are Hotels and with the other being a </w:t>
      </w:r>
      <w:proofErr w:type="gramStart"/>
      <w:r w:rsidRPr="00B619CE">
        <w:rPr>
          <w:rFonts w:ascii="Arial" w:hAnsi="Arial" w:cs="Arial"/>
          <w:lang w:val="en-US"/>
        </w:rPr>
        <w:t>Shopping Mall</w:t>
      </w:r>
      <w:proofErr w:type="gramEnd"/>
      <w:r w:rsidRPr="00B619CE">
        <w:rPr>
          <w:rFonts w:ascii="Arial" w:hAnsi="Arial" w:cs="Arial"/>
          <w:lang w:val="en-US"/>
        </w:rPr>
        <w:t xml:space="preserve"> and an African Restaurant</w:t>
      </w:r>
    </w:p>
    <w:p w14:paraId="4257839C" w14:textId="3B23E854" w:rsidR="00B619CE" w:rsidRPr="00B33669" w:rsidRDefault="00B619CE" w:rsidP="00B33669">
      <w:pPr>
        <w:spacing w:line="360" w:lineRule="auto"/>
        <w:rPr>
          <w:rFonts w:ascii="Arial" w:hAnsi="Arial" w:cs="Arial"/>
        </w:rPr>
      </w:pPr>
    </w:p>
    <w:p w14:paraId="6B94A878" w14:textId="410FE826" w:rsidR="00B619CE" w:rsidRPr="00B33669" w:rsidRDefault="00B619CE" w:rsidP="00B33669">
      <w:pPr>
        <w:spacing w:line="360" w:lineRule="auto"/>
        <w:rPr>
          <w:rFonts w:ascii="Arial" w:hAnsi="Arial" w:cs="Arial"/>
        </w:rPr>
      </w:pPr>
    </w:p>
    <w:p w14:paraId="5F67A8F0" w14:textId="02B08DEB"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bookmarkStart w:id="1" w:name="OLE_LINK2"/>
      <w:r w:rsidRPr="00B33669">
        <w:rPr>
          <w:rFonts w:ascii="Arial" w:hAnsi="Arial" w:cs="Arial"/>
          <w:color w:val="000000"/>
          <w:sz w:val="33"/>
          <w:szCs w:val="33"/>
        </w:rPr>
        <w:t>3.</w:t>
      </w:r>
      <w:r w:rsidRPr="00B33669">
        <w:rPr>
          <w:rFonts w:ascii="Arial" w:hAnsi="Arial" w:cs="Arial"/>
          <w:color w:val="000000"/>
          <w:sz w:val="33"/>
          <w:szCs w:val="33"/>
        </w:rPr>
        <w:t>2</w:t>
      </w:r>
      <w:r w:rsidRPr="00B33669">
        <w:rPr>
          <w:rFonts w:ascii="Arial" w:hAnsi="Arial" w:cs="Arial"/>
          <w:color w:val="000000"/>
          <w:sz w:val="33"/>
          <w:szCs w:val="33"/>
        </w:rPr>
        <w:t xml:space="preserve"> Exploring Buildings around the Johannesburg Stock Exchange</w:t>
      </w:r>
    </w:p>
    <w:bookmarkEnd w:id="1"/>
    <w:p w14:paraId="1A49CAA8" w14:textId="4A4113E3" w:rsidR="00B619CE" w:rsidRPr="00B33669" w:rsidRDefault="00B619CE" w:rsidP="00B33669">
      <w:pPr>
        <w:spacing w:line="360" w:lineRule="auto"/>
        <w:rPr>
          <w:rFonts w:ascii="Arial" w:hAnsi="Arial" w:cs="Arial"/>
        </w:rPr>
      </w:pPr>
    </w:p>
    <w:p w14:paraId="3DA4C90E" w14:textId="70113990" w:rsidR="00B619CE" w:rsidRPr="00B33669" w:rsidRDefault="00B619CE" w:rsidP="00B33669">
      <w:pPr>
        <w:spacing w:line="360" w:lineRule="auto"/>
        <w:rPr>
          <w:rFonts w:ascii="Arial" w:hAnsi="Arial" w:cs="Arial"/>
        </w:rPr>
      </w:pPr>
      <w:r w:rsidRPr="00B33669">
        <w:rPr>
          <w:rFonts w:ascii="Arial" w:hAnsi="Arial" w:cs="Arial"/>
        </w:rPr>
        <w:drawing>
          <wp:inline distT="0" distB="0" distL="0" distR="0" wp14:anchorId="445AB9BF" wp14:editId="003FCD77">
            <wp:extent cx="5731510" cy="2698115"/>
            <wp:effectExtent l="0" t="0" r="8890" b="6985"/>
            <wp:docPr id="1" name="Chart 1">
              <a:extLst xmlns:a="http://schemas.openxmlformats.org/drawingml/2006/main">
                <a:ext uri="{FF2B5EF4-FFF2-40B4-BE49-F238E27FC236}">
                  <a16:creationId xmlns:a16="http://schemas.microsoft.com/office/drawing/2014/main" id="{C296011B-D386-7E4E-BFD7-AB6325B06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DA4B50" w14:textId="345E1155" w:rsidR="00B619CE" w:rsidRPr="00B33669" w:rsidRDefault="00B619CE" w:rsidP="00B33669">
      <w:pPr>
        <w:spacing w:line="360" w:lineRule="auto"/>
        <w:rPr>
          <w:rFonts w:ascii="Arial" w:hAnsi="Arial" w:cs="Arial"/>
        </w:rPr>
      </w:pPr>
    </w:p>
    <w:p w14:paraId="17CBBCC1" w14:textId="293F4F26" w:rsidR="00B619CE" w:rsidRPr="00B33669" w:rsidRDefault="00B619CE" w:rsidP="00B33669">
      <w:pPr>
        <w:spacing w:line="360" w:lineRule="auto"/>
        <w:rPr>
          <w:rFonts w:ascii="Arial" w:hAnsi="Arial" w:cs="Arial"/>
        </w:rPr>
      </w:pPr>
    </w:p>
    <w:p w14:paraId="4329CE6A" w14:textId="77777777" w:rsidR="00B619CE" w:rsidRPr="00B619CE" w:rsidRDefault="00B619CE" w:rsidP="00B33669">
      <w:pPr>
        <w:numPr>
          <w:ilvl w:val="0"/>
          <w:numId w:val="2"/>
        </w:numPr>
        <w:spacing w:line="360" w:lineRule="auto"/>
        <w:rPr>
          <w:rFonts w:ascii="Arial" w:hAnsi="Arial" w:cs="Arial"/>
        </w:rPr>
      </w:pPr>
      <w:r w:rsidRPr="00B619CE">
        <w:rPr>
          <w:rFonts w:ascii="Arial" w:hAnsi="Arial" w:cs="Arial"/>
          <w:lang w:val="en-US"/>
        </w:rPr>
        <w:t>65 buildings exist around the Toronto Stock Exchange within a 1KM radius</w:t>
      </w:r>
    </w:p>
    <w:p w14:paraId="35E09F63" w14:textId="77777777" w:rsidR="00B619CE" w:rsidRPr="00B619CE" w:rsidRDefault="00B619CE" w:rsidP="00B33669">
      <w:pPr>
        <w:numPr>
          <w:ilvl w:val="0"/>
          <w:numId w:val="2"/>
        </w:numPr>
        <w:spacing w:line="360" w:lineRule="auto"/>
        <w:rPr>
          <w:rFonts w:ascii="Arial" w:hAnsi="Arial" w:cs="Arial"/>
        </w:rPr>
      </w:pPr>
      <w:r w:rsidRPr="00B619CE">
        <w:rPr>
          <w:rFonts w:ascii="Arial" w:hAnsi="Arial" w:cs="Arial"/>
          <w:lang w:val="en-US"/>
        </w:rPr>
        <w:t xml:space="preserve"> Building category with most buildings is Hotel category just like in Johannesburg</w:t>
      </w:r>
    </w:p>
    <w:p w14:paraId="7CCC2E28" w14:textId="5F1F229E" w:rsidR="00B619CE" w:rsidRPr="00B33669" w:rsidRDefault="00B619CE" w:rsidP="00B33669">
      <w:pPr>
        <w:spacing w:line="360" w:lineRule="auto"/>
        <w:rPr>
          <w:rFonts w:ascii="Arial" w:hAnsi="Arial" w:cs="Arial"/>
        </w:rPr>
      </w:pPr>
    </w:p>
    <w:p w14:paraId="487FFA90" w14:textId="02D9F719" w:rsidR="00B619CE" w:rsidRPr="00B33669" w:rsidRDefault="00B619CE" w:rsidP="00B33669">
      <w:pPr>
        <w:spacing w:line="360" w:lineRule="auto"/>
        <w:rPr>
          <w:rFonts w:ascii="Arial" w:hAnsi="Arial" w:cs="Arial"/>
        </w:rPr>
      </w:pPr>
    </w:p>
    <w:p w14:paraId="4F3D3B25" w14:textId="77777777" w:rsidR="00B619CE" w:rsidRPr="00B33669" w:rsidRDefault="00B619CE" w:rsidP="00B33669">
      <w:pPr>
        <w:spacing w:line="360" w:lineRule="auto"/>
        <w:rPr>
          <w:rFonts w:ascii="Arial" w:eastAsia="Times New Roman" w:hAnsi="Arial" w:cs="Arial"/>
          <w:b/>
          <w:bCs/>
          <w:color w:val="000000"/>
          <w:sz w:val="33"/>
          <w:szCs w:val="33"/>
          <w:lang w:eastAsia="en-GB"/>
        </w:rPr>
      </w:pPr>
      <w:r w:rsidRPr="00B33669">
        <w:rPr>
          <w:rFonts w:ascii="Arial" w:hAnsi="Arial" w:cs="Arial"/>
          <w:color w:val="000000"/>
          <w:sz w:val="33"/>
          <w:szCs w:val="33"/>
        </w:rPr>
        <w:br w:type="page"/>
      </w:r>
    </w:p>
    <w:p w14:paraId="5026B7ED" w14:textId="6DCF92BC"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r w:rsidRPr="00B33669">
        <w:rPr>
          <w:rFonts w:ascii="Arial" w:hAnsi="Arial" w:cs="Arial"/>
          <w:color w:val="000000"/>
          <w:sz w:val="33"/>
          <w:szCs w:val="33"/>
        </w:rPr>
        <w:lastRenderedPageBreak/>
        <w:t>3.</w:t>
      </w:r>
      <w:r w:rsidRPr="00B33669">
        <w:rPr>
          <w:rFonts w:ascii="Arial" w:hAnsi="Arial" w:cs="Arial"/>
          <w:color w:val="000000"/>
          <w:sz w:val="33"/>
          <w:szCs w:val="33"/>
        </w:rPr>
        <w:t>3</w:t>
      </w:r>
      <w:r w:rsidRPr="00B33669">
        <w:rPr>
          <w:rFonts w:ascii="Arial" w:hAnsi="Arial" w:cs="Arial"/>
          <w:color w:val="000000"/>
          <w:sz w:val="33"/>
          <w:szCs w:val="33"/>
        </w:rPr>
        <w:t xml:space="preserve"> </w:t>
      </w:r>
      <w:r w:rsidRPr="00B33669">
        <w:rPr>
          <w:rFonts w:ascii="Arial" w:hAnsi="Arial" w:cs="Arial"/>
          <w:color w:val="000000"/>
          <w:sz w:val="33"/>
          <w:szCs w:val="33"/>
          <w:lang w:val="en-US"/>
        </w:rPr>
        <w:t>Entertainment Comparison between JSE and TSE</w:t>
      </w:r>
    </w:p>
    <w:p w14:paraId="51C6413F" w14:textId="3DC1EB2C"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p>
    <w:p w14:paraId="5367D64B" w14:textId="2E26C54A"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r w:rsidRPr="00B33669">
        <w:rPr>
          <w:rFonts w:ascii="Arial" w:hAnsi="Arial" w:cs="Arial"/>
          <w:color w:val="000000"/>
          <w:sz w:val="33"/>
          <w:szCs w:val="33"/>
        </w:rPr>
        <w:drawing>
          <wp:inline distT="0" distB="0" distL="0" distR="0" wp14:anchorId="1365681C" wp14:editId="3457B631">
            <wp:extent cx="4967288" cy="2743200"/>
            <wp:effectExtent l="0" t="0" r="0" b="0"/>
            <wp:docPr id="2" name="Chart 2">
              <a:extLst xmlns:a="http://schemas.openxmlformats.org/drawingml/2006/main">
                <a:ext uri="{FF2B5EF4-FFF2-40B4-BE49-F238E27FC236}">
                  <a16:creationId xmlns:a16="http://schemas.microsoft.com/office/drawing/2014/main" id="{E185DB0D-38F7-764F-9784-9D43F999F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6B6B05" w14:textId="47DBB89F"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p>
    <w:p w14:paraId="53469496" w14:textId="7288920B"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p>
    <w:p w14:paraId="7C579752" w14:textId="47551136"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p>
    <w:p w14:paraId="2582182A" w14:textId="063F4FA2"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r w:rsidRPr="00B33669">
        <w:rPr>
          <w:rFonts w:ascii="Arial" w:hAnsi="Arial" w:cs="Arial"/>
          <w:color w:val="000000"/>
          <w:sz w:val="33"/>
          <w:szCs w:val="33"/>
        </w:rPr>
        <w:drawing>
          <wp:inline distT="0" distB="0" distL="0" distR="0" wp14:anchorId="36FD345A" wp14:editId="2ACE31FE">
            <wp:extent cx="5140154" cy="2312716"/>
            <wp:effectExtent l="0" t="0" r="3810" b="0"/>
            <wp:docPr id="3" name="Chart 3">
              <a:extLst xmlns:a="http://schemas.openxmlformats.org/drawingml/2006/main">
                <a:ext uri="{FF2B5EF4-FFF2-40B4-BE49-F238E27FC236}">
                  <a16:creationId xmlns:a16="http://schemas.microsoft.com/office/drawing/2014/main" id="{80DEBE02-D150-C144-A3C6-FD68C6768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C45EFD" w14:textId="6BEADDFD" w:rsidR="00B619CE" w:rsidRPr="00B33669" w:rsidRDefault="00B619CE" w:rsidP="00B33669">
      <w:pPr>
        <w:pStyle w:val="Heading2"/>
        <w:spacing w:before="0" w:beforeAutospacing="0" w:after="0" w:afterAutospacing="0" w:line="360" w:lineRule="auto"/>
        <w:rPr>
          <w:rFonts w:ascii="Arial" w:hAnsi="Arial" w:cs="Arial"/>
          <w:color w:val="000000"/>
          <w:sz w:val="33"/>
          <w:szCs w:val="33"/>
        </w:rPr>
      </w:pPr>
    </w:p>
    <w:p w14:paraId="47D5CC5D" w14:textId="77777777" w:rsidR="00B619CE" w:rsidRPr="00B619CE" w:rsidRDefault="00B619CE" w:rsidP="00B33669">
      <w:pPr>
        <w:pStyle w:val="Heading2"/>
        <w:numPr>
          <w:ilvl w:val="0"/>
          <w:numId w:val="3"/>
        </w:numPr>
        <w:spacing w:before="0" w:line="360" w:lineRule="auto"/>
        <w:rPr>
          <w:rFonts w:ascii="Arial" w:hAnsi="Arial" w:cs="Arial"/>
          <w:b w:val="0"/>
          <w:bCs w:val="0"/>
          <w:color w:val="000000"/>
          <w:sz w:val="22"/>
          <w:szCs w:val="22"/>
        </w:rPr>
      </w:pPr>
      <w:r w:rsidRPr="00B619CE">
        <w:rPr>
          <w:rFonts w:ascii="Arial" w:hAnsi="Arial" w:cs="Arial"/>
          <w:b w:val="0"/>
          <w:bCs w:val="0"/>
          <w:color w:val="000000"/>
          <w:sz w:val="22"/>
          <w:szCs w:val="22"/>
          <w:lang w:val="en-US"/>
        </w:rPr>
        <w:t>42 Entertainment Categories exist within 1 KM radius of TSE vs 4 that exist within 1 KM radius of the JSE.</w:t>
      </w:r>
    </w:p>
    <w:p w14:paraId="700DE386" w14:textId="77777777" w:rsidR="00B619CE" w:rsidRPr="00B619CE" w:rsidRDefault="00B619CE" w:rsidP="00B33669">
      <w:pPr>
        <w:pStyle w:val="Heading2"/>
        <w:numPr>
          <w:ilvl w:val="0"/>
          <w:numId w:val="3"/>
        </w:numPr>
        <w:spacing w:before="0" w:line="360" w:lineRule="auto"/>
        <w:rPr>
          <w:rFonts w:ascii="Arial" w:hAnsi="Arial" w:cs="Arial"/>
          <w:b w:val="0"/>
          <w:bCs w:val="0"/>
          <w:color w:val="000000"/>
          <w:sz w:val="22"/>
          <w:szCs w:val="22"/>
        </w:rPr>
      </w:pPr>
      <w:r w:rsidRPr="00B619CE">
        <w:rPr>
          <w:rFonts w:ascii="Arial" w:hAnsi="Arial" w:cs="Arial"/>
          <w:b w:val="0"/>
          <w:bCs w:val="0"/>
          <w:color w:val="000000"/>
          <w:sz w:val="22"/>
          <w:szCs w:val="22"/>
          <w:lang w:val="en-US"/>
        </w:rPr>
        <w:t>The highest proportion in both neighborhoods is the General category</w:t>
      </w:r>
    </w:p>
    <w:p w14:paraId="1CB15C78" w14:textId="4CBBCEFE" w:rsidR="00B619CE" w:rsidRPr="00B33669" w:rsidRDefault="00B619CE" w:rsidP="00B33669">
      <w:pPr>
        <w:pStyle w:val="Heading2"/>
        <w:numPr>
          <w:ilvl w:val="0"/>
          <w:numId w:val="3"/>
        </w:numPr>
        <w:spacing w:before="0" w:line="360" w:lineRule="auto"/>
        <w:rPr>
          <w:rFonts w:ascii="Arial" w:hAnsi="Arial" w:cs="Arial"/>
          <w:b w:val="0"/>
          <w:bCs w:val="0"/>
          <w:color w:val="000000"/>
          <w:sz w:val="22"/>
          <w:szCs w:val="22"/>
        </w:rPr>
      </w:pPr>
      <w:r w:rsidRPr="00B619CE">
        <w:rPr>
          <w:rFonts w:ascii="Arial" w:hAnsi="Arial" w:cs="Arial"/>
          <w:b w:val="0"/>
          <w:bCs w:val="0"/>
          <w:color w:val="000000"/>
          <w:sz w:val="22"/>
          <w:szCs w:val="22"/>
          <w:lang w:val="en-US"/>
        </w:rPr>
        <w:t xml:space="preserve">TSE neighborhood offers more variety compared to JSE neighborhood. </w:t>
      </w:r>
    </w:p>
    <w:p w14:paraId="7EE91DBC" w14:textId="7B12D63A" w:rsidR="00B619CE" w:rsidRPr="00B33669" w:rsidRDefault="00B619CE" w:rsidP="00B33669">
      <w:pPr>
        <w:pStyle w:val="Heading2"/>
        <w:spacing w:before="0" w:beforeAutospacing="0" w:after="0" w:afterAutospacing="0" w:line="360" w:lineRule="auto"/>
        <w:rPr>
          <w:rFonts w:ascii="Arial" w:hAnsi="Arial" w:cs="Arial"/>
        </w:rPr>
      </w:pPr>
      <w:r w:rsidRPr="00B33669">
        <w:rPr>
          <w:rFonts w:ascii="Arial" w:hAnsi="Arial" w:cs="Arial"/>
          <w:color w:val="000000"/>
          <w:sz w:val="33"/>
          <w:szCs w:val="33"/>
        </w:rPr>
        <w:lastRenderedPageBreak/>
        <w:t>3.</w:t>
      </w:r>
      <w:r w:rsidRPr="00B33669">
        <w:rPr>
          <w:rFonts w:ascii="Arial" w:hAnsi="Arial" w:cs="Arial"/>
          <w:color w:val="000000"/>
          <w:sz w:val="33"/>
          <w:szCs w:val="33"/>
        </w:rPr>
        <w:t>4</w:t>
      </w:r>
      <w:r w:rsidRPr="00B33669">
        <w:rPr>
          <w:rFonts w:ascii="Arial" w:hAnsi="Arial" w:cs="Arial"/>
          <w:color w:val="000000"/>
          <w:sz w:val="33"/>
          <w:szCs w:val="33"/>
        </w:rPr>
        <w:t xml:space="preserve"> </w:t>
      </w:r>
      <w:r w:rsidRPr="00B33669">
        <w:rPr>
          <w:rFonts w:ascii="Arial" w:hAnsi="Arial" w:cs="Arial"/>
          <w:color w:val="000000"/>
          <w:sz w:val="33"/>
          <w:szCs w:val="33"/>
          <w:lang w:val="en-US"/>
        </w:rPr>
        <w:t>Restaurant Category Comparison between the JSE and TSE neighborhoods.</w:t>
      </w:r>
    </w:p>
    <w:p w14:paraId="02013DD1" w14:textId="3EF389A7" w:rsidR="00B619CE" w:rsidRPr="00B33669" w:rsidRDefault="00B619CE" w:rsidP="00B33669">
      <w:pPr>
        <w:spacing w:line="360" w:lineRule="auto"/>
        <w:rPr>
          <w:rFonts w:ascii="Arial" w:hAnsi="Arial" w:cs="Arial"/>
        </w:rPr>
      </w:pPr>
      <w:r w:rsidRPr="00B33669">
        <w:rPr>
          <w:rFonts w:ascii="Arial" w:hAnsi="Arial" w:cs="Arial"/>
        </w:rPr>
        <w:drawing>
          <wp:inline distT="0" distB="0" distL="0" distR="0" wp14:anchorId="1FF4AA88" wp14:editId="02FF19A2">
            <wp:extent cx="5731510" cy="2606675"/>
            <wp:effectExtent l="0" t="0" r="0" b="0"/>
            <wp:docPr id="4" name="Chart 4">
              <a:extLst xmlns:a="http://schemas.openxmlformats.org/drawingml/2006/main">
                <a:ext uri="{FF2B5EF4-FFF2-40B4-BE49-F238E27FC236}">
                  <a16:creationId xmlns:a16="http://schemas.microsoft.com/office/drawing/2014/main" id="{9959570A-37F5-4748-A5BE-6F52D236AB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25E78B" w14:textId="2830AD7E" w:rsidR="00B619CE" w:rsidRPr="00B33669" w:rsidRDefault="00B619CE" w:rsidP="00B33669">
      <w:pPr>
        <w:spacing w:line="360" w:lineRule="auto"/>
        <w:rPr>
          <w:rFonts w:ascii="Arial" w:hAnsi="Arial" w:cs="Arial"/>
        </w:rPr>
      </w:pPr>
    </w:p>
    <w:p w14:paraId="207BC648" w14:textId="77777777" w:rsidR="00B619CE" w:rsidRPr="00B33669" w:rsidRDefault="00B619CE" w:rsidP="00B33669">
      <w:pPr>
        <w:pStyle w:val="Heading1"/>
        <w:spacing w:before="0" w:beforeAutospacing="0" w:after="0" w:afterAutospacing="0" w:line="360" w:lineRule="auto"/>
        <w:rPr>
          <w:rFonts w:ascii="Arial" w:hAnsi="Arial" w:cs="Arial"/>
          <w:color w:val="000000"/>
          <w:sz w:val="39"/>
          <w:szCs w:val="39"/>
        </w:rPr>
      </w:pPr>
    </w:p>
    <w:p w14:paraId="7D0DEB40" w14:textId="0B8DB58C" w:rsidR="00B619CE" w:rsidRPr="00B33669" w:rsidRDefault="00B619CE" w:rsidP="00B33669">
      <w:pPr>
        <w:pStyle w:val="Heading1"/>
        <w:spacing w:before="0" w:beforeAutospacing="0" w:after="0" w:afterAutospacing="0" w:line="360" w:lineRule="auto"/>
        <w:rPr>
          <w:rFonts w:ascii="Arial" w:hAnsi="Arial" w:cs="Arial"/>
          <w:color w:val="000000"/>
          <w:sz w:val="39"/>
          <w:szCs w:val="39"/>
        </w:rPr>
      </w:pPr>
      <w:r w:rsidRPr="00B33669">
        <w:rPr>
          <w:rFonts w:ascii="Arial" w:hAnsi="Arial" w:cs="Arial"/>
          <w:color w:val="000000"/>
          <w:sz w:val="39"/>
          <w:szCs w:val="39"/>
        </w:rPr>
        <w:drawing>
          <wp:inline distT="0" distB="0" distL="0" distR="0" wp14:anchorId="00D02093" wp14:editId="4B7E5555">
            <wp:extent cx="5140154" cy="2312716"/>
            <wp:effectExtent l="0" t="0" r="3810" b="0"/>
            <wp:docPr id="5" name="Chart 5">
              <a:extLst xmlns:a="http://schemas.openxmlformats.org/drawingml/2006/main">
                <a:ext uri="{FF2B5EF4-FFF2-40B4-BE49-F238E27FC236}">
                  <a16:creationId xmlns:a16="http://schemas.microsoft.com/office/drawing/2014/main" id="{80DEBE02-D150-C144-A3C6-FD68C6768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7A848A" w14:textId="1ECB41AA" w:rsidR="00B33669" w:rsidRPr="00B33669" w:rsidRDefault="00B33669" w:rsidP="00B33669">
      <w:pPr>
        <w:pStyle w:val="Heading1"/>
        <w:spacing w:before="0" w:beforeAutospacing="0" w:after="0" w:afterAutospacing="0" w:line="360" w:lineRule="auto"/>
        <w:rPr>
          <w:rFonts w:ascii="Arial" w:hAnsi="Arial" w:cs="Arial"/>
          <w:color w:val="000000"/>
          <w:sz w:val="39"/>
          <w:szCs w:val="39"/>
        </w:rPr>
      </w:pPr>
    </w:p>
    <w:p w14:paraId="44BCB551" w14:textId="77777777" w:rsidR="00B33669" w:rsidRPr="00B33669" w:rsidRDefault="00B33669" w:rsidP="00B33669">
      <w:pPr>
        <w:pStyle w:val="Heading1"/>
        <w:numPr>
          <w:ilvl w:val="0"/>
          <w:numId w:val="4"/>
        </w:numPr>
        <w:spacing w:before="0" w:line="360" w:lineRule="auto"/>
        <w:rPr>
          <w:rFonts w:ascii="Arial" w:hAnsi="Arial" w:cs="Arial"/>
          <w:b w:val="0"/>
          <w:bCs w:val="0"/>
          <w:color w:val="000000"/>
          <w:sz w:val="24"/>
          <w:szCs w:val="24"/>
        </w:rPr>
      </w:pPr>
      <w:r w:rsidRPr="00B33669">
        <w:rPr>
          <w:rFonts w:ascii="Arial" w:hAnsi="Arial" w:cs="Arial"/>
          <w:b w:val="0"/>
          <w:bCs w:val="0"/>
          <w:color w:val="000000"/>
          <w:sz w:val="24"/>
          <w:szCs w:val="24"/>
          <w:lang w:val="en-US"/>
        </w:rPr>
        <w:t>42 Entertainment Categories exist within 1 KM radius of TSE vs 4 that exist within 1 KM radius of the JSE.</w:t>
      </w:r>
    </w:p>
    <w:p w14:paraId="1684C037" w14:textId="77777777" w:rsidR="00B33669" w:rsidRPr="00B33669" w:rsidRDefault="00B33669" w:rsidP="00B33669">
      <w:pPr>
        <w:pStyle w:val="Heading1"/>
        <w:numPr>
          <w:ilvl w:val="0"/>
          <w:numId w:val="4"/>
        </w:numPr>
        <w:spacing w:before="0" w:line="360" w:lineRule="auto"/>
        <w:rPr>
          <w:rFonts w:ascii="Arial" w:hAnsi="Arial" w:cs="Arial"/>
          <w:b w:val="0"/>
          <w:bCs w:val="0"/>
          <w:color w:val="000000"/>
          <w:sz w:val="24"/>
          <w:szCs w:val="24"/>
        </w:rPr>
      </w:pPr>
      <w:r w:rsidRPr="00B33669">
        <w:rPr>
          <w:rFonts w:ascii="Arial" w:hAnsi="Arial" w:cs="Arial"/>
          <w:b w:val="0"/>
          <w:bCs w:val="0"/>
          <w:color w:val="000000"/>
          <w:sz w:val="24"/>
          <w:szCs w:val="24"/>
          <w:lang w:val="en-US"/>
        </w:rPr>
        <w:t>The highest proportion in both neighborhoods is the General category</w:t>
      </w:r>
    </w:p>
    <w:p w14:paraId="34C58DC6" w14:textId="20F5B59B" w:rsidR="00B33669" w:rsidRPr="00B33669" w:rsidRDefault="00B33669" w:rsidP="00B33669">
      <w:pPr>
        <w:pStyle w:val="Heading1"/>
        <w:numPr>
          <w:ilvl w:val="0"/>
          <w:numId w:val="4"/>
        </w:numPr>
        <w:spacing w:before="0" w:line="360" w:lineRule="auto"/>
        <w:rPr>
          <w:rFonts w:ascii="Arial" w:hAnsi="Arial" w:cs="Arial"/>
          <w:b w:val="0"/>
          <w:bCs w:val="0"/>
          <w:color w:val="000000"/>
          <w:sz w:val="24"/>
          <w:szCs w:val="24"/>
        </w:rPr>
      </w:pPr>
      <w:r w:rsidRPr="00B33669">
        <w:rPr>
          <w:rFonts w:ascii="Arial" w:hAnsi="Arial" w:cs="Arial"/>
          <w:b w:val="0"/>
          <w:bCs w:val="0"/>
          <w:color w:val="000000"/>
          <w:sz w:val="24"/>
          <w:szCs w:val="24"/>
          <w:lang w:val="en-US"/>
        </w:rPr>
        <w:t xml:space="preserve">TSE neighborhood offers more variety compared to JSE neighborhood. </w:t>
      </w:r>
    </w:p>
    <w:p w14:paraId="1571F130" w14:textId="77777777" w:rsidR="00B619CE" w:rsidRPr="00B33669" w:rsidRDefault="00B619CE" w:rsidP="00B33669">
      <w:pPr>
        <w:pStyle w:val="Heading1"/>
        <w:spacing w:before="0" w:beforeAutospacing="0" w:after="0" w:afterAutospacing="0" w:line="360" w:lineRule="auto"/>
        <w:rPr>
          <w:rFonts w:ascii="Arial" w:hAnsi="Arial" w:cs="Arial"/>
          <w:color w:val="000000"/>
          <w:sz w:val="39"/>
          <w:szCs w:val="39"/>
        </w:rPr>
      </w:pPr>
    </w:p>
    <w:p w14:paraId="4108C5D9" w14:textId="0D44B442" w:rsidR="00B33669" w:rsidRPr="00B33669" w:rsidRDefault="00B33669" w:rsidP="00B33669">
      <w:pPr>
        <w:spacing w:line="360" w:lineRule="auto"/>
        <w:rPr>
          <w:rFonts w:ascii="Arial" w:eastAsia="Times New Roman" w:hAnsi="Arial" w:cs="Arial"/>
          <w:b/>
          <w:bCs/>
          <w:color w:val="000000"/>
          <w:kern w:val="36"/>
          <w:sz w:val="39"/>
          <w:szCs w:val="39"/>
          <w:lang w:eastAsia="en-GB"/>
        </w:rPr>
      </w:pPr>
    </w:p>
    <w:p w14:paraId="63F8885C" w14:textId="2D7F8C54" w:rsidR="00B619CE" w:rsidRPr="00B33669" w:rsidRDefault="00B33669" w:rsidP="00B33669">
      <w:pPr>
        <w:pStyle w:val="Heading1"/>
        <w:spacing w:before="0" w:beforeAutospacing="0" w:after="0" w:afterAutospacing="0" w:line="360" w:lineRule="auto"/>
        <w:rPr>
          <w:rFonts w:ascii="Arial" w:hAnsi="Arial" w:cs="Arial"/>
          <w:color w:val="000000"/>
          <w:sz w:val="39"/>
          <w:szCs w:val="39"/>
        </w:rPr>
      </w:pPr>
      <w:r>
        <w:rPr>
          <w:rFonts w:ascii="Arial" w:hAnsi="Arial" w:cs="Arial"/>
          <w:color w:val="000000"/>
          <w:sz w:val="39"/>
          <w:szCs w:val="39"/>
        </w:rPr>
        <w:t xml:space="preserve">4. </w:t>
      </w:r>
      <w:r w:rsidR="00B619CE" w:rsidRPr="00B33669">
        <w:rPr>
          <w:rFonts w:ascii="Arial" w:hAnsi="Arial" w:cs="Arial"/>
          <w:color w:val="000000"/>
          <w:sz w:val="39"/>
          <w:szCs w:val="39"/>
        </w:rPr>
        <w:t>Discussion</w:t>
      </w:r>
    </w:p>
    <w:p w14:paraId="509415E6" w14:textId="77777777"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Buildings around Financial Centres Explorations of the buildings around the Johannesburg Stock Exchange revealed 6 buildings of interest with 66% of them being Hotels and the remaining buildings being a shopping Mall and Wall Street restaurant. Exploration the buildings around the Toronto Stock exchange revealed 65 buildings with diverse categories of which only 12% of them was hotels. Though in terms of percentage Toronto’s number is low in terms of quantity it is still more than Johannesburg’s. Toronto also offer 41 more categories that I was not able to find in the Johannesburg data.</w:t>
      </w:r>
    </w:p>
    <w:p w14:paraId="5C1908A5" w14:textId="77777777" w:rsidR="00B619CE" w:rsidRPr="00B33669" w:rsidRDefault="00B619CE" w:rsidP="00B33669">
      <w:pPr>
        <w:pStyle w:val="NormalWeb"/>
        <w:spacing w:before="24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Exploration of entertainment areas around Johannesburg only reveal 4 spots with only two categories being a nightclub and general entertainment. For the same category Toronto offers 42 areas of entertainments, offering visitors variety of things to do and explore around the Financial District. In terms of the categories of entertainment Toronto has 25 (60%) venues categorised under general entertainment. 40% of offer alternative categories which are not found around the Johannesburg Financial district area.</w:t>
      </w:r>
    </w:p>
    <w:p w14:paraId="476D97F4" w14:textId="23BAE3EC" w:rsidR="00B619CE" w:rsidRPr="00B33669" w:rsidRDefault="00B619CE" w:rsidP="00B33669">
      <w:pPr>
        <w:pStyle w:val="NormalWeb"/>
        <w:spacing w:before="24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Exploration to the food market in both cities, indicate that there are 34 restaurant around the Johannesburg stock exchange compared to more than 100 around the Toronto Stock exchange. There is 32 categories of restaurants in the Toronto Stock exchange area compared to 15 around the Johannesburg stock exchange. Though Johannesburg offers fewer restaurants there is more variety in this category for visitors to the area than in any other category explored in this study.</w:t>
      </w:r>
    </w:p>
    <w:p w14:paraId="53C69C37" w14:textId="77777777" w:rsidR="00B619CE" w:rsidRPr="00B33669" w:rsidRDefault="00B619CE" w:rsidP="00B33669">
      <w:pPr>
        <w:pStyle w:val="NormalWeb"/>
        <w:spacing w:before="240" w:beforeAutospacing="0" w:after="0" w:afterAutospacing="0" w:line="360" w:lineRule="auto"/>
        <w:jc w:val="both"/>
        <w:rPr>
          <w:rFonts w:ascii="Arial" w:hAnsi="Arial" w:cs="Arial"/>
          <w:color w:val="000000"/>
          <w:sz w:val="21"/>
          <w:szCs w:val="21"/>
        </w:rPr>
      </w:pPr>
    </w:p>
    <w:p w14:paraId="526B48B3" w14:textId="77777777" w:rsidR="00B619CE" w:rsidRPr="00B33669" w:rsidRDefault="00B619CE" w:rsidP="00B33669">
      <w:pPr>
        <w:pStyle w:val="Heading1"/>
        <w:spacing w:before="0" w:beforeAutospacing="0" w:after="0" w:afterAutospacing="0" w:line="360" w:lineRule="auto"/>
        <w:rPr>
          <w:rFonts w:ascii="Arial" w:hAnsi="Arial" w:cs="Arial"/>
          <w:color w:val="000000"/>
          <w:sz w:val="39"/>
          <w:szCs w:val="39"/>
        </w:rPr>
      </w:pPr>
      <w:r w:rsidRPr="00B33669">
        <w:rPr>
          <w:rFonts w:ascii="Arial" w:hAnsi="Arial" w:cs="Arial"/>
          <w:color w:val="000000"/>
          <w:sz w:val="39"/>
          <w:szCs w:val="39"/>
        </w:rPr>
        <w:t>5. Recommendation</w:t>
      </w:r>
    </w:p>
    <w:p w14:paraId="78D0EBCB" w14:textId="77777777"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The data does indicate low levels of maturity especially for the Johannesburg data where there were no Office building categories which is a little hard to fathom considering that Johannesburg is the Financial hub of the country of South Africa. As such, I do recommend adding that the provider finds a way to get more data points.</w:t>
      </w:r>
    </w:p>
    <w:p w14:paraId="01F2B2C0" w14:textId="77777777" w:rsidR="00B619CE" w:rsidRPr="00B33669" w:rsidRDefault="00B619CE" w:rsidP="00B33669">
      <w:pPr>
        <w:pStyle w:val="NormalWeb"/>
        <w:spacing w:before="24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The City of Toronto has more categories of buildings and entertainment areas indicating that there is more points of interest for both visitors and investors. This number of interests do indicate that people are likely to spend in the neighbourhood. Recommendation would be for Johannesburg to invest in more diverse buildings so as to create more interest in the city for people to spend more on the local economy.</w:t>
      </w:r>
    </w:p>
    <w:p w14:paraId="6E7C871F" w14:textId="56C027B8" w:rsidR="00B619CE" w:rsidRPr="00B33669" w:rsidRDefault="00B619CE" w:rsidP="00B33669">
      <w:pPr>
        <w:spacing w:line="360" w:lineRule="auto"/>
        <w:rPr>
          <w:rFonts w:ascii="Arial" w:hAnsi="Arial" w:cs="Arial"/>
        </w:rPr>
      </w:pPr>
    </w:p>
    <w:p w14:paraId="24C0B1FD" w14:textId="0F78EFDC" w:rsidR="00B619CE" w:rsidRPr="00B33669" w:rsidRDefault="00B619CE" w:rsidP="00B33669">
      <w:pPr>
        <w:spacing w:line="360" w:lineRule="auto"/>
        <w:rPr>
          <w:rFonts w:ascii="Arial" w:hAnsi="Arial" w:cs="Arial"/>
        </w:rPr>
      </w:pPr>
    </w:p>
    <w:p w14:paraId="7C02973C" w14:textId="77777777" w:rsidR="00B619CE" w:rsidRPr="00B33669" w:rsidRDefault="00B619CE" w:rsidP="00B33669">
      <w:pPr>
        <w:pStyle w:val="Heading1"/>
        <w:spacing w:before="0" w:beforeAutospacing="0" w:after="0" w:afterAutospacing="0" w:line="360" w:lineRule="auto"/>
        <w:rPr>
          <w:rFonts w:ascii="Arial" w:hAnsi="Arial" w:cs="Arial"/>
          <w:color w:val="000000"/>
          <w:sz w:val="39"/>
          <w:szCs w:val="39"/>
        </w:rPr>
      </w:pPr>
      <w:r w:rsidRPr="00B33669">
        <w:rPr>
          <w:rFonts w:ascii="Arial" w:hAnsi="Arial" w:cs="Arial"/>
          <w:color w:val="000000"/>
          <w:sz w:val="39"/>
          <w:szCs w:val="39"/>
        </w:rPr>
        <w:lastRenderedPageBreak/>
        <w:t>6. Conclusion</w:t>
      </w:r>
      <w:hyperlink r:id="rId10" w:anchor="6.-Conclusion" w:history="1">
        <w:r w:rsidRPr="00B33669">
          <w:rPr>
            <w:rStyle w:val="Hyperlink"/>
            <w:rFonts w:ascii="Arial" w:hAnsi="Arial" w:cs="Arial"/>
            <w:color w:val="0088CC"/>
            <w:sz w:val="39"/>
            <w:szCs w:val="39"/>
          </w:rPr>
          <w:t>¶</w:t>
        </w:r>
      </w:hyperlink>
    </w:p>
    <w:p w14:paraId="0A70C825" w14:textId="77777777" w:rsidR="00B619CE" w:rsidRPr="00B33669" w:rsidRDefault="00B619CE" w:rsidP="00B33669">
      <w:pPr>
        <w:pStyle w:val="NormalWeb"/>
        <w:spacing w:before="0" w:beforeAutospacing="0" w:after="0" w:afterAutospacing="0" w:line="360" w:lineRule="auto"/>
        <w:jc w:val="both"/>
        <w:rPr>
          <w:rFonts w:ascii="Arial" w:hAnsi="Arial" w:cs="Arial"/>
          <w:color w:val="000000"/>
          <w:sz w:val="21"/>
          <w:szCs w:val="21"/>
        </w:rPr>
      </w:pPr>
      <w:r w:rsidRPr="00B33669">
        <w:rPr>
          <w:rFonts w:ascii="Arial" w:hAnsi="Arial" w:cs="Arial"/>
          <w:color w:val="000000"/>
          <w:sz w:val="21"/>
          <w:szCs w:val="21"/>
        </w:rPr>
        <w:t>Toronto does offer variety of areas of interests, entertainment, and restaurants compared to Johannesburg. People visiting the Toronto exchange neighbourhood are likely to spend more time in the area as well as their money compared to Johannesburg. Opportunities of enriched experience are therefore more in the Toronto area compared to Johannesburg.</w:t>
      </w:r>
    </w:p>
    <w:p w14:paraId="2D968033" w14:textId="77777777" w:rsidR="00B619CE" w:rsidRPr="00B33669" w:rsidRDefault="00B619CE" w:rsidP="00B33669">
      <w:pPr>
        <w:spacing w:line="360" w:lineRule="auto"/>
        <w:rPr>
          <w:rFonts w:ascii="Arial" w:hAnsi="Arial" w:cs="Arial"/>
        </w:rPr>
      </w:pPr>
    </w:p>
    <w:p w14:paraId="49C50412" w14:textId="77777777" w:rsidR="00B619CE" w:rsidRPr="00B33669" w:rsidRDefault="00B619CE" w:rsidP="00B33669">
      <w:pPr>
        <w:spacing w:line="360" w:lineRule="auto"/>
        <w:rPr>
          <w:rFonts w:ascii="Arial" w:hAnsi="Arial" w:cs="Arial"/>
        </w:rPr>
      </w:pPr>
    </w:p>
    <w:sectPr w:rsidR="00B619CE" w:rsidRPr="00B3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D1AD9"/>
    <w:multiLevelType w:val="hybridMultilevel"/>
    <w:tmpl w:val="60F4FBF8"/>
    <w:lvl w:ilvl="0" w:tplc="1B38A91E">
      <w:start w:val="1"/>
      <w:numFmt w:val="bullet"/>
      <w:lvlText w:val="´"/>
      <w:lvlJc w:val="left"/>
      <w:pPr>
        <w:tabs>
          <w:tab w:val="num" w:pos="720"/>
        </w:tabs>
        <w:ind w:left="720" w:hanging="360"/>
      </w:pPr>
      <w:rPr>
        <w:rFonts w:ascii="Wingdings 3" w:hAnsi="Wingdings 3" w:hint="default"/>
      </w:rPr>
    </w:lvl>
    <w:lvl w:ilvl="1" w:tplc="69E4CF18" w:tentative="1">
      <w:start w:val="1"/>
      <w:numFmt w:val="bullet"/>
      <w:lvlText w:val="´"/>
      <w:lvlJc w:val="left"/>
      <w:pPr>
        <w:tabs>
          <w:tab w:val="num" w:pos="1440"/>
        </w:tabs>
        <w:ind w:left="1440" w:hanging="360"/>
      </w:pPr>
      <w:rPr>
        <w:rFonts w:ascii="Wingdings 3" w:hAnsi="Wingdings 3" w:hint="default"/>
      </w:rPr>
    </w:lvl>
    <w:lvl w:ilvl="2" w:tplc="79CAA78E" w:tentative="1">
      <w:start w:val="1"/>
      <w:numFmt w:val="bullet"/>
      <w:lvlText w:val="´"/>
      <w:lvlJc w:val="left"/>
      <w:pPr>
        <w:tabs>
          <w:tab w:val="num" w:pos="2160"/>
        </w:tabs>
        <w:ind w:left="2160" w:hanging="360"/>
      </w:pPr>
      <w:rPr>
        <w:rFonts w:ascii="Wingdings 3" w:hAnsi="Wingdings 3" w:hint="default"/>
      </w:rPr>
    </w:lvl>
    <w:lvl w:ilvl="3" w:tplc="91643CC0" w:tentative="1">
      <w:start w:val="1"/>
      <w:numFmt w:val="bullet"/>
      <w:lvlText w:val="´"/>
      <w:lvlJc w:val="left"/>
      <w:pPr>
        <w:tabs>
          <w:tab w:val="num" w:pos="2880"/>
        </w:tabs>
        <w:ind w:left="2880" w:hanging="360"/>
      </w:pPr>
      <w:rPr>
        <w:rFonts w:ascii="Wingdings 3" w:hAnsi="Wingdings 3" w:hint="default"/>
      </w:rPr>
    </w:lvl>
    <w:lvl w:ilvl="4" w:tplc="0902E536" w:tentative="1">
      <w:start w:val="1"/>
      <w:numFmt w:val="bullet"/>
      <w:lvlText w:val="´"/>
      <w:lvlJc w:val="left"/>
      <w:pPr>
        <w:tabs>
          <w:tab w:val="num" w:pos="3600"/>
        </w:tabs>
        <w:ind w:left="3600" w:hanging="360"/>
      </w:pPr>
      <w:rPr>
        <w:rFonts w:ascii="Wingdings 3" w:hAnsi="Wingdings 3" w:hint="default"/>
      </w:rPr>
    </w:lvl>
    <w:lvl w:ilvl="5" w:tplc="CD6AFB04" w:tentative="1">
      <w:start w:val="1"/>
      <w:numFmt w:val="bullet"/>
      <w:lvlText w:val="´"/>
      <w:lvlJc w:val="left"/>
      <w:pPr>
        <w:tabs>
          <w:tab w:val="num" w:pos="4320"/>
        </w:tabs>
        <w:ind w:left="4320" w:hanging="360"/>
      </w:pPr>
      <w:rPr>
        <w:rFonts w:ascii="Wingdings 3" w:hAnsi="Wingdings 3" w:hint="default"/>
      </w:rPr>
    </w:lvl>
    <w:lvl w:ilvl="6" w:tplc="9192F80E" w:tentative="1">
      <w:start w:val="1"/>
      <w:numFmt w:val="bullet"/>
      <w:lvlText w:val="´"/>
      <w:lvlJc w:val="left"/>
      <w:pPr>
        <w:tabs>
          <w:tab w:val="num" w:pos="5040"/>
        </w:tabs>
        <w:ind w:left="5040" w:hanging="360"/>
      </w:pPr>
      <w:rPr>
        <w:rFonts w:ascii="Wingdings 3" w:hAnsi="Wingdings 3" w:hint="default"/>
      </w:rPr>
    </w:lvl>
    <w:lvl w:ilvl="7" w:tplc="F08E102C" w:tentative="1">
      <w:start w:val="1"/>
      <w:numFmt w:val="bullet"/>
      <w:lvlText w:val="´"/>
      <w:lvlJc w:val="left"/>
      <w:pPr>
        <w:tabs>
          <w:tab w:val="num" w:pos="5760"/>
        </w:tabs>
        <w:ind w:left="5760" w:hanging="360"/>
      </w:pPr>
      <w:rPr>
        <w:rFonts w:ascii="Wingdings 3" w:hAnsi="Wingdings 3" w:hint="default"/>
      </w:rPr>
    </w:lvl>
    <w:lvl w:ilvl="8" w:tplc="DF14BEE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B176B86"/>
    <w:multiLevelType w:val="hybridMultilevel"/>
    <w:tmpl w:val="74EE50A0"/>
    <w:lvl w:ilvl="0" w:tplc="5F908FF6">
      <w:start w:val="1"/>
      <w:numFmt w:val="bullet"/>
      <w:lvlText w:val="´"/>
      <w:lvlJc w:val="left"/>
      <w:pPr>
        <w:tabs>
          <w:tab w:val="num" w:pos="720"/>
        </w:tabs>
        <w:ind w:left="720" w:hanging="360"/>
      </w:pPr>
      <w:rPr>
        <w:rFonts w:ascii="Wingdings 3" w:hAnsi="Wingdings 3" w:hint="default"/>
      </w:rPr>
    </w:lvl>
    <w:lvl w:ilvl="1" w:tplc="54FE0926" w:tentative="1">
      <w:start w:val="1"/>
      <w:numFmt w:val="bullet"/>
      <w:lvlText w:val="´"/>
      <w:lvlJc w:val="left"/>
      <w:pPr>
        <w:tabs>
          <w:tab w:val="num" w:pos="1440"/>
        </w:tabs>
        <w:ind w:left="1440" w:hanging="360"/>
      </w:pPr>
      <w:rPr>
        <w:rFonts w:ascii="Wingdings 3" w:hAnsi="Wingdings 3" w:hint="default"/>
      </w:rPr>
    </w:lvl>
    <w:lvl w:ilvl="2" w:tplc="6DDE3C58" w:tentative="1">
      <w:start w:val="1"/>
      <w:numFmt w:val="bullet"/>
      <w:lvlText w:val="´"/>
      <w:lvlJc w:val="left"/>
      <w:pPr>
        <w:tabs>
          <w:tab w:val="num" w:pos="2160"/>
        </w:tabs>
        <w:ind w:left="2160" w:hanging="360"/>
      </w:pPr>
      <w:rPr>
        <w:rFonts w:ascii="Wingdings 3" w:hAnsi="Wingdings 3" w:hint="default"/>
      </w:rPr>
    </w:lvl>
    <w:lvl w:ilvl="3" w:tplc="5290E994" w:tentative="1">
      <w:start w:val="1"/>
      <w:numFmt w:val="bullet"/>
      <w:lvlText w:val="´"/>
      <w:lvlJc w:val="left"/>
      <w:pPr>
        <w:tabs>
          <w:tab w:val="num" w:pos="2880"/>
        </w:tabs>
        <w:ind w:left="2880" w:hanging="360"/>
      </w:pPr>
      <w:rPr>
        <w:rFonts w:ascii="Wingdings 3" w:hAnsi="Wingdings 3" w:hint="default"/>
      </w:rPr>
    </w:lvl>
    <w:lvl w:ilvl="4" w:tplc="74D6D41A" w:tentative="1">
      <w:start w:val="1"/>
      <w:numFmt w:val="bullet"/>
      <w:lvlText w:val="´"/>
      <w:lvlJc w:val="left"/>
      <w:pPr>
        <w:tabs>
          <w:tab w:val="num" w:pos="3600"/>
        </w:tabs>
        <w:ind w:left="3600" w:hanging="360"/>
      </w:pPr>
      <w:rPr>
        <w:rFonts w:ascii="Wingdings 3" w:hAnsi="Wingdings 3" w:hint="default"/>
      </w:rPr>
    </w:lvl>
    <w:lvl w:ilvl="5" w:tplc="639CC17E" w:tentative="1">
      <w:start w:val="1"/>
      <w:numFmt w:val="bullet"/>
      <w:lvlText w:val="´"/>
      <w:lvlJc w:val="left"/>
      <w:pPr>
        <w:tabs>
          <w:tab w:val="num" w:pos="4320"/>
        </w:tabs>
        <w:ind w:left="4320" w:hanging="360"/>
      </w:pPr>
      <w:rPr>
        <w:rFonts w:ascii="Wingdings 3" w:hAnsi="Wingdings 3" w:hint="default"/>
      </w:rPr>
    </w:lvl>
    <w:lvl w:ilvl="6" w:tplc="912CD6F4" w:tentative="1">
      <w:start w:val="1"/>
      <w:numFmt w:val="bullet"/>
      <w:lvlText w:val="´"/>
      <w:lvlJc w:val="left"/>
      <w:pPr>
        <w:tabs>
          <w:tab w:val="num" w:pos="5040"/>
        </w:tabs>
        <w:ind w:left="5040" w:hanging="360"/>
      </w:pPr>
      <w:rPr>
        <w:rFonts w:ascii="Wingdings 3" w:hAnsi="Wingdings 3" w:hint="default"/>
      </w:rPr>
    </w:lvl>
    <w:lvl w:ilvl="7" w:tplc="D26ACCFA" w:tentative="1">
      <w:start w:val="1"/>
      <w:numFmt w:val="bullet"/>
      <w:lvlText w:val="´"/>
      <w:lvlJc w:val="left"/>
      <w:pPr>
        <w:tabs>
          <w:tab w:val="num" w:pos="5760"/>
        </w:tabs>
        <w:ind w:left="5760" w:hanging="360"/>
      </w:pPr>
      <w:rPr>
        <w:rFonts w:ascii="Wingdings 3" w:hAnsi="Wingdings 3" w:hint="default"/>
      </w:rPr>
    </w:lvl>
    <w:lvl w:ilvl="8" w:tplc="3C027CA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F8A79BA"/>
    <w:multiLevelType w:val="hybridMultilevel"/>
    <w:tmpl w:val="589E3BA0"/>
    <w:lvl w:ilvl="0" w:tplc="D9B21014">
      <w:start w:val="1"/>
      <w:numFmt w:val="bullet"/>
      <w:lvlText w:val="´"/>
      <w:lvlJc w:val="left"/>
      <w:pPr>
        <w:tabs>
          <w:tab w:val="num" w:pos="720"/>
        </w:tabs>
        <w:ind w:left="720" w:hanging="360"/>
      </w:pPr>
      <w:rPr>
        <w:rFonts w:ascii="Wingdings 3" w:hAnsi="Wingdings 3" w:hint="default"/>
      </w:rPr>
    </w:lvl>
    <w:lvl w:ilvl="1" w:tplc="243A22E6" w:tentative="1">
      <w:start w:val="1"/>
      <w:numFmt w:val="bullet"/>
      <w:lvlText w:val="´"/>
      <w:lvlJc w:val="left"/>
      <w:pPr>
        <w:tabs>
          <w:tab w:val="num" w:pos="1440"/>
        </w:tabs>
        <w:ind w:left="1440" w:hanging="360"/>
      </w:pPr>
      <w:rPr>
        <w:rFonts w:ascii="Wingdings 3" w:hAnsi="Wingdings 3" w:hint="default"/>
      </w:rPr>
    </w:lvl>
    <w:lvl w:ilvl="2" w:tplc="441431AA" w:tentative="1">
      <w:start w:val="1"/>
      <w:numFmt w:val="bullet"/>
      <w:lvlText w:val="´"/>
      <w:lvlJc w:val="left"/>
      <w:pPr>
        <w:tabs>
          <w:tab w:val="num" w:pos="2160"/>
        </w:tabs>
        <w:ind w:left="2160" w:hanging="360"/>
      </w:pPr>
      <w:rPr>
        <w:rFonts w:ascii="Wingdings 3" w:hAnsi="Wingdings 3" w:hint="default"/>
      </w:rPr>
    </w:lvl>
    <w:lvl w:ilvl="3" w:tplc="ADDA1C1C" w:tentative="1">
      <w:start w:val="1"/>
      <w:numFmt w:val="bullet"/>
      <w:lvlText w:val="´"/>
      <w:lvlJc w:val="left"/>
      <w:pPr>
        <w:tabs>
          <w:tab w:val="num" w:pos="2880"/>
        </w:tabs>
        <w:ind w:left="2880" w:hanging="360"/>
      </w:pPr>
      <w:rPr>
        <w:rFonts w:ascii="Wingdings 3" w:hAnsi="Wingdings 3" w:hint="default"/>
      </w:rPr>
    </w:lvl>
    <w:lvl w:ilvl="4" w:tplc="DCD45214" w:tentative="1">
      <w:start w:val="1"/>
      <w:numFmt w:val="bullet"/>
      <w:lvlText w:val="´"/>
      <w:lvlJc w:val="left"/>
      <w:pPr>
        <w:tabs>
          <w:tab w:val="num" w:pos="3600"/>
        </w:tabs>
        <w:ind w:left="3600" w:hanging="360"/>
      </w:pPr>
      <w:rPr>
        <w:rFonts w:ascii="Wingdings 3" w:hAnsi="Wingdings 3" w:hint="default"/>
      </w:rPr>
    </w:lvl>
    <w:lvl w:ilvl="5" w:tplc="43801048" w:tentative="1">
      <w:start w:val="1"/>
      <w:numFmt w:val="bullet"/>
      <w:lvlText w:val="´"/>
      <w:lvlJc w:val="left"/>
      <w:pPr>
        <w:tabs>
          <w:tab w:val="num" w:pos="4320"/>
        </w:tabs>
        <w:ind w:left="4320" w:hanging="360"/>
      </w:pPr>
      <w:rPr>
        <w:rFonts w:ascii="Wingdings 3" w:hAnsi="Wingdings 3" w:hint="default"/>
      </w:rPr>
    </w:lvl>
    <w:lvl w:ilvl="6" w:tplc="0DD863C0" w:tentative="1">
      <w:start w:val="1"/>
      <w:numFmt w:val="bullet"/>
      <w:lvlText w:val="´"/>
      <w:lvlJc w:val="left"/>
      <w:pPr>
        <w:tabs>
          <w:tab w:val="num" w:pos="5040"/>
        </w:tabs>
        <w:ind w:left="5040" w:hanging="360"/>
      </w:pPr>
      <w:rPr>
        <w:rFonts w:ascii="Wingdings 3" w:hAnsi="Wingdings 3" w:hint="default"/>
      </w:rPr>
    </w:lvl>
    <w:lvl w:ilvl="7" w:tplc="59DCD518" w:tentative="1">
      <w:start w:val="1"/>
      <w:numFmt w:val="bullet"/>
      <w:lvlText w:val="´"/>
      <w:lvlJc w:val="left"/>
      <w:pPr>
        <w:tabs>
          <w:tab w:val="num" w:pos="5760"/>
        </w:tabs>
        <w:ind w:left="5760" w:hanging="360"/>
      </w:pPr>
      <w:rPr>
        <w:rFonts w:ascii="Wingdings 3" w:hAnsi="Wingdings 3" w:hint="default"/>
      </w:rPr>
    </w:lvl>
    <w:lvl w:ilvl="8" w:tplc="A44C7D4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0E26B1C"/>
    <w:multiLevelType w:val="hybridMultilevel"/>
    <w:tmpl w:val="9CC4B5E8"/>
    <w:lvl w:ilvl="0" w:tplc="14740C80">
      <w:start w:val="1"/>
      <w:numFmt w:val="bullet"/>
      <w:lvlText w:val="´"/>
      <w:lvlJc w:val="left"/>
      <w:pPr>
        <w:tabs>
          <w:tab w:val="num" w:pos="720"/>
        </w:tabs>
        <w:ind w:left="720" w:hanging="360"/>
      </w:pPr>
      <w:rPr>
        <w:rFonts w:ascii="Wingdings 3" w:hAnsi="Wingdings 3" w:hint="default"/>
      </w:rPr>
    </w:lvl>
    <w:lvl w:ilvl="1" w:tplc="ED101F84" w:tentative="1">
      <w:start w:val="1"/>
      <w:numFmt w:val="bullet"/>
      <w:lvlText w:val="´"/>
      <w:lvlJc w:val="left"/>
      <w:pPr>
        <w:tabs>
          <w:tab w:val="num" w:pos="1440"/>
        </w:tabs>
        <w:ind w:left="1440" w:hanging="360"/>
      </w:pPr>
      <w:rPr>
        <w:rFonts w:ascii="Wingdings 3" w:hAnsi="Wingdings 3" w:hint="default"/>
      </w:rPr>
    </w:lvl>
    <w:lvl w:ilvl="2" w:tplc="639CBE14" w:tentative="1">
      <w:start w:val="1"/>
      <w:numFmt w:val="bullet"/>
      <w:lvlText w:val="´"/>
      <w:lvlJc w:val="left"/>
      <w:pPr>
        <w:tabs>
          <w:tab w:val="num" w:pos="2160"/>
        </w:tabs>
        <w:ind w:left="2160" w:hanging="360"/>
      </w:pPr>
      <w:rPr>
        <w:rFonts w:ascii="Wingdings 3" w:hAnsi="Wingdings 3" w:hint="default"/>
      </w:rPr>
    </w:lvl>
    <w:lvl w:ilvl="3" w:tplc="84288A2A" w:tentative="1">
      <w:start w:val="1"/>
      <w:numFmt w:val="bullet"/>
      <w:lvlText w:val="´"/>
      <w:lvlJc w:val="left"/>
      <w:pPr>
        <w:tabs>
          <w:tab w:val="num" w:pos="2880"/>
        </w:tabs>
        <w:ind w:left="2880" w:hanging="360"/>
      </w:pPr>
      <w:rPr>
        <w:rFonts w:ascii="Wingdings 3" w:hAnsi="Wingdings 3" w:hint="default"/>
      </w:rPr>
    </w:lvl>
    <w:lvl w:ilvl="4" w:tplc="CF1E425E" w:tentative="1">
      <w:start w:val="1"/>
      <w:numFmt w:val="bullet"/>
      <w:lvlText w:val="´"/>
      <w:lvlJc w:val="left"/>
      <w:pPr>
        <w:tabs>
          <w:tab w:val="num" w:pos="3600"/>
        </w:tabs>
        <w:ind w:left="3600" w:hanging="360"/>
      </w:pPr>
      <w:rPr>
        <w:rFonts w:ascii="Wingdings 3" w:hAnsi="Wingdings 3" w:hint="default"/>
      </w:rPr>
    </w:lvl>
    <w:lvl w:ilvl="5" w:tplc="5BBE179E" w:tentative="1">
      <w:start w:val="1"/>
      <w:numFmt w:val="bullet"/>
      <w:lvlText w:val="´"/>
      <w:lvlJc w:val="left"/>
      <w:pPr>
        <w:tabs>
          <w:tab w:val="num" w:pos="4320"/>
        </w:tabs>
        <w:ind w:left="4320" w:hanging="360"/>
      </w:pPr>
      <w:rPr>
        <w:rFonts w:ascii="Wingdings 3" w:hAnsi="Wingdings 3" w:hint="default"/>
      </w:rPr>
    </w:lvl>
    <w:lvl w:ilvl="6" w:tplc="48FAF96A" w:tentative="1">
      <w:start w:val="1"/>
      <w:numFmt w:val="bullet"/>
      <w:lvlText w:val="´"/>
      <w:lvlJc w:val="left"/>
      <w:pPr>
        <w:tabs>
          <w:tab w:val="num" w:pos="5040"/>
        </w:tabs>
        <w:ind w:left="5040" w:hanging="360"/>
      </w:pPr>
      <w:rPr>
        <w:rFonts w:ascii="Wingdings 3" w:hAnsi="Wingdings 3" w:hint="default"/>
      </w:rPr>
    </w:lvl>
    <w:lvl w:ilvl="7" w:tplc="127ED1C6" w:tentative="1">
      <w:start w:val="1"/>
      <w:numFmt w:val="bullet"/>
      <w:lvlText w:val="´"/>
      <w:lvlJc w:val="left"/>
      <w:pPr>
        <w:tabs>
          <w:tab w:val="num" w:pos="5760"/>
        </w:tabs>
        <w:ind w:left="5760" w:hanging="360"/>
      </w:pPr>
      <w:rPr>
        <w:rFonts w:ascii="Wingdings 3" w:hAnsi="Wingdings 3" w:hint="default"/>
      </w:rPr>
    </w:lvl>
    <w:lvl w:ilvl="8" w:tplc="3528C17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62F3E5F"/>
    <w:multiLevelType w:val="hybridMultilevel"/>
    <w:tmpl w:val="F8325C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CE"/>
    <w:rsid w:val="00017E86"/>
    <w:rsid w:val="00465AA3"/>
    <w:rsid w:val="00B33669"/>
    <w:rsid w:val="00B619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96A1"/>
  <w15:chartTrackingRefBased/>
  <w15:docId w15:val="{5BC855D5-E84F-B14C-86B7-D6746F30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9C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619C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19C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C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619C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19C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19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619CE"/>
    <w:rPr>
      <w:color w:val="0000FF"/>
      <w:u w:val="single"/>
    </w:rPr>
  </w:style>
  <w:style w:type="paragraph" w:styleId="ListParagraph">
    <w:name w:val="List Paragraph"/>
    <w:basedOn w:val="Normal"/>
    <w:uiPriority w:val="34"/>
    <w:qFormat/>
    <w:rsid w:val="00B33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8685">
      <w:bodyDiv w:val="1"/>
      <w:marLeft w:val="0"/>
      <w:marRight w:val="0"/>
      <w:marTop w:val="0"/>
      <w:marBottom w:val="0"/>
      <w:divBdr>
        <w:top w:val="none" w:sz="0" w:space="0" w:color="auto"/>
        <w:left w:val="none" w:sz="0" w:space="0" w:color="auto"/>
        <w:bottom w:val="none" w:sz="0" w:space="0" w:color="auto"/>
        <w:right w:val="none" w:sz="0" w:space="0" w:color="auto"/>
      </w:divBdr>
      <w:divsChild>
        <w:div w:id="458652280">
          <w:marLeft w:val="0"/>
          <w:marRight w:val="0"/>
          <w:marTop w:val="0"/>
          <w:marBottom w:val="0"/>
          <w:divBdr>
            <w:top w:val="none" w:sz="0" w:space="0" w:color="auto"/>
            <w:left w:val="none" w:sz="0" w:space="0" w:color="auto"/>
            <w:bottom w:val="none" w:sz="0" w:space="0" w:color="auto"/>
            <w:right w:val="none" w:sz="0" w:space="0" w:color="auto"/>
          </w:divBdr>
          <w:divsChild>
            <w:div w:id="1240479348">
              <w:marLeft w:val="0"/>
              <w:marRight w:val="0"/>
              <w:marTop w:val="0"/>
              <w:marBottom w:val="0"/>
              <w:divBdr>
                <w:top w:val="none" w:sz="0" w:space="0" w:color="auto"/>
                <w:left w:val="none" w:sz="0" w:space="0" w:color="auto"/>
                <w:bottom w:val="none" w:sz="0" w:space="0" w:color="auto"/>
                <w:right w:val="none" w:sz="0" w:space="0" w:color="auto"/>
              </w:divBdr>
              <w:divsChild>
                <w:div w:id="2064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4841">
          <w:marLeft w:val="0"/>
          <w:marRight w:val="0"/>
          <w:marTop w:val="0"/>
          <w:marBottom w:val="0"/>
          <w:divBdr>
            <w:top w:val="none" w:sz="0" w:space="0" w:color="auto"/>
            <w:left w:val="none" w:sz="0" w:space="0" w:color="auto"/>
            <w:bottom w:val="none" w:sz="0" w:space="0" w:color="auto"/>
            <w:right w:val="none" w:sz="0" w:space="0" w:color="auto"/>
          </w:divBdr>
          <w:divsChild>
            <w:div w:id="997080214">
              <w:marLeft w:val="0"/>
              <w:marRight w:val="0"/>
              <w:marTop w:val="0"/>
              <w:marBottom w:val="0"/>
              <w:divBdr>
                <w:top w:val="none" w:sz="0" w:space="0" w:color="auto"/>
                <w:left w:val="none" w:sz="0" w:space="0" w:color="auto"/>
                <w:bottom w:val="none" w:sz="0" w:space="0" w:color="auto"/>
                <w:right w:val="none" w:sz="0" w:space="0" w:color="auto"/>
              </w:divBdr>
              <w:divsChild>
                <w:div w:id="1976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3760">
          <w:marLeft w:val="0"/>
          <w:marRight w:val="0"/>
          <w:marTop w:val="0"/>
          <w:marBottom w:val="0"/>
          <w:divBdr>
            <w:top w:val="none" w:sz="0" w:space="0" w:color="auto"/>
            <w:left w:val="none" w:sz="0" w:space="0" w:color="auto"/>
            <w:bottom w:val="none" w:sz="0" w:space="0" w:color="auto"/>
            <w:right w:val="none" w:sz="0" w:space="0" w:color="auto"/>
          </w:divBdr>
          <w:divsChild>
            <w:div w:id="1948268318">
              <w:marLeft w:val="0"/>
              <w:marRight w:val="0"/>
              <w:marTop w:val="0"/>
              <w:marBottom w:val="0"/>
              <w:divBdr>
                <w:top w:val="none" w:sz="0" w:space="0" w:color="auto"/>
                <w:left w:val="none" w:sz="0" w:space="0" w:color="auto"/>
                <w:bottom w:val="none" w:sz="0" w:space="0" w:color="auto"/>
                <w:right w:val="none" w:sz="0" w:space="0" w:color="auto"/>
              </w:divBdr>
              <w:divsChild>
                <w:div w:id="18987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7805">
          <w:marLeft w:val="0"/>
          <w:marRight w:val="0"/>
          <w:marTop w:val="0"/>
          <w:marBottom w:val="0"/>
          <w:divBdr>
            <w:top w:val="none" w:sz="0" w:space="0" w:color="auto"/>
            <w:left w:val="none" w:sz="0" w:space="0" w:color="auto"/>
            <w:bottom w:val="none" w:sz="0" w:space="0" w:color="auto"/>
            <w:right w:val="none" w:sz="0" w:space="0" w:color="auto"/>
          </w:divBdr>
          <w:divsChild>
            <w:div w:id="1392777576">
              <w:marLeft w:val="0"/>
              <w:marRight w:val="0"/>
              <w:marTop w:val="0"/>
              <w:marBottom w:val="0"/>
              <w:divBdr>
                <w:top w:val="none" w:sz="0" w:space="0" w:color="auto"/>
                <w:left w:val="none" w:sz="0" w:space="0" w:color="auto"/>
                <w:bottom w:val="none" w:sz="0" w:space="0" w:color="auto"/>
                <w:right w:val="none" w:sz="0" w:space="0" w:color="auto"/>
              </w:divBdr>
              <w:divsChild>
                <w:div w:id="958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5801">
          <w:marLeft w:val="0"/>
          <w:marRight w:val="0"/>
          <w:marTop w:val="0"/>
          <w:marBottom w:val="0"/>
          <w:divBdr>
            <w:top w:val="none" w:sz="0" w:space="0" w:color="auto"/>
            <w:left w:val="none" w:sz="0" w:space="0" w:color="auto"/>
            <w:bottom w:val="none" w:sz="0" w:space="0" w:color="auto"/>
            <w:right w:val="none" w:sz="0" w:space="0" w:color="auto"/>
          </w:divBdr>
          <w:divsChild>
            <w:div w:id="901866661">
              <w:marLeft w:val="0"/>
              <w:marRight w:val="0"/>
              <w:marTop w:val="0"/>
              <w:marBottom w:val="0"/>
              <w:divBdr>
                <w:top w:val="none" w:sz="0" w:space="0" w:color="auto"/>
                <w:left w:val="none" w:sz="0" w:space="0" w:color="auto"/>
                <w:bottom w:val="none" w:sz="0" w:space="0" w:color="auto"/>
                <w:right w:val="none" w:sz="0" w:space="0" w:color="auto"/>
              </w:divBdr>
              <w:divsChild>
                <w:div w:id="1031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842">
          <w:marLeft w:val="0"/>
          <w:marRight w:val="0"/>
          <w:marTop w:val="0"/>
          <w:marBottom w:val="0"/>
          <w:divBdr>
            <w:top w:val="none" w:sz="0" w:space="0" w:color="auto"/>
            <w:left w:val="none" w:sz="0" w:space="0" w:color="auto"/>
            <w:bottom w:val="none" w:sz="0" w:space="0" w:color="auto"/>
            <w:right w:val="none" w:sz="0" w:space="0" w:color="auto"/>
          </w:divBdr>
          <w:divsChild>
            <w:div w:id="1893690976">
              <w:marLeft w:val="0"/>
              <w:marRight w:val="0"/>
              <w:marTop w:val="0"/>
              <w:marBottom w:val="0"/>
              <w:divBdr>
                <w:top w:val="none" w:sz="0" w:space="0" w:color="auto"/>
                <w:left w:val="none" w:sz="0" w:space="0" w:color="auto"/>
                <w:bottom w:val="none" w:sz="0" w:space="0" w:color="auto"/>
                <w:right w:val="none" w:sz="0" w:space="0" w:color="auto"/>
              </w:divBdr>
              <w:divsChild>
                <w:div w:id="16986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004">
          <w:marLeft w:val="0"/>
          <w:marRight w:val="0"/>
          <w:marTop w:val="0"/>
          <w:marBottom w:val="0"/>
          <w:divBdr>
            <w:top w:val="none" w:sz="0" w:space="0" w:color="auto"/>
            <w:left w:val="none" w:sz="0" w:space="0" w:color="auto"/>
            <w:bottom w:val="none" w:sz="0" w:space="0" w:color="auto"/>
            <w:right w:val="none" w:sz="0" w:space="0" w:color="auto"/>
          </w:divBdr>
          <w:divsChild>
            <w:div w:id="1588490882">
              <w:marLeft w:val="0"/>
              <w:marRight w:val="0"/>
              <w:marTop w:val="0"/>
              <w:marBottom w:val="0"/>
              <w:divBdr>
                <w:top w:val="none" w:sz="0" w:space="0" w:color="auto"/>
                <w:left w:val="none" w:sz="0" w:space="0" w:color="auto"/>
                <w:bottom w:val="none" w:sz="0" w:space="0" w:color="auto"/>
                <w:right w:val="none" w:sz="0" w:space="0" w:color="auto"/>
              </w:divBdr>
              <w:divsChild>
                <w:div w:id="314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6362">
          <w:marLeft w:val="0"/>
          <w:marRight w:val="0"/>
          <w:marTop w:val="0"/>
          <w:marBottom w:val="0"/>
          <w:divBdr>
            <w:top w:val="none" w:sz="0" w:space="0" w:color="auto"/>
            <w:left w:val="none" w:sz="0" w:space="0" w:color="auto"/>
            <w:bottom w:val="none" w:sz="0" w:space="0" w:color="auto"/>
            <w:right w:val="none" w:sz="0" w:space="0" w:color="auto"/>
          </w:divBdr>
          <w:divsChild>
            <w:div w:id="1006129750">
              <w:marLeft w:val="0"/>
              <w:marRight w:val="0"/>
              <w:marTop w:val="0"/>
              <w:marBottom w:val="0"/>
              <w:divBdr>
                <w:top w:val="none" w:sz="0" w:space="0" w:color="auto"/>
                <w:left w:val="none" w:sz="0" w:space="0" w:color="auto"/>
                <w:bottom w:val="none" w:sz="0" w:space="0" w:color="auto"/>
                <w:right w:val="none" w:sz="0" w:space="0" w:color="auto"/>
              </w:divBdr>
              <w:divsChild>
                <w:div w:id="13389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838">
          <w:marLeft w:val="0"/>
          <w:marRight w:val="0"/>
          <w:marTop w:val="0"/>
          <w:marBottom w:val="0"/>
          <w:divBdr>
            <w:top w:val="none" w:sz="0" w:space="0" w:color="auto"/>
            <w:left w:val="none" w:sz="0" w:space="0" w:color="auto"/>
            <w:bottom w:val="none" w:sz="0" w:space="0" w:color="auto"/>
            <w:right w:val="none" w:sz="0" w:space="0" w:color="auto"/>
          </w:divBdr>
          <w:divsChild>
            <w:div w:id="403188930">
              <w:marLeft w:val="0"/>
              <w:marRight w:val="0"/>
              <w:marTop w:val="0"/>
              <w:marBottom w:val="0"/>
              <w:divBdr>
                <w:top w:val="none" w:sz="0" w:space="0" w:color="auto"/>
                <w:left w:val="none" w:sz="0" w:space="0" w:color="auto"/>
                <w:bottom w:val="none" w:sz="0" w:space="0" w:color="auto"/>
                <w:right w:val="none" w:sz="0" w:space="0" w:color="auto"/>
              </w:divBdr>
              <w:divsChild>
                <w:div w:id="10833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0424">
      <w:bodyDiv w:val="1"/>
      <w:marLeft w:val="0"/>
      <w:marRight w:val="0"/>
      <w:marTop w:val="0"/>
      <w:marBottom w:val="0"/>
      <w:divBdr>
        <w:top w:val="none" w:sz="0" w:space="0" w:color="auto"/>
        <w:left w:val="none" w:sz="0" w:space="0" w:color="auto"/>
        <w:bottom w:val="none" w:sz="0" w:space="0" w:color="auto"/>
        <w:right w:val="none" w:sz="0" w:space="0" w:color="auto"/>
      </w:divBdr>
      <w:divsChild>
        <w:div w:id="724334018">
          <w:marLeft w:val="547"/>
          <w:marRight w:val="0"/>
          <w:marTop w:val="200"/>
          <w:marBottom w:val="0"/>
          <w:divBdr>
            <w:top w:val="none" w:sz="0" w:space="0" w:color="auto"/>
            <w:left w:val="none" w:sz="0" w:space="0" w:color="auto"/>
            <w:bottom w:val="none" w:sz="0" w:space="0" w:color="auto"/>
            <w:right w:val="none" w:sz="0" w:space="0" w:color="auto"/>
          </w:divBdr>
        </w:div>
        <w:div w:id="2139489532">
          <w:marLeft w:val="547"/>
          <w:marRight w:val="0"/>
          <w:marTop w:val="200"/>
          <w:marBottom w:val="0"/>
          <w:divBdr>
            <w:top w:val="none" w:sz="0" w:space="0" w:color="auto"/>
            <w:left w:val="none" w:sz="0" w:space="0" w:color="auto"/>
            <w:bottom w:val="none" w:sz="0" w:space="0" w:color="auto"/>
            <w:right w:val="none" w:sz="0" w:space="0" w:color="auto"/>
          </w:divBdr>
        </w:div>
        <w:div w:id="1880513773">
          <w:marLeft w:val="547"/>
          <w:marRight w:val="0"/>
          <w:marTop w:val="200"/>
          <w:marBottom w:val="0"/>
          <w:divBdr>
            <w:top w:val="none" w:sz="0" w:space="0" w:color="auto"/>
            <w:left w:val="none" w:sz="0" w:space="0" w:color="auto"/>
            <w:bottom w:val="none" w:sz="0" w:space="0" w:color="auto"/>
            <w:right w:val="none" w:sz="0" w:space="0" w:color="auto"/>
          </w:divBdr>
        </w:div>
      </w:divsChild>
    </w:div>
    <w:div w:id="273362459">
      <w:bodyDiv w:val="1"/>
      <w:marLeft w:val="0"/>
      <w:marRight w:val="0"/>
      <w:marTop w:val="0"/>
      <w:marBottom w:val="0"/>
      <w:divBdr>
        <w:top w:val="none" w:sz="0" w:space="0" w:color="auto"/>
        <w:left w:val="none" w:sz="0" w:space="0" w:color="auto"/>
        <w:bottom w:val="none" w:sz="0" w:space="0" w:color="auto"/>
        <w:right w:val="none" w:sz="0" w:space="0" w:color="auto"/>
      </w:divBdr>
      <w:divsChild>
        <w:div w:id="16785009">
          <w:marLeft w:val="547"/>
          <w:marRight w:val="0"/>
          <w:marTop w:val="200"/>
          <w:marBottom w:val="0"/>
          <w:divBdr>
            <w:top w:val="none" w:sz="0" w:space="0" w:color="auto"/>
            <w:left w:val="none" w:sz="0" w:space="0" w:color="auto"/>
            <w:bottom w:val="none" w:sz="0" w:space="0" w:color="auto"/>
            <w:right w:val="none" w:sz="0" w:space="0" w:color="auto"/>
          </w:divBdr>
        </w:div>
        <w:div w:id="1580942598">
          <w:marLeft w:val="547"/>
          <w:marRight w:val="0"/>
          <w:marTop w:val="200"/>
          <w:marBottom w:val="0"/>
          <w:divBdr>
            <w:top w:val="none" w:sz="0" w:space="0" w:color="auto"/>
            <w:left w:val="none" w:sz="0" w:space="0" w:color="auto"/>
            <w:bottom w:val="none" w:sz="0" w:space="0" w:color="auto"/>
            <w:right w:val="none" w:sz="0" w:space="0" w:color="auto"/>
          </w:divBdr>
        </w:div>
      </w:divsChild>
    </w:div>
    <w:div w:id="379600947">
      <w:bodyDiv w:val="1"/>
      <w:marLeft w:val="0"/>
      <w:marRight w:val="0"/>
      <w:marTop w:val="0"/>
      <w:marBottom w:val="0"/>
      <w:divBdr>
        <w:top w:val="none" w:sz="0" w:space="0" w:color="auto"/>
        <w:left w:val="none" w:sz="0" w:space="0" w:color="auto"/>
        <w:bottom w:val="none" w:sz="0" w:space="0" w:color="auto"/>
        <w:right w:val="none" w:sz="0" w:space="0" w:color="auto"/>
      </w:divBdr>
      <w:divsChild>
        <w:div w:id="197012747">
          <w:marLeft w:val="547"/>
          <w:marRight w:val="0"/>
          <w:marTop w:val="200"/>
          <w:marBottom w:val="0"/>
          <w:divBdr>
            <w:top w:val="none" w:sz="0" w:space="0" w:color="auto"/>
            <w:left w:val="none" w:sz="0" w:space="0" w:color="auto"/>
            <w:bottom w:val="none" w:sz="0" w:space="0" w:color="auto"/>
            <w:right w:val="none" w:sz="0" w:space="0" w:color="auto"/>
          </w:divBdr>
        </w:div>
        <w:div w:id="554925315">
          <w:marLeft w:val="547"/>
          <w:marRight w:val="0"/>
          <w:marTop w:val="200"/>
          <w:marBottom w:val="0"/>
          <w:divBdr>
            <w:top w:val="none" w:sz="0" w:space="0" w:color="auto"/>
            <w:left w:val="none" w:sz="0" w:space="0" w:color="auto"/>
            <w:bottom w:val="none" w:sz="0" w:space="0" w:color="auto"/>
            <w:right w:val="none" w:sz="0" w:space="0" w:color="auto"/>
          </w:divBdr>
        </w:div>
      </w:divsChild>
    </w:div>
    <w:div w:id="548230469">
      <w:bodyDiv w:val="1"/>
      <w:marLeft w:val="0"/>
      <w:marRight w:val="0"/>
      <w:marTop w:val="0"/>
      <w:marBottom w:val="0"/>
      <w:divBdr>
        <w:top w:val="none" w:sz="0" w:space="0" w:color="auto"/>
        <w:left w:val="none" w:sz="0" w:space="0" w:color="auto"/>
        <w:bottom w:val="none" w:sz="0" w:space="0" w:color="auto"/>
        <w:right w:val="none" w:sz="0" w:space="0" w:color="auto"/>
      </w:divBdr>
      <w:divsChild>
        <w:div w:id="1079904542">
          <w:marLeft w:val="0"/>
          <w:marRight w:val="0"/>
          <w:marTop w:val="0"/>
          <w:marBottom w:val="0"/>
          <w:divBdr>
            <w:top w:val="none" w:sz="0" w:space="0" w:color="auto"/>
            <w:left w:val="none" w:sz="0" w:space="0" w:color="auto"/>
            <w:bottom w:val="none" w:sz="0" w:space="0" w:color="auto"/>
            <w:right w:val="none" w:sz="0" w:space="0" w:color="auto"/>
          </w:divBdr>
          <w:divsChild>
            <w:div w:id="1312490595">
              <w:marLeft w:val="0"/>
              <w:marRight w:val="0"/>
              <w:marTop w:val="0"/>
              <w:marBottom w:val="0"/>
              <w:divBdr>
                <w:top w:val="none" w:sz="0" w:space="0" w:color="auto"/>
                <w:left w:val="none" w:sz="0" w:space="0" w:color="auto"/>
                <w:bottom w:val="none" w:sz="0" w:space="0" w:color="auto"/>
                <w:right w:val="none" w:sz="0" w:space="0" w:color="auto"/>
              </w:divBdr>
              <w:divsChild>
                <w:div w:id="3440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603">
          <w:marLeft w:val="0"/>
          <w:marRight w:val="0"/>
          <w:marTop w:val="0"/>
          <w:marBottom w:val="0"/>
          <w:divBdr>
            <w:top w:val="none" w:sz="0" w:space="0" w:color="auto"/>
            <w:left w:val="none" w:sz="0" w:space="0" w:color="auto"/>
            <w:bottom w:val="none" w:sz="0" w:space="0" w:color="auto"/>
            <w:right w:val="none" w:sz="0" w:space="0" w:color="auto"/>
          </w:divBdr>
          <w:divsChild>
            <w:div w:id="1101416956">
              <w:marLeft w:val="0"/>
              <w:marRight w:val="0"/>
              <w:marTop w:val="0"/>
              <w:marBottom w:val="0"/>
              <w:divBdr>
                <w:top w:val="none" w:sz="0" w:space="0" w:color="auto"/>
                <w:left w:val="none" w:sz="0" w:space="0" w:color="auto"/>
                <w:bottom w:val="none" w:sz="0" w:space="0" w:color="auto"/>
                <w:right w:val="none" w:sz="0" w:space="0" w:color="auto"/>
              </w:divBdr>
              <w:divsChild>
                <w:div w:id="15606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46322">
      <w:bodyDiv w:val="1"/>
      <w:marLeft w:val="0"/>
      <w:marRight w:val="0"/>
      <w:marTop w:val="0"/>
      <w:marBottom w:val="0"/>
      <w:divBdr>
        <w:top w:val="none" w:sz="0" w:space="0" w:color="auto"/>
        <w:left w:val="none" w:sz="0" w:space="0" w:color="auto"/>
        <w:bottom w:val="none" w:sz="0" w:space="0" w:color="auto"/>
        <w:right w:val="none" w:sz="0" w:space="0" w:color="auto"/>
      </w:divBdr>
      <w:divsChild>
        <w:div w:id="256252772">
          <w:marLeft w:val="0"/>
          <w:marRight w:val="0"/>
          <w:marTop w:val="0"/>
          <w:marBottom w:val="0"/>
          <w:divBdr>
            <w:top w:val="none" w:sz="0" w:space="0" w:color="auto"/>
            <w:left w:val="none" w:sz="0" w:space="0" w:color="auto"/>
            <w:bottom w:val="none" w:sz="0" w:space="0" w:color="auto"/>
            <w:right w:val="none" w:sz="0" w:space="0" w:color="auto"/>
          </w:divBdr>
          <w:divsChild>
            <w:div w:id="853418393">
              <w:marLeft w:val="0"/>
              <w:marRight w:val="0"/>
              <w:marTop w:val="0"/>
              <w:marBottom w:val="0"/>
              <w:divBdr>
                <w:top w:val="none" w:sz="0" w:space="0" w:color="auto"/>
                <w:left w:val="none" w:sz="0" w:space="0" w:color="auto"/>
                <w:bottom w:val="none" w:sz="0" w:space="0" w:color="auto"/>
                <w:right w:val="none" w:sz="0" w:space="0" w:color="auto"/>
              </w:divBdr>
              <w:divsChild>
                <w:div w:id="3034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519">
          <w:marLeft w:val="0"/>
          <w:marRight w:val="0"/>
          <w:marTop w:val="0"/>
          <w:marBottom w:val="0"/>
          <w:divBdr>
            <w:top w:val="none" w:sz="0" w:space="0" w:color="auto"/>
            <w:left w:val="none" w:sz="0" w:space="0" w:color="auto"/>
            <w:bottom w:val="none" w:sz="0" w:space="0" w:color="auto"/>
            <w:right w:val="none" w:sz="0" w:space="0" w:color="auto"/>
          </w:divBdr>
          <w:divsChild>
            <w:div w:id="422839782">
              <w:marLeft w:val="0"/>
              <w:marRight w:val="0"/>
              <w:marTop w:val="0"/>
              <w:marBottom w:val="0"/>
              <w:divBdr>
                <w:top w:val="none" w:sz="0" w:space="0" w:color="auto"/>
                <w:left w:val="none" w:sz="0" w:space="0" w:color="auto"/>
                <w:bottom w:val="none" w:sz="0" w:space="0" w:color="auto"/>
                <w:right w:val="none" w:sz="0" w:space="0" w:color="auto"/>
              </w:divBdr>
              <w:divsChild>
                <w:div w:id="18080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8608">
      <w:bodyDiv w:val="1"/>
      <w:marLeft w:val="0"/>
      <w:marRight w:val="0"/>
      <w:marTop w:val="0"/>
      <w:marBottom w:val="0"/>
      <w:divBdr>
        <w:top w:val="none" w:sz="0" w:space="0" w:color="auto"/>
        <w:left w:val="none" w:sz="0" w:space="0" w:color="auto"/>
        <w:bottom w:val="none" w:sz="0" w:space="0" w:color="auto"/>
        <w:right w:val="none" w:sz="0" w:space="0" w:color="auto"/>
      </w:divBdr>
      <w:divsChild>
        <w:div w:id="957953230">
          <w:marLeft w:val="547"/>
          <w:marRight w:val="0"/>
          <w:marTop w:val="200"/>
          <w:marBottom w:val="0"/>
          <w:divBdr>
            <w:top w:val="none" w:sz="0" w:space="0" w:color="auto"/>
            <w:left w:val="none" w:sz="0" w:space="0" w:color="auto"/>
            <w:bottom w:val="none" w:sz="0" w:space="0" w:color="auto"/>
            <w:right w:val="none" w:sz="0" w:space="0" w:color="auto"/>
          </w:divBdr>
        </w:div>
        <w:div w:id="861282179">
          <w:marLeft w:val="547"/>
          <w:marRight w:val="0"/>
          <w:marTop w:val="200"/>
          <w:marBottom w:val="0"/>
          <w:divBdr>
            <w:top w:val="none" w:sz="0" w:space="0" w:color="auto"/>
            <w:left w:val="none" w:sz="0" w:space="0" w:color="auto"/>
            <w:bottom w:val="none" w:sz="0" w:space="0" w:color="auto"/>
            <w:right w:val="none" w:sz="0" w:space="0" w:color="auto"/>
          </w:divBdr>
        </w:div>
        <w:div w:id="1116682326">
          <w:marLeft w:val="547"/>
          <w:marRight w:val="0"/>
          <w:marTop w:val="200"/>
          <w:marBottom w:val="0"/>
          <w:divBdr>
            <w:top w:val="none" w:sz="0" w:space="0" w:color="auto"/>
            <w:left w:val="none" w:sz="0" w:space="0" w:color="auto"/>
            <w:bottom w:val="none" w:sz="0" w:space="0" w:color="auto"/>
            <w:right w:val="none" w:sz="0" w:space="0" w:color="auto"/>
          </w:divBdr>
        </w:div>
      </w:divsChild>
    </w:div>
    <w:div w:id="1779829542">
      <w:bodyDiv w:val="1"/>
      <w:marLeft w:val="0"/>
      <w:marRight w:val="0"/>
      <w:marTop w:val="0"/>
      <w:marBottom w:val="0"/>
      <w:divBdr>
        <w:top w:val="none" w:sz="0" w:space="0" w:color="auto"/>
        <w:left w:val="none" w:sz="0" w:space="0" w:color="auto"/>
        <w:bottom w:val="none" w:sz="0" w:space="0" w:color="auto"/>
        <w:right w:val="none" w:sz="0" w:space="0" w:color="auto"/>
      </w:divBdr>
      <w:divsChild>
        <w:div w:id="1338195360">
          <w:marLeft w:val="0"/>
          <w:marRight w:val="0"/>
          <w:marTop w:val="0"/>
          <w:marBottom w:val="0"/>
          <w:divBdr>
            <w:top w:val="none" w:sz="0" w:space="0" w:color="auto"/>
            <w:left w:val="none" w:sz="0" w:space="0" w:color="auto"/>
            <w:bottom w:val="none" w:sz="0" w:space="0" w:color="auto"/>
            <w:right w:val="none" w:sz="0" w:space="0" w:color="auto"/>
          </w:divBdr>
          <w:divsChild>
            <w:div w:id="630601140">
              <w:marLeft w:val="0"/>
              <w:marRight w:val="0"/>
              <w:marTop w:val="0"/>
              <w:marBottom w:val="0"/>
              <w:divBdr>
                <w:top w:val="none" w:sz="0" w:space="0" w:color="auto"/>
                <w:left w:val="none" w:sz="0" w:space="0" w:color="auto"/>
                <w:bottom w:val="none" w:sz="0" w:space="0" w:color="auto"/>
                <w:right w:val="none" w:sz="0" w:space="0" w:color="auto"/>
              </w:divBdr>
              <w:divsChild>
                <w:div w:id="12333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158">
          <w:marLeft w:val="0"/>
          <w:marRight w:val="0"/>
          <w:marTop w:val="0"/>
          <w:marBottom w:val="0"/>
          <w:divBdr>
            <w:top w:val="none" w:sz="0" w:space="0" w:color="auto"/>
            <w:left w:val="none" w:sz="0" w:space="0" w:color="auto"/>
            <w:bottom w:val="none" w:sz="0" w:space="0" w:color="auto"/>
            <w:right w:val="none" w:sz="0" w:space="0" w:color="auto"/>
          </w:divBdr>
          <w:divsChild>
            <w:div w:id="523831373">
              <w:marLeft w:val="0"/>
              <w:marRight w:val="0"/>
              <w:marTop w:val="0"/>
              <w:marBottom w:val="0"/>
              <w:divBdr>
                <w:top w:val="none" w:sz="0" w:space="0" w:color="auto"/>
                <w:left w:val="none" w:sz="0" w:space="0" w:color="auto"/>
                <w:bottom w:val="none" w:sz="0" w:space="0" w:color="auto"/>
                <w:right w:val="none" w:sz="0" w:space="0" w:color="auto"/>
              </w:divBdr>
              <w:divsChild>
                <w:div w:id="961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4046">
          <w:marLeft w:val="0"/>
          <w:marRight w:val="0"/>
          <w:marTop w:val="0"/>
          <w:marBottom w:val="0"/>
          <w:divBdr>
            <w:top w:val="none" w:sz="0" w:space="0" w:color="auto"/>
            <w:left w:val="none" w:sz="0" w:space="0" w:color="auto"/>
            <w:bottom w:val="none" w:sz="0" w:space="0" w:color="auto"/>
            <w:right w:val="none" w:sz="0" w:space="0" w:color="auto"/>
          </w:divBdr>
          <w:divsChild>
            <w:div w:id="23017083">
              <w:marLeft w:val="0"/>
              <w:marRight w:val="0"/>
              <w:marTop w:val="0"/>
              <w:marBottom w:val="0"/>
              <w:divBdr>
                <w:top w:val="none" w:sz="0" w:space="0" w:color="auto"/>
                <w:left w:val="none" w:sz="0" w:space="0" w:color="auto"/>
                <w:bottom w:val="none" w:sz="0" w:space="0" w:color="auto"/>
                <w:right w:val="none" w:sz="0" w:space="0" w:color="auto"/>
              </w:divBdr>
              <w:divsChild>
                <w:div w:id="16907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949">
          <w:marLeft w:val="0"/>
          <w:marRight w:val="0"/>
          <w:marTop w:val="0"/>
          <w:marBottom w:val="0"/>
          <w:divBdr>
            <w:top w:val="none" w:sz="0" w:space="0" w:color="auto"/>
            <w:left w:val="none" w:sz="0" w:space="0" w:color="auto"/>
            <w:bottom w:val="none" w:sz="0" w:space="0" w:color="auto"/>
            <w:right w:val="none" w:sz="0" w:space="0" w:color="auto"/>
          </w:divBdr>
          <w:divsChild>
            <w:div w:id="2098673049">
              <w:marLeft w:val="0"/>
              <w:marRight w:val="0"/>
              <w:marTop w:val="0"/>
              <w:marBottom w:val="0"/>
              <w:divBdr>
                <w:top w:val="none" w:sz="0" w:space="0" w:color="auto"/>
                <w:left w:val="none" w:sz="0" w:space="0" w:color="auto"/>
                <w:bottom w:val="none" w:sz="0" w:space="0" w:color="auto"/>
                <w:right w:val="none" w:sz="0" w:space="0" w:color="auto"/>
              </w:divBdr>
              <w:divsChild>
                <w:div w:id="8300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4281">
          <w:marLeft w:val="0"/>
          <w:marRight w:val="0"/>
          <w:marTop w:val="0"/>
          <w:marBottom w:val="0"/>
          <w:divBdr>
            <w:top w:val="none" w:sz="0" w:space="0" w:color="auto"/>
            <w:left w:val="none" w:sz="0" w:space="0" w:color="auto"/>
            <w:bottom w:val="none" w:sz="0" w:space="0" w:color="auto"/>
            <w:right w:val="none" w:sz="0" w:space="0" w:color="auto"/>
          </w:divBdr>
          <w:divsChild>
            <w:div w:id="719207158">
              <w:marLeft w:val="0"/>
              <w:marRight w:val="0"/>
              <w:marTop w:val="0"/>
              <w:marBottom w:val="0"/>
              <w:divBdr>
                <w:top w:val="none" w:sz="0" w:space="0" w:color="auto"/>
                <w:left w:val="none" w:sz="0" w:space="0" w:color="auto"/>
                <w:bottom w:val="none" w:sz="0" w:space="0" w:color="auto"/>
                <w:right w:val="none" w:sz="0" w:space="0" w:color="auto"/>
              </w:divBdr>
              <w:divsChild>
                <w:div w:id="1994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6602">
          <w:marLeft w:val="0"/>
          <w:marRight w:val="0"/>
          <w:marTop w:val="0"/>
          <w:marBottom w:val="0"/>
          <w:divBdr>
            <w:top w:val="none" w:sz="0" w:space="0" w:color="auto"/>
            <w:left w:val="none" w:sz="0" w:space="0" w:color="auto"/>
            <w:bottom w:val="none" w:sz="0" w:space="0" w:color="auto"/>
            <w:right w:val="none" w:sz="0" w:space="0" w:color="auto"/>
          </w:divBdr>
          <w:divsChild>
            <w:div w:id="93021263">
              <w:marLeft w:val="0"/>
              <w:marRight w:val="0"/>
              <w:marTop w:val="0"/>
              <w:marBottom w:val="0"/>
              <w:divBdr>
                <w:top w:val="none" w:sz="0" w:space="0" w:color="auto"/>
                <w:left w:val="none" w:sz="0" w:space="0" w:color="auto"/>
                <w:bottom w:val="none" w:sz="0" w:space="0" w:color="auto"/>
                <w:right w:val="none" w:sz="0" w:space="0" w:color="auto"/>
              </w:divBdr>
              <w:divsChild>
                <w:div w:id="6642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27960">
      <w:bodyDiv w:val="1"/>
      <w:marLeft w:val="0"/>
      <w:marRight w:val="0"/>
      <w:marTop w:val="0"/>
      <w:marBottom w:val="0"/>
      <w:divBdr>
        <w:top w:val="none" w:sz="0" w:space="0" w:color="auto"/>
        <w:left w:val="none" w:sz="0" w:space="0" w:color="auto"/>
        <w:bottom w:val="none" w:sz="0" w:space="0" w:color="auto"/>
        <w:right w:val="none" w:sz="0" w:space="0" w:color="auto"/>
      </w:divBdr>
      <w:divsChild>
        <w:div w:id="535041912">
          <w:marLeft w:val="0"/>
          <w:marRight w:val="0"/>
          <w:marTop w:val="0"/>
          <w:marBottom w:val="0"/>
          <w:divBdr>
            <w:top w:val="none" w:sz="0" w:space="0" w:color="auto"/>
            <w:left w:val="none" w:sz="0" w:space="0" w:color="auto"/>
            <w:bottom w:val="none" w:sz="0" w:space="0" w:color="auto"/>
            <w:right w:val="none" w:sz="0" w:space="0" w:color="auto"/>
          </w:divBdr>
          <w:divsChild>
            <w:div w:id="574709637">
              <w:marLeft w:val="0"/>
              <w:marRight w:val="0"/>
              <w:marTop w:val="0"/>
              <w:marBottom w:val="0"/>
              <w:divBdr>
                <w:top w:val="none" w:sz="0" w:space="0" w:color="auto"/>
                <w:left w:val="none" w:sz="0" w:space="0" w:color="auto"/>
                <w:bottom w:val="none" w:sz="0" w:space="0" w:color="auto"/>
                <w:right w:val="none" w:sz="0" w:space="0" w:color="auto"/>
              </w:divBdr>
              <w:divsChild>
                <w:div w:id="1517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906">
          <w:marLeft w:val="0"/>
          <w:marRight w:val="0"/>
          <w:marTop w:val="0"/>
          <w:marBottom w:val="0"/>
          <w:divBdr>
            <w:top w:val="none" w:sz="0" w:space="0" w:color="auto"/>
            <w:left w:val="none" w:sz="0" w:space="0" w:color="auto"/>
            <w:bottom w:val="none" w:sz="0" w:space="0" w:color="auto"/>
            <w:right w:val="none" w:sz="0" w:space="0" w:color="auto"/>
          </w:divBdr>
          <w:divsChild>
            <w:div w:id="1651515626">
              <w:marLeft w:val="0"/>
              <w:marRight w:val="0"/>
              <w:marTop w:val="0"/>
              <w:marBottom w:val="0"/>
              <w:divBdr>
                <w:top w:val="none" w:sz="0" w:space="0" w:color="auto"/>
                <w:left w:val="none" w:sz="0" w:space="0" w:color="auto"/>
                <w:bottom w:val="none" w:sz="0" w:space="0" w:color="auto"/>
                <w:right w:val="none" w:sz="0" w:space="0" w:color="auto"/>
              </w:divBdr>
              <w:divsChild>
                <w:div w:id="14605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359">
          <w:marLeft w:val="0"/>
          <w:marRight w:val="0"/>
          <w:marTop w:val="0"/>
          <w:marBottom w:val="0"/>
          <w:divBdr>
            <w:top w:val="none" w:sz="0" w:space="0" w:color="auto"/>
            <w:left w:val="none" w:sz="0" w:space="0" w:color="auto"/>
            <w:bottom w:val="none" w:sz="0" w:space="0" w:color="auto"/>
            <w:right w:val="none" w:sz="0" w:space="0" w:color="auto"/>
          </w:divBdr>
          <w:divsChild>
            <w:div w:id="1138107786">
              <w:marLeft w:val="0"/>
              <w:marRight w:val="0"/>
              <w:marTop w:val="0"/>
              <w:marBottom w:val="0"/>
              <w:divBdr>
                <w:top w:val="none" w:sz="0" w:space="0" w:color="auto"/>
                <w:left w:val="none" w:sz="0" w:space="0" w:color="auto"/>
                <w:bottom w:val="none" w:sz="0" w:space="0" w:color="auto"/>
                <w:right w:val="none" w:sz="0" w:space="0" w:color="auto"/>
              </w:divBdr>
              <w:divsChild>
                <w:div w:id="577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0424">
          <w:marLeft w:val="0"/>
          <w:marRight w:val="0"/>
          <w:marTop w:val="0"/>
          <w:marBottom w:val="0"/>
          <w:divBdr>
            <w:top w:val="none" w:sz="0" w:space="0" w:color="auto"/>
            <w:left w:val="none" w:sz="0" w:space="0" w:color="auto"/>
            <w:bottom w:val="none" w:sz="0" w:space="0" w:color="auto"/>
            <w:right w:val="none" w:sz="0" w:space="0" w:color="auto"/>
          </w:divBdr>
          <w:divsChild>
            <w:div w:id="1420709676">
              <w:marLeft w:val="0"/>
              <w:marRight w:val="0"/>
              <w:marTop w:val="0"/>
              <w:marBottom w:val="0"/>
              <w:divBdr>
                <w:top w:val="none" w:sz="0" w:space="0" w:color="auto"/>
                <w:left w:val="none" w:sz="0" w:space="0" w:color="auto"/>
                <w:bottom w:val="none" w:sz="0" w:space="0" w:color="auto"/>
                <w:right w:val="none" w:sz="0" w:space="0" w:color="auto"/>
              </w:divBdr>
              <w:divsChild>
                <w:div w:id="17138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render.githubusercontent.com/view/ipynb?color_mode=auto&amp;commit=04a41606814f622629f19a5ee860d8dd32369e93&amp;enc_url=68747470733a2f2f7261772e67697468756275736572636f6e74656e742e636f6d2f4d616b2d6d656f2f4170706c6965642d446174612d536369656e63652d43617073746f6e652f303461343136303638313466363232363239663139613565653836306438646433323336396539332f4150495f546573742532302832292e6970796e62&amp;nwo=Mak-meo%2FApplied-Data-Science-Capstone&amp;path=API_Test+%282%29.ipynb&amp;repository_id=341275478&amp;repository_type=Repository" TargetMode="Externa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Building Categories Toronto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counts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Sheet1!$B$2:$B$44</c:f>
              <c:strCache>
                <c:ptCount val="43"/>
                <c:pt idx="0">
                  <c:v>Hotel</c:v>
                </c:pt>
                <c:pt idx="1">
                  <c:v>Coffee Shop</c:v>
                </c:pt>
                <c:pt idx="2">
                  <c:v>Art Gallery</c:v>
                </c:pt>
                <c:pt idx="3">
                  <c:v>Concert Hall</c:v>
                </c:pt>
                <c:pt idx="4">
                  <c:v>Department Store</c:v>
                </c:pt>
                <c:pt idx="5">
                  <c:v>Event Space</c:v>
                </c:pt>
                <c:pt idx="6">
                  <c:v>Farmers Market</c:v>
                </c:pt>
                <c:pt idx="7">
                  <c:v>Monument / Landmark</c:v>
                </c:pt>
                <c:pt idx="8">
                  <c:v>Movie Theater</c:v>
                </c:pt>
                <c:pt idx="9">
                  <c:v>Office</c:v>
                </c:pt>
                <c:pt idx="10">
                  <c:v>Steakhouse</c:v>
                </c:pt>
                <c:pt idx="11">
                  <c:v>Theater</c:v>
                </c:pt>
                <c:pt idx="12">
                  <c:v>Bank</c:v>
                </c:pt>
                <c:pt idx="13">
                  <c:v>Baseball Stadium</c:v>
                </c:pt>
                <c:pt idx="14">
                  <c:v>Basketball Stadium</c:v>
                </c:pt>
                <c:pt idx="15">
                  <c:v>Belgian Restaurant</c:v>
                </c:pt>
                <c:pt idx="16">
                  <c:v>Brewery</c:v>
                </c:pt>
                <c:pt idx="17">
                  <c:v>Building</c:v>
                </c:pt>
                <c:pt idx="18">
                  <c:v>Bus Station</c:v>
                </c:pt>
                <c:pt idx="19">
                  <c:v>Café</c:v>
                </c:pt>
                <c:pt idx="20">
                  <c:v>Church</c:v>
                </c:pt>
                <c:pt idx="21">
                  <c:v>Clothing Store</c:v>
                </c:pt>
                <c:pt idx="22">
                  <c:v>Deli / Bodega</c:v>
                </c:pt>
                <c:pt idx="23">
                  <c:v>Food Court</c:v>
                </c:pt>
                <c:pt idx="24">
                  <c:v>Gastropub</c:v>
                </c:pt>
                <c:pt idx="25">
                  <c:v>General Travel</c:v>
                </c:pt>
                <c:pt idx="26">
                  <c:v>IT Services</c:v>
                </c:pt>
                <c:pt idx="27">
                  <c:v>Italian Restaurant</c:v>
                </c:pt>
                <c:pt idx="28">
                  <c:v>Liquor Store</c:v>
                </c:pt>
                <c:pt idx="29">
                  <c:v>Lounge</c:v>
                </c:pt>
                <c:pt idx="30">
                  <c:v>Market</c:v>
                </c:pt>
                <c:pt idx="31">
                  <c:v>Mediterranean Restaurant</c:v>
                </c:pt>
                <c:pt idx="32">
                  <c:v>Metro Station</c:v>
                </c:pt>
                <c:pt idx="33">
                  <c:v>Museum</c:v>
                </c:pt>
                <c:pt idx="34">
                  <c:v>Platform</c:v>
                </c:pt>
                <c:pt idx="35">
                  <c:v>Plaza</c:v>
                </c:pt>
                <c:pt idx="36">
                  <c:v>Residential Building (Apartment / Condo)</c:v>
                </c:pt>
                <c:pt idx="37">
                  <c:v>Restaurant</c:v>
                </c:pt>
                <c:pt idx="38">
                  <c:v>Shopping Mall</c:v>
                </c:pt>
                <c:pt idx="39">
                  <c:v>Sports Bar</c:v>
                </c:pt>
                <c:pt idx="40">
                  <c:v>Sushi Restaurant</c:v>
                </c:pt>
                <c:pt idx="41">
                  <c:v>Train Station</c:v>
                </c:pt>
                <c:pt idx="42">
                  <c:v>University</c:v>
                </c:pt>
              </c:strCache>
            </c:strRef>
          </c:cat>
          <c:val>
            <c:numRef>
              <c:f>Sheet1!$C$2:$C$44</c:f>
              <c:numCache>
                <c:formatCode>General</c:formatCode>
                <c:ptCount val="43"/>
                <c:pt idx="0">
                  <c:v>8</c:v>
                </c:pt>
                <c:pt idx="1">
                  <c:v>4</c:v>
                </c:pt>
                <c:pt idx="2">
                  <c:v>3</c:v>
                </c:pt>
                <c:pt idx="3">
                  <c:v>3</c:v>
                </c:pt>
                <c:pt idx="4">
                  <c:v>2</c:v>
                </c:pt>
                <c:pt idx="5">
                  <c:v>2</c:v>
                </c:pt>
                <c:pt idx="6">
                  <c:v>2</c:v>
                </c:pt>
                <c:pt idx="7">
                  <c:v>2</c:v>
                </c:pt>
                <c:pt idx="8">
                  <c:v>2</c:v>
                </c:pt>
                <c:pt idx="9">
                  <c:v>2</c:v>
                </c:pt>
                <c:pt idx="10">
                  <c:v>2</c:v>
                </c:pt>
                <c:pt idx="11">
                  <c:v>2</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numCache>
            </c:numRef>
          </c:val>
          <c:extLst>
            <c:ext xmlns:c16="http://schemas.microsoft.com/office/drawing/2014/chart" uri="{C3380CC4-5D6E-409C-BE32-E72D297353CC}">
              <c16:uniqueId val="{00000000-F54C-6247-BEB8-CD374E390E45}"/>
            </c:ext>
          </c:extLst>
        </c:ser>
        <c:dLbls>
          <c:showLegendKey val="0"/>
          <c:showVal val="0"/>
          <c:showCatName val="0"/>
          <c:showSerName val="0"/>
          <c:showPercent val="0"/>
          <c:showBubbleSize val="0"/>
        </c:dLbls>
        <c:gapWidth val="219"/>
        <c:overlap val="-27"/>
        <c:axId val="1056090464"/>
        <c:axId val="1056092112"/>
      </c:barChart>
      <c:catAx>
        <c:axId val="105609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092112"/>
        <c:crosses val="autoZero"/>
        <c:auto val="1"/>
        <c:lblAlgn val="ctr"/>
        <c:lblOffset val="100"/>
        <c:noMultiLvlLbl val="0"/>
      </c:catAx>
      <c:valAx>
        <c:axId val="10560921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09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Entertainment</a:t>
            </a:r>
            <a:r>
              <a:rPr lang="en-GB" baseline="0"/>
              <a:t> categories around TSE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Sheet2!$B$1:$B$15</c:f>
              <c:strCache>
                <c:ptCount val="15"/>
                <c:pt idx="0">
                  <c:v>General Entertainment</c:v>
                </c:pt>
                <c:pt idx="1">
                  <c:v>Movie Theater</c:v>
                </c:pt>
                <c:pt idx="2">
                  <c:v>Bar</c:v>
                </c:pt>
                <c:pt idx="3">
                  <c:v>Basketball Stadium</c:v>
                </c:pt>
                <c:pt idx="4">
                  <c:v>Belgian Restaurant</c:v>
                </c:pt>
                <c:pt idx="5">
                  <c:v>Bowling Alley</c:v>
                </c:pt>
                <c:pt idx="6">
                  <c:v>Cocktail Bar</c:v>
                </c:pt>
                <c:pt idx="7">
                  <c:v>Concert Hall</c:v>
                </c:pt>
                <c:pt idx="8">
                  <c:v>Event Space</c:v>
                </c:pt>
                <c:pt idx="9">
                  <c:v>Jazz Club</c:v>
                </c:pt>
                <c:pt idx="10">
                  <c:v>Monument / Landmark</c:v>
                </c:pt>
                <c:pt idx="11">
                  <c:v>Nightclub</c:v>
                </c:pt>
                <c:pt idx="12">
                  <c:v>Park</c:v>
                </c:pt>
                <c:pt idx="13">
                  <c:v>Restaurant</c:v>
                </c:pt>
                <c:pt idx="14">
                  <c:v>Theater</c:v>
                </c:pt>
              </c:strCache>
            </c:strRef>
          </c:cat>
          <c:val>
            <c:numRef>
              <c:f>Sheet2!$C$1:$C$15</c:f>
              <c:numCache>
                <c:formatCode>General</c:formatCode>
                <c:ptCount val="15"/>
                <c:pt idx="0">
                  <c:v>25</c:v>
                </c:pt>
                <c:pt idx="1">
                  <c:v>3</c:v>
                </c:pt>
                <c:pt idx="2">
                  <c:v>2</c:v>
                </c:pt>
                <c:pt idx="3">
                  <c:v>1</c:v>
                </c:pt>
                <c:pt idx="4">
                  <c:v>1</c:v>
                </c:pt>
                <c:pt idx="5">
                  <c:v>1</c:v>
                </c:pt>
                <c:pt idx="6">
                  <c:v>1</c:v>
                </c:pt>
                <c:pt idx="7">
                  <c:v>1</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0-071C-B146-AEE9-1575737D70E0}"/>
            </c:ext>
          </c:extLst>
        </c:ser>
        <c:dLbls>
          <c:showLegendKey val="0"/>
          <c:showVal val="0"/>
          <c:showCatName val="0"/>
          <c:showSerName val="0"/>
          <c:showPercent val="0"/>
          <c:showBubbleSize val="0"/>
        </c:dLbls>
        <c:gapWidth val="219"/>
        <c:overlap val="-27"/>
        <c:axId val="1054138288"/>
        <c:axId val="1054141120"/>
      </c:barChart>
      <c:catAx>
        <c:axId val="105413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141120"/>
        <c:crosses val="autoZero"/>
        <c:auto val="1"/>
        <c:lblAlgn val="ctr"/>
        <c:lblOffset val="100"/>
        <c:noMultiLvlLbl val="0"/>
      </c:catAx>
      <c:valAx>
        <c:axId val="1054141120"/>
        <c:scaling>
          <c:orientation val="minMax"/>
        </c:scaling>
        <c:delete val="1"/>
        <c:axPos val="l"/>
        <c:numFmt formatCode="General" sourceLinked="1"/>
        <c:majorTickMark val="none"/>
        <c:minorTickMark val="none"/>
        <c:tickLblPos val="nextTo"/>
        <c:crossAx val="1054138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Entertainment Categories</a:t>
            </a:r>
            <a:r>
              <a:rPr lang="en-US" baseline="0"/>
              <a:t> around JSE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Sheet2!$D$24</c:f>
              <c:strCache>
                <c:ptCount val="1"/>
                <c:pt idx="0">
                  <c:v>counts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Sheet2!$C$25:$C$26</c:f>
              <c:strCache>
                <c:ptCount val="2"/>
                <c:pt idx="0">
                  <c:v>General Entertainment</c:v>
                </c:pt>
                <c:pt idx="1">
                  <c:v>Nightclub</c:v>
                </c:pt>
              </c:strCache>
            </c:strRef>
          </c:cat>
          <c:val>
            <c:numRef>
              <c:f>Sheet2!$D$25:$D$26</c:f>
              <c:numCache>
                <c:formatCode>General</c:formatCode>
                <c:ptCount val="2"/>
                <c:pt idx="0">
                  <c:v>3</c:v>
                </c:pt>
                <c:pt idx="1">
                  <c:v>1</c:v>
                </c:pt>
              </c:numCache>
            </c:numRef>
          </c:val>
          <c:extLst>
            <c:ext xmlns:c16="http://schemas.microsoft.com/office/drawing/2014/chart" uri="{C3380CC4-5D6E-409C-BE32-E72D297353CC}">
              <c16:uniqueId val="{00000000-C29C-0F4E-BB9E-A74BB38B84D1}"/>
            </c:ext>
          </c:extLst>
        </c:ser>
        <c:dLbls>
          <c:showLegendKey val="0"/>
          <c:showVal val="0"/>
          <c:showCatName val="0"/>
          <c:showSerName val="0"/>
          <c:showPercent val="0"/>
          <c:showBubbleSize val="0"/>
        </c:dLbls>
        <c:gapWidth val="219"/>
        <c:overlap val="-27"/>
        <c:axId val="1052087440"/>
        <c:axId val="1053182832"/>
      </c:barChart>
      <c:catAx>
        <c:axId val="105208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182832"/>
        <c:crosses val="autoZero"/>
        <c:auto val="1"/>
        <c:lblAlgn val="ctr"/>
        <c:lblOffset val="100"/>
        <c:noMultiLvlLbl val="0"/>
      </c:catAx>
      <c:valAx>
        <c:axId val="1053182832"/>
        <c:scaling>
          <c:orientation val="minMax"/>
        </c:scaling>
        <c:delete val="1"/>
        <c:axPos val="l"/>
        <c:numFmt formatCode="General" sourceLinked="1"/>
        <c:majorTickMark val="none"/>
        <c:minorTickMark val="none"/>
        <c:tickLblPos val="nextTo"/>
        <c:crossAx val="1052087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Restaurant</a:t>
            </a:r>
            <a:r>
              <a:rPr lang="en-US" baseline="0" dirty="0"/>
              <a:t> Categories around the JSE </a:t>
            </a:r>
            <a:r>
              <a:rPr lang="en-US" baseline="0" dirty="0" err="1"/>
              <a:t>Neighbourhood</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Sheet3!$C$1</c:f>
              <c:strCache>
                <c:ptCount val="1"/>
                <c:pt idx="0">
                  <c:v>counts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Sheet3!$B$2:$B$16</c:f>
              <c:strCache>
                <c:ptCount val="15"/>
                <c:pt idx="0">
                  <c:v>Restaurant</c:v>
                </c:pt>
                <c:pt idx="1">
                  <c:v>Café</c:v>
                </c:pt>
                <c:pt idx="2">
                  <c:v>Burger Joint</c:v>
                </c:pt>
                <c:pt idx="3">
                  <c:v>Steakhouse</c:v>
                </c:pt>
                <c:pt idx="4">
                  <c:v>African Restaurant</c:v>
                </c:pt>
                <c:pt idx="5">
                  <c:v>Breakfast Spot</c:v>
                </c:pt>
                <c:pt idx="6">
                  <c:v>Indian Restaurant</c:v>
                </c:pt>
                <c:pt idx="7">
                  <c:v>Italian Restaurant</c:v>
                </c:pt>
                <c:pt idx="8">
                  <c:v>Asian Restaurant</c:v>
                </c:pt>
                <c:pt idx="9">
                  <c:v>Bakery</c:v>
                </c:pt>
                <c:pt idx="10">
                  <c:v>Cafeteria</c:v>
                </c:pt>
                <c:pt idx="11">
                  <c:v>Fast Food Restaurant</c:v>
                </c:pt>
                <c:pt idx="12">
                  <c:v>Salad Place</c:v>
                </c:pt>
                <c:pt idx="13">
                  <c:v>Sandwich Place</c:v>
                </c:pt>
                <c:pt idx="14">
                  <c:v>Snack Place</c:v>
                </c:pt>
              </c:strCache>
            </c:strRef>
          </c:cat>
          <c:val>
            <c:numRef>
              <c:f>Sheet3!$C$2:$C$16</c:f>
              <c:numCache>
                <c:formatCode>General</c:formatCode>
                <c:ptCount val="15"/>
                <c:pt idx="0">
                  <c:v>8</c:v>
                </c:pt>
                <c:pt idx="1">
                  <c:v>5</c:v>
                </c:pt>
                <c:pt idx="2">
                  <c:v>3</c:v>
                </c:pt>
                <c:pt idx="3">
                  <c:v>3</c:v>
                </c:pt>
                <c:pt idx="4">
                  <c:v>2</c:v>
                </c:pt>
                <c:pt idx="5">
                  <c:v>2</c:v>
                </c:pt>
                <c:pt idx="6">
                  <c:v>2</c:v>
                </c:pt>
                <c:pt idx="7">
                  <c:v>2</c:v>
                </c:pt>
                <c:pt idx="8">
                  <c:v>1</c:v>
                </c:pt>
                <c:pt idx="9">
                  <c:v>1</c:v>
                </c:pt>
                <c:pt idx="10">
                  <c:v>1</c:v>
                </c:pt>
                <c:pt idx="11">
                  <c:v>1</c:v>
                </c:pt>
                <c:pt idx="12">
                  <c:v>1</c:v>
                </c:pt>
                <c:pt idx="13">
                  <c:v>1</c:v>
                </c:pt>
                <c:pt idx="14">
                  <c:v>1</c:v>
                </c:pt>
              </c:numCache>
            </c:numRef>
          </c:val>
          <c:extLst>
            <c:ext xmlns:c16="http://schemas.microsoft.com/office/drawing/2014/chart" uri="{C3380CC4-5D6E-409C-BE32-E72D297353CC}">
              <c16:uniqueId val="{00000000-DA17-7841-8C03-55934C2C1B29}"/>
            </c:ext>
          </c:extLst>
        </c:ser>
        <c:dLbls>
          <c:showLegendKey val="0"/>
          <c:showVal val="0"/>
          <c:showCatName val="0"/>
          <c:showSerName val="0"/>
          <c:showPercent val="0"/>
          <c:showBubbleSize val="0"/>
        </c:dLbls>
        <c:gapWidth val="219"/>
        <c:overlap val="-27"/>
        <c:axId val="1099657312"/>
        <c:axId val="1102421472"/>
      </c:barChart>
      <c:catAx>
        <c:axId val="109965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421472"/>
        <c:crosses val="autoZero"/>
        <c:auto val="1"/>
        <c:lblAlgn val="ctr"/>
        <c:lblOffset val="100"/>
        <c:noMultiLvlLbl val="0"/>
      </c:catAx>
      <c:valAx>
        <c:axId val="1102421472"/>
        <c:scaling>
          <c:orientation val="minMax"/>
        </c:scaling>
        <c:delete val="1"/>
        <c:axPos val="l"/>
        <c:numFmt formatCode="General" sourceLinked="1"/>
        <c:majorTickMark val="none"/>
        <c:minorTickMark val="none"/>
        <c:tickLblPos val="nextTo"/>
        <c:crossAx val="1099657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Entertainment Categories</a:t>
            </a:r>
            <a:r>
              <a:rPr lang="en-US" baseline="0"/>
              <a:t> around JSE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Sheet2!$D$24</c:f>
              <c:strCache>
                <c:ptCount val="1"/>
                <c:pt idx="0">
                  <c:v>counts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Sheet2!$C$25:$C$26</c:f>
              <c:strCache>
                <c:ptCount val="2"/>
                <c:pt idx="0">
                  <c:v>General Entertainment</c:v>
                </c:pt>
                <c:pt idx="1">
                  <c:v>Nightclub</c:v>
                </c:pt>
              </c:strCache>
            </c:strRef>
          </c:cat>
          <c:val>
            <c:numRef>
              <c:f>Sheet2!$D$25:$D$26</c:f>
              <c:numCache>
                <c:formatCode>General</c:formatCode>
                <c:ptCount val="2"/>
                <c:pt idx="0">
                  <c:v>3</c:v>
                </c:pt>
                <c:pt idx="1">
                  <c:v>1</c:v>
                </c:pt>
              </c:numCache>
            </c:numRef>
          </c:val>
          <c:extLst>
            <c:ext xmlns:c16="http://schemas.microsoft.com/office/drawing/2014/chart" uri="{C3380CC4-5D6E-409C-BE32-E72D297353CC}">
              <c16:uniqueId val="{00000000-63B4-E949-89C5-DFC9B48B270A}"/>
            </c:ext>
          </c:extLst>
        </c:ser>
        <c:dLbls>
          <c:showLegendKey val="0"/>
          <c:showVal val="0"/>
          <c:showCatName val="0"/>
          <c:showSerName val="0"/>
          <c:showPercent val="0"/>
          <c:showBubbleSize val="0"/>
        </c:dLbls>
        <c:gapWidth val="219"/>
        <c:overlap val="-27"/>
        <c:axId val="1052087440"/>
        <c:axId val="1053182832"/>
      </c:barChart>
      <c:catAx>
        <c:axId val="105208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182832"/>
        <c:crosses val="autoZero"/>
        <c:auto val="1"/>
        <c:lblAlgn val="ctr"/>
        <c:lblOffset val="100"/>
        <c:noMultiLvlLbl val="0"/>
      </c:catAx>
      <c:valAx>
        <c:axId val="1053182832"/>
        <c:scaling>
          <c:orientation val="minMax"/>
        </c:scaling>
        <c:delete val="1"/>
        <c:axPos val="l"/>
        <c:numFmt formatCode="General" sourceLinked="1"/>
        <c:majorTickMark val="none"/>
        <c:minorTickMark val="none"/>
        <c:tickLblPos val="nextTo"/>
        <c:crossAx val="1052087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85000"/>
      </a:schemeClr>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Inathi Mcoteli</dc:creator>
  <cp:keywords/>
  <dc:description/>
  <cp:lastModifiedBy>Inathi Mcoteli</cp:lastModifiedBy>
  <cp:revision>1</cp:revision>
  <dcterms:created xsi:type="dcterms:W3CDTF">2021-07-02T02:57:00Z</dcterms:created>
  <dcterms:modified xsi:type="dcterms:W3CDTF">2021-07-02T03:10:00Z</dcterms:modified>
</cp:coreProperties>
</file>