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9E76A">
      <w:pPr>
        <w:spacing w:before="480" w:after="480" w:line="288" w:lineRule="auto"/>
        <w:jc w:val="both"/>
      </w:pPr>
      <w:r>
        <w:rPr>
          <w:rFonts w:ascii="Arial" w:hAnsi="Arial" w:eastAsia="等线" w:cs="Arial"/>
          <w:b/>
          <w:sz w:val="52"/>
        </w:rPr>
        <w:t>eNkamba Plateforme Numérique Intégrée RDC</w:t>
      </w:r>
      <w:r>
        <w:rPr>
          <w:rFonts w:hint="default" w:ascii="Arial" w:hAnsi="Arial" w:eastAsia="等线" w:cs="Arial"/>
          <w:b/>
          <w:sz w:val="52"/>
          <w:lang w:val="fr-FR"/>
        </w:rPr>
        <w:t xml:space="preserve"> </w:t>
      </w:r>
      <w:r>
        <w:rPr>
          <w:rFonts w:ascii="Arial" w:hAnsi="Arial" w:eastAsia="等线" w:cs="Arial"/>
          <w:b/>
          <w:sz w:val="52"/>
        </w:rPr>
        <w:t>(Version V</w:t>
      </w:r>
      <w:r>
        <w:rPr>
          <w:rFonts w:hint="default" w:ascii="Arial" w:hAnsi="Arial" w:eastAsia="等线" w:cs="Arial"/>
          <w:b/>
          <w:sz w:val="52"/>
          <w:lang w:val="fr-FR"/>
        </w:rPr>
        <w:t>1</w:t>
      </w:r>
      <w:r>
        <w:rPr>
          <w:rFonts w:ascii="Arial" w:hAnsi="Arial" w:eastAsia="等线" w:cs="Arial"/>
          <w:b/>
          <w:sz w:val="52"/>
        </w:rPr>
        <w:t>.0)</w:t>
      </w:r>
    </w:p>
    <w:p w14:paraId="6F1ED46E">
      <w:pPr>
        <w:spacing w:before="320" w:after="120" w:line="288" w:lineRule="auto"/>
        <w:jc w:val="both"/>
        <w:outlineLvl w:val="1"/>
      </w:pPr>
      <w:bookmarkStart w:id="0" w:name="heading_0"/>
      <w:r>
        <w:rPr>
          <w:rFonts w:ascii="Arial" w:hAnsi="Arial" w:eastAsia="等线" w:cs="Arial"/>
          <w:b/>
          <w:sz w:val="32"/>
        </w:rPr>
        <w:t>Notice d’évaluation du projet</w:t>
      </w:r>
      <w:bookmarkEnd w:id="0"/>
    </w:p>
    <w:p w14:paraId="4367AB29">
      <w:pPr>
        <w:numPr>
          <w:numId w:val="0"/>
        </w:numPr>
        <w:spacing w:before="120" w:after="120" w:line="288" w:lineRule="auto"/>
        <w:jc w:val="both"/>
      </w:pPr>
      <w:r>
        <w:rPr>
          <w:rFonts w:ascii="Arial" w:hAnsi="Arial" w:eastAsia="等线" w:cs="Arial"/>
          <w:sz w:val="22"/>
        </w:rPr>
        <w:t xml:space="preserve">Règles d’ajustement : Fonctions de niveau 3, connexion aux passerelles opérateurs, capacités de conformité locale de la RDC </w:t>
      </w:r>
      <w:r>
        <w:rPr>
          <w:rFonts w:hint="default" w:ascii="Arial" w:hAnsi="Arial" w:eastAsia="等线" w:cs="Arial"/>
          <w:sz w:val="22"/>
          <w:lang w:val="fr-FR"/>
        </w:rPr>
        <w:t>et étranger</w:t>
      </w:r>
      <w:r>
        <w:rPr>
          <w:rFonts w:ascii="Arial" w:hAnsi="Arial" w:eastAsia="等线" w:cs="Arial"/>
          <w:sz w:val="22"/>
        </w:rPr>
        <w:t xml:space="preserve">; optimisation uniquement des étapes de développement redondantes, renforcement de la conformité au contrôle des risques, complétion des détails des activités transfrontalières ; les jours-hommes de chaque sous-fonction dans les tableaux correspondent parfaitement aux jours-hommes agrégés des modules, sans écart de données ; enrichissement détaillé des fonctions de tous les modules pour s’adapter aux politiques des </w:t>
      </w:r>
      <w:r>
        <w:rPr>
          <w:rFonts w:hint="default" w:ascii="Arial" w:hAnsi="Arial" w:eastAsia="等线" w:cs="Arial"/>
          <w:sz w:val="22"/>
          <w:lang w:val="fr-FR"/>
        </w:rPr>
        <w:t>grande technologies</w:t>
      </w:r>
      <w:r>
        <w:rPr>
          <w:rFonts w:ascii="Arial" w:hAnsi="Arial" w:eastAsia="等线" w:cs="Arial"/>
          <w:sz w:val="22"/>
        </w:rPr>
        <w:t>, de la finance, des douanes et de la réglementation locale de la RDC</w:t>
      </w:r>
      <w:r>
        <w:rPr>
          <w:rFonts w:hint="default" w:ascii="Arial" w:hAnsi="Arial" w:eastAsia="等线" w:cs="Arial"/>
          <w:sz w:val="22"/>
          <w:lang w:val="fr-FR"/>
        </w:rPr>
        <w:t>,Afrique et le monde</w:t>
      </w:r>
      <w:r>
        <w:rPr>
          <w:rFonts w:ascii="Arial" w:hAnsi="Arial" w:eastAsia="等线" w:cs="Arial"/>
          <w:sz w:val="22"/>
        </w:rPr>
        <w:t>.</w:t>
      </w:r>
    </w:p>
    <w:p w14:paraId="6FE8CA3C">
      <w:pPr>
        <w:spacing w:before="380" w:after="140" w:line="288" w:lineRule="auto"/>
        <w:jc w:val="both"/>
        <w:outlineLvl w:val="0"/>
      </w:pPr>
      <w:bookmarkStart w:id="1" w:name="heading_1"/>
      <w:r>
        <w:rPr>
          <w:rFonts w:ascii="Arial" w:hAnsi="Arial" w:eastAsia="等线" w:cs="Arial"/>
          <w:b/>
          <w:sz w:val="36"/>
        </w:rPr>
        <w:t>I. Présentation générale du projet</w:t>
      </w:r>
      <w:bookmarkEnd w:id="1"/>
    </w:p>
    <w:p w14:paraId="34BDA267">
      <w:pPr>
        <w:spacing w:before="120" w:after="120" w:line="288" w:lineRule="auto"/>
        <w:jc w:val="both"/>
      </w:pPr>
      <w:r>
        <w:rPr>
          <w:rFonts w:ascii="Arial" w:hAnsi="Arial" w:eastAsia="等线" w:cs="Arial"/>
          <w:b/>
          <w:sz w:val="22"/>
        </w:rPr>
        <w:t>Nom du projet</w:t>
      </w:r>
      <w:r>
        <w:rPr>
          <w:rFonts w:ascii="Arial" w:hAnsi="Arial" w:eastAsia="等线" w:cs="Arial"/>
          <w:sz w:val="22"/>
        </w:rPr>
        <w:t xml:space="preserve"> : Plateforme Écosystème Numérique Intégrée eNkamba (Version commerciale dédiée aux </w:t>
      </w:r>
      <w:r>
        <w:rPr>
          <w:rFonts w:hint="default" w:ascii="Arial" w:hAnsi="Arial" w:eastAsia="等线" w:cs="Arial"/>
          <w:sz w:val="22"/>
          <w:lang w:val="fr-FR"/>
        </w:rPr>
        <w:t xml:space="preserve">utilisateur simple, </w:t>
      </w:r>
      <w:r>
        <w:rPr>
          <w:rFonts w:ascii="Arial" w:hAnsi="Arial" w:eastAsia="等线" w:cs="Arial"/>
          <w:sz w:val="22"/>
        </w:rPr>
        <w:t xml:space="preserve">opérateurs </w:t>
      </w:r>
      <w:r>
        <w:rPr>
          <w:rFonts w:ascii="Arial" w:hAnsi="Arial" w:eastAsia="等线" w:cs="Arial"/>
          <w:sz w:val="22"/>
          <w:lang w:val="fr-FR"/>
        </w:rPr>
        <w:t>économique</w:t>
      </w:r>
      <w:r>
        <w:rPr>
          <w:rFonts w:hint="default" w:ascii="Arial" w:hAnsi="Arial" w:eastAsia="等线" w:cs="Arial"/>
          <w:sz w:val="22"/>
          <w:lang w:val="fr-FR"/>
        </w:rPr>
        <w:t xml:space="preserve"> et</w:t>
      </w:r>
      <w:r>
        <w:rPr>
          <w:rFonts w:ascii="Arial" w:hAnsi="Arial" w:eastAsia="等线" w:cs="Arial"/>
          <w:sz w:val="22"/>
        </w:rPr>
        <w:t xml:space="preserve"> étatiques de la RDC)</w:t>
      </w:r>
    </w:p>
    <w:p w14:paraId="0130D8FA">
      <w:pPr>
        <w:spacing w:before="120" w:after="120" w:line="288" w:lineRule="auto"/>
        <w:jc w:val="both"/>
      </w:pPr>
      <w:r>
        <w:rPr>
          <w:rFonts w:ascii="Arial" w:hAnsi="Arial" w:eastAsia="等线" w:cs="Arial"/>
          <w:b/>
          <w:sz w:val="22"/>
        </w:rPr>
        <w:t>Contexte territorial du projet</w:t>
      </w:r>
      <w:r>
        <w:rPr>
          <w:rFonts w:ascii="Arial" w:hAnsi="Arial" w:eastAsia="等线" w:cs="Arial"/>
          <w:sz w:val="22"/>
        </w:rPr>
        <w:t xml:space="preserve"> : Plateforme développée sur mesure pour le principal opérateur</w:t>
      </w:r>
      <w:r>
        <w:rPr>
          <w:rFonts w:hint="default" w:ascii="Arial" w:hAnsi="Arial" w:eastAsia="等线" w:cs="Arial"/>
          <w:sz w:val="22"/>
          <w:lang w:val="fr-FR"/>
        </w:rPr>
        <w:t>s</w:t>
      </w:r>
      <w:r>
        <w:rPr>
          <w:rFonts w:ascii="Arial" w:hAnsi="Arial" w:eastAsia="等线" w:cs="Arial"/>
          <w:sz w:val="22"/>
        </w:rPr>
        <w:t xml:space="preserve"> étatique de la République Démocratique du Congo</w:t>
      </w:r>
      <w:r>
        <w:rPr>
          <w:rFonts w:hint="default" w:ascii="Arial" w:hAnsi="Arial" w:eastAsia="等线" w:cs="Arial"/>
          <w:sz w:val="22"/>
          <w:lang w:val="fr-FR"/>
        </w:rPr>
        <w:t xml:space="preserve"> et sa diapora dans monde</w:t>
      </w:r>
      <w:r>
        <w:rPr>
          <w:rFonts w:ascii="Arial" w:hAnsi="Arial" w:eastAsia="等线" w:cs="Arial"/>
          <w:sz w:val="22"/>
        </w:rPr>
        <w:t xml:space="preserve"> (centré sur Kinshasa). S’appuyant sur les ressources globales de l’opérateur : stations de communication, réseau de points de service, diffusion SMS, prélèvement sur forfait, base de données numéros utilisateurs, elle construit une plateforme intégrée adaptée aux réalités locales congolaises</w:t>
      </w:r>
      <w:r>
        <w:rPr>
          <w:rFonts w:hint="default" w:ascii="Arial" w:hAnsi="Arial" w:eastAsia="等线" w:cs="Arial"/>
          <w:sz w:val="22"/>
          <w:lang w:val="fr-FR"/>
        </w:rPr>
        <w:t>, Afrique et sa diaspora dans le monde</w:t>
      </w:r>
      <w:r>
        <w:rPr>
          <w:rFonts w:ascii="Arial" w:hAnsi="Arial" w:eastAsia="等线" w:cs="Arial"/>
          <w:sz w:val="22"/>
        </w:rPr>
        <w:t>. Elle ferme huit boucles métiers : communication sociale, commerce marchand, exécution de commandes locales, logistique transfrontalière, financement multi-devises, cercles sociaux, assistance intelligente et contrôle global. Elle dessert cinq catégories d’acteurs : particuliers consommateurs, commerçants physiques B2, fournisseurs publics et privés, flottes de transport transfrontalier et agents décentralisés hiérarchisés hors ligne.</w:t>
      </w:r>
    </w:p>
    <w:p w14:paraId="1AD1F7C2">
      <w:pPr>
        <w:spacing w:before="120" w:after="120" w:line="288" w:lineRule="auto"/>
        <w:jc w:val="both"/>
      </w:pPr>
      <w:r>
        <w:rPr>
          <w:rFonts w:ascii="Arial" w:hAnsi="Arial" w:eastAsia="等线" w:cs="Arial"/>
          <w:b/>
          <w:sz w:val="22"/>
        </w:rPr>
        <w:t>Canaux de livraison du projet (développement et livraison simultanés sur six terminaux)</w:t>
      </w:r>
      <w:r>
        <w:rPr>
          <w:rFonts w:ascii="Arial" w:hAnsi="Arial" w:eastAsia="等线" w:cs="Arial"/>
          <w:sz w:val="22"/>
        </w:rPr>
        <w:t xml:space="preserve"> : Application Android commerciale, application iOS mise sur les plateformes de téléchargement, back-office de gestion marchand Web, mini-programme léger pour chauffeurs logistiques, back-office de gestion global opérateur Web, poste de travail H5 pour agents hors ligne.</w:t>
      </w:r>
    </w:p>
    <w:p w14:paraId="5C482893">
      <w:pPr>
        <w:spacing w:before="120" w:after="120" w:line="288" w:lineRule="auto"/>
        <w:jc w:val="both"/>
      </w:pPr>
      <w:r>
        <w:rPr>
          <w:rFonts w:ascii="Arial" w:hAnsi="Arial" w:eastAsia="等线" w:cs="Arial"/>
          <w:sz w:val="22"/>
        </w:rPr>
        <w:t>double change en franc congolais (CDF) et dollar américain (USD)</w:t>
      </w:r>
      <w:r>
        <w:rPr>
          <w:rFonts w:hint="default" w:ascii="Arial" w:hAnsi="Arial" w:eastAsia="等线" w:cs="Arial"/>
          <w:sz w:val="22"/>
          <w:lang w:val="fr-FR"/>
        </w:rPr>
        <w:t xml:space="preserve"> et autres devises</w:t>
      </w:r>
      <w:r>
        <w:rPr>
          <w:rFonts w:ascii="Arial" w:hAnsi="Arial" w:eastAsia="等线" w:cs="Arial"/>
          <w:sz w:val="22"/>
        </w:rPr>
        <w:t xml:space="preserve"> en temps réel ; compatibilité avec les réseaux faibles </w:t>
      </w:r>
      <w:r>
        <w:rPr>
          <w:rFonts w:hint="default" w:ascii="Arial" w:hAnsi="Arial" w:eastAsia="等线" w:cs="Arial"/>
          <w:sz w:val="22"/>
          <w:lang w:val="fr-FR"/>
        </w:rPr>
        <w:t>universel</w:t>
      </w:r>
      <w:r>
        <w:rPr>
          <w:rFonts w:ascii="Arial" w:hAnsi="Arial" w:eastAsia="等线" w:cs="Arial"/>
          <w:sz w:val="22"/>
        </w:rPr>
        <w:t>, appareils Android bas de gamme, mise en cache hors connexion en cas de coupure de courant ou de perte de réseau ; respect total de la loi sur la confidentialité des données télécoms, du règlement sur la supervision des fonds transfrontaliers et des règles de conformité fiscale commerciale locale de la RDC ; connexion de l’ensemble des activités aux interfaces officielles des deux principaux opérateurs télécoms congolais.</w:t>
      </w:r>
    </w:p>
    <w:p w14:paraId="797D9B71">
      <w:pPr>
        <w:spacing w:before="120" w:after="120" w:line="288" w:lineRule="auto"/>
        <w:jc w:val="both"/>
      </w:pPr>
      <w:r>
        <w:rPr>
          <w:rFonts w:ascii="Arial" w:hAnsi="Arial" w:eastAsia="等线" w:cs="Arial"/>
          <w:b/>
          <w:sz w:val="22"/>
        </w:rPr>
        <w:t>Ajouts détaillés complémentaires</w:t>
      </w:r>
      <w:r>
        <w:rPr>
          <w:rFonts w:ascii="Arial" w:hAnsi="Arial" w:eastAsia="等线" w:cs="Arial"/>
          <w:sz w:val="22"/>
        </w:rPr>
        <w:t xml:space="preserve"> : Registre électronique douanier transfrontalier, interconnexion des activités des points de service opérateur, ouverture de comptes à risque pour agents hors ligne, journal d’audit de toutes les opérations métier, blocage bidirectionnel anti-fraude sur les fonds, éditeur visuel de textes multi-langues pour back-office, optimisation architecture pour flux à haut débit, adaptation mode sombre sur tous les terminaux, fonction de publication dégradée hiérarchisée des activités de la plateforme.</w:t>
      </w:r>
    </w:p>
    <w:p w14:paraId="7BB3C32D">
      <w:pPr>
        <w:spacing w:before="320" w:after="120" w:line="288" w:lineRule="auto"/>
        <w:jc w:val="both"/>
        <w:outlineLvl w:val="1"/>
      </w:pPr>
      <w:bookmarkStart w:id="2" w:name="heading_3"/>
      <w:r>
        <w:rPr>
          <w:rFonts w:ascii="Arial" w:hAnsi="Arial" w:eastAsia="等线" w:cs="Arial"/>
          <w:b/>
          <w:sz w:val="32"/>
        </w:rPr>
        <w:t xml:space="preserve">Module 1 : Système de messagerie instantanée IM unifié dédié </w:t>
      </w:r>
      <w:r>
        <w:rPr>
          <w:rFonts w:hint="default" w:ascii="Arial" w:hAnsi="Arial" w:eastAsia="等线" w:cs="Arial"/>
          <w:b/>
          <w:sz w:val="32"/>
          <w:lang w:val="fr-FR"/>
        </w:rPr>
        <w:t>au utilisateur</w:t>
      </w:r>
      <w:r>
        <w:rPr>
          <w:rFonts w:ascii="Arial" w:hAnsi="Arial" w:eastAsia="等线" w:cs="Arial"/>
          <w:b/>
          <w:sz w:val="32"/>
        </w:rPr>
        <w:t xml:space="preserve"> (agrégat initial du module :</w:t>
      </w:r>
      <w:bookmarkEnd w:id="2"/>
    </w:p>
    <w:p w14:paraId="74A72B1A">
      <w:pPr>
        <w:spacing w:before="300" w:after="120" w:line="288" w:lineRule="auto"/>
        <w:jc w:val="both"/>
        <w:outlineLvl w:val="2"/>
      </w:pPr>
      <w:bookmarkStart w:id="3" w:name="heading_4"/>
      <w:r>
        <w:rPr>
          <w:rFonts w:ascii="Arial" w:hAnsi="Arial" w:eastAsia="等线" w:cs="Arial"/>
          <w:b/>
          <w:sz w:val="30"/>
        </w:rPr>
        <w:t>Liste des fonctions de niveau 3 (enrichissement multidimensionnel)</w:t>
      </w:r>
      <w:bookmarkEnd w:id="3"/>
    </w:p>
    <w:p w14:paraId="50033E25">
      <w:pPr>
        <w:numPr>
          <w:ilvl w:val="0"/>
          <w:numId w:val="1"/>
        </w:numPr>
        <w:spacing w:before="120" w:after="120" w:line="288" w:lineRule="auto"/>
        <w:jc w:val="both"/>
      </w:pPr>
      <w:r>
        <w:rPr>
          <w:rFonts w:ascii="Arial" w:hAnsi="Arial" w:eastAsia="等线" w:cs="Arial"/>
          <w:sz w:val="22"/>
        </w:rPr>
        <w:t>Carnet de contacts natif opérateur : autorisation en un clic par numéro mobile opérateur, correspondance des contacts globaux, ajout en un clic des contacts des points de service de la ville, recrutement ciblé de groupes d’entreprise ; gestion en masse des listes blanches/noires depuis le back-office, blocage automatique des comptes à risque via synchronisation de la base de numéros anti-fraude de l’opérateur.</w:t>
      </w:r>
    </w:p>
    <w:p w14:paraId="69A5E2F7">
      <w:pPr>
        <w:numPr>
          <w:ilvl w:val="0"/>
          <w:numId w:val="2"/>
        </w:numPr>
        <w:spacing w:before="120" w:after="120" w:line="288" w:lineRule="auto"/>
        <w:jc w:val="both"/>
      </w:pPr>
      <w:r>
        <w:rPr>
          <w:rFonts w:ascii="Arial" w:hAnsi="Arial" w:eastAsia="等线" w:cs="Arial"/>
          <w:sz w:val="22"/>
        </w:rPr>
        <w:t>Capacités de communication cryptée : discussion privée cryptée de bout en bout, groupes de discussion cryptés à permissions hiérarchisées, transmission texte/emoji/image haute définition/voix/fichiers volumineux par segmentation, synchronisation multi-terminaux des messages hors connexion, accusés de lecture/réception/retrait, épinglage des conversations, mode ne pas déranger, blocage utilisateur, archivage des échanges, recherche par mot-clé global.</w:t>
      </w:r>
    </w:p>
    <w:p w14:paraId="3028AB02">
      <w:pPr>
        <w:numPr>
          <w:ilvl w:val="0"/>
          <w:numId w:val="3"/>
        </w:numPr>
        <w:spacing w:before="120" w:after="120" w:line="288" w:lineRule="auto"/>
        <w:jc w:val="both"/>
      </w:pPr>
      <w:r>
        <w:rPr>
          <w:rFonts w:ascii="Arial" w:hAnsi="Arial" w:eastAsia="等线" w:cs="Arial"/>
          <w:sz w:val="22"/>
        </w:rPr>
        <w:t>Centre de messagerie lié aux activités : envoi automatique de notifications pour huit scénarios : commandes e-commerce, étapes logistiques, entrées/sorties de fonds, remboursements et rapprochements, impayés forfaitaires, fin de trafic, annonces plateforme, partage des bénéfices agents ; boîte de messages classifiée indépendante, marquage comme lu en un clic, report d’envoi des messages, rappel pop-up obligatoire pour messages importants.</w:t>
      </w:r>
    </w:p>
    <w:p w14:paraId="3E3AFC7B">
      <w:pPr>
        <w:numPr>
          <w:ilvl w:val="0"/>
          <w:numId w:val="4"/>
        </w:numPr>
        <w:spacing w:before="120" w:after="120" w:line="288" w:lineRule="auto"/>
        <w:jc w:val="both"/>
      </w:pPr>
      <w:r>
        <w:rPr>
          <w:rFonts w:ascii="Arial" w:hAnsi="Arial" w:eastAsia="等线" w:cs="Arial"/>
          <w:sz w:val="22"/>
        </w:rPr>
        <w:t>Capacités de dynamique sociale locale : Stories temporaires personnelles, publication textes/vidéo courtes, likes/commentaires/messages privés/partages, regroupement des contacts, mode économie de trafic utilisant le forfait gratuit opérateur pour les publications, filigrane exclusif opérateur sur les dynamiques, blocage à distance des contenus illicites depuis le back-office.</w:t>
      </w:r>
    </w:p>
    <w:p w14:paraId="545431C6">
      <w:pPr>
        <w:numPr>
          <w:ilvl w:val="0"/>
          <w:numId w:val="5"/>
        </w:numPr>
        <w:spacing w:before="120" w:after="120" w:line="288" w:lineRule="auto"/>
        <w:jc w:val="both"/>
      </w:pPr>
      <w:r>
        <w:rPr>
          <w:rFonts w:ascii="Arial" w:hAnsi="Arial" w:eastAsia="等线" w:cs="Arial"/>
          <w:sz w:val="22"/>
        </w:rPr>
        <w:t xml:space="preserve">Appels audio/vidéo adaptés aux réseaux faibles : appels audio/vidéo à réduction de bruit adaptés à la faible bande passante congolaise, statistiques temps réel de consommation de trafic, déduction du trafic des appels sur le forfait opérateur, stockage gratuit des messages sur cloud pendant </w:t>
      </w:r>
      <w:r>
        <w:rPr>
          <w:rFonts w:hint="default" w:ascii="Arial" w:hAnsi="Arial" w:eastAsia="等线" w:cs="Arial"/>
          <w:sz w:val="22"/>
          <w:lang w:val="fr-FR"/>
        </w:rPr>
        <w:t>2-</w:t>
      </w:r>
      <w:r>
        <w:rPr>
          <w:rFonts w:ascii="Arial" w:hAnsi="Arial" w:eastAsia="等线" w:cs="Arial"/>
          <w:sz w:val="22"/>
        </w:rPr>
        <w:t>7 jours, sauvegarde locale cryptée des historiques de discussion et migration.</w:t>
      </w:r>
    </w:p>
    <w:p w14:paraId="62CE42C8">
      <w:pPr>
        <w:numPr>
          <w:ilvl w:val="0"/>
          <w:numId w:val="6"/>
        </w:numPr>
        <w:spacing w:before="120" w:after="120" w:line="288" w:lineRule="auto"/>
        <w:jc w:val="both"/>
      </w:pPr>
      <w:r>
        <w:rPr>
          <w:rFonts w:ascii="Arial" w:hAnsi="Arial" w:eastAsia="等线" w:cs="Arial"/>
          <w:sz w:val="22"/>
        </w:rPr>
        <w:t>Capacités de contrôle des risques et maintenance opérateur : habillages de discussion exclusifs, interception anti-fraude sur les formulations, marquage et traçabilité des échanges liés aux fonds, limitation de débit ou blocage des comptes, basculement en un clic entre trois langues, connexion au canal de diffusion officiel opérateur, file de messages à haut débit, journal d’audit conservant l’ensemble des interactions de discussion.</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1DC94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18238A8">
            <w:pPr>
              <w:spacing w:before="120" w:after="120" w:line="288" w:lineRule="auto"/>
              <w:jc w:val="both"/>
            </w:pPr>
            <w:r>
              <w:rPr>
                <w:rFonts w:ascii="Arial" w:hAnsi="Arial" w:eastAsia="等线" w:cs="Arial"/>
                <w:sz w:val="22"/>
              </w:rPr>
              <w:t>Sous-module détaillé</w:t>
            </w:r>
          </w:p>
        </w:tc>
        <w:tc>
          <w:tcPr>
            <w:tcW w:w="2760" w:type="dxa"/>
            <w:tcMar>
              <w:top w:w="60" w:type="dxa"/>
              <w:left w:w="120" w:type="dxa"/>
              <w:bottom w:w="30" w:type="dxa"/>
              <w:right w:w="120" w:type="dxa"/>
            </w:tcMar>
          </w:tcPr>
          <w:p w14:paraId="0EDEF234">
            <w:pPr>
              <w:spacing w:before="120" w:after="120" w:line="288" w:lineRule="auto"/>
              <w:jc w:val="both"/>
            </w:pPr>
          </w:p>
        </w:tc>
        <w:tc>
          <w:tcPr>
            <w:tcW w:w="2760" w:type="dxa"/>
            <w:tcMar>
              <w:top w:w="60" w:type="dxa"/>
              <w:left w:w="120" w:type="dxa"/>
              <w:bottom w:w="30" w:type="dxa"/>
              <w:right w:w="120" w:type="dxa"/>
            </w:tcMar>
          </w:tcPr>
          <w:p w14:paraId="140AB37D">
            <w:pPr>
              <w:spacing w:before="120" w:after="120" w:line="288" w:lineRule="auto"/>
              <w:jc w:val="both"/>
            </w:pPr>
            <w:r>
              <w:rPr>
                <w:rFonts w:ascii="Arial" w:hAnsi="Arial" w:eastAsia="等线" w:cs="Arial"/>
                <w:sz w:val="22"/>
              </w:rPr>
              <w:t>Description des travaux de développement</w:t>
            </w:r>
          </w:p>
        </w:tc>
      </w:tr>
      <w:tr w14:paraId="70D8CE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9D4DD31">
            <w:pPr>
              <w:spacing w:before="120" w:after="120" w:line="288" w:lineRule="auto"/>
              <w:jc w:val="both"/>
            </w:pPr>
            <w:r>
              <w:rPr>
                <w:rFonts w:ascii="Arial" w:hAnsi="Arial" w:eastAsia="等线" w:cs="Arial"/>
                <w:sz w:val="22"/>
              </w:rPr>
              <w:t>Architecture de base IM, connexion passerelle communication opérateur, architecture synchronisation hors connexion</w:t>
            </w:r>
          </w:p>
        </w:tc>
        <w:tc>
          <w:tcPr>
            <w:tcW w:w="2760" w:type="dxa"/>
            <w:tcMar>
              <w:top w:w="60" w:type="dxa"/>
              <w:left w:w="120" w:type="dxa"/>
              <w:bottom w:w="30" w:type="dxa"/>
              <w:right w:w="120" w:type="dxa"/>
            </w:tcMar>
          </w:tcPr>
          <w:p w14:paraId="79828B9F">
            <w:pPr>
              <w:spacing w:before="120" w:after="120" w:line="288" w:lineRule="auto"/>
              <w:jc w:val="both"/>
              <w:rPr>
                <w:rFonts w:hint="default"/>
                <w:lang w:val="fr-FR"/>
              </w:rPr>
            </w:pPr>
          </w:p>
        </w:tc>
        <w:tc>
          <w:tcPr>
            <w:tcW w:w="2760" w:type="dxa"/>
            <w:tcMar>
              <w:top w:w="60" w:type="dxa"/>
              <w:left w:w="120" w:type="dxa"/>
              <w:bottom w:w="30" w:type="dxa"/>
              <w:right w:w="120" w:type="dxa"/>
            </w:tcMar>
          </w:tcPr>
          <w:p w14:paraId="4011113E">
            <w:pPr>
              <w:spacing w:before="120" w:after="120" w:line="288" w:lineRule="auto"/>
              <w:jc w:val="both"/>
            </w:pPr>
            <w:r>
              <w:rPr>
                <w:rFonts w:ascii="Arial" w:hAnsi="Arial" w:eastAsia="等线" w:cs="Arial"/>
                <w:sz w:val="22"/>
              </w:rPr>
              <w:t>Mise en place architecture messagerie haut débit, authentification interface opérateur, logique synchronisation messages hors connexion, réglage inter-système des interfaces serveur</w:t>
            </w:r>
          </w:p>
        </w:tc>
      </w:tr>
      <w:tr w14:paraId="2A27C6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E0952F">
            <w:pPr>
              <w:spacing w:before="120" w:after="120" w:line="288" w:lineRule="auto"/>
              <w:jc w:val="both"/>
            </w:pPr>
            <w:r>
              <w:rPr>
                <w:rFonts w:ascii="Arial" w:hAnsi="Arial" w:eastAsia="等线" w:cs="Arial"/>
                <w:sz w:val="22"/>
              </w:rPr>
              <w:t>Appels audio/vidéo réduction bruit adaptés réseaux faibles, compression segmentation fichiers, développement stockage cloud</w:t>
            </w:r>
          </w:p>
        </w:tc>
        <w:tc>
          <w:tcPr>
            <w:tcW w:w="2760" w:type="dxa"/>
            <w:tcMar>
              <w:top w:w="60" w:type="dxa"/>
              <w:left w:w="120" w:type="dxa"/>
              <w:bottom w:w="30" w:type="dxa"/>
              <w:right w:w="120" w:type="dxa"/>
            </w:tcMar>
          </w:tcPr>
          <w:p w14:paraId="3B64E34A">
            <w:pPr>
              <w:spacing w:before="120" w:after="120" w:line="288" w:lineRule="auto"/>
              <w:jc w:val="both"/>
            </w:pPr>
          </w:p>
        </w:tc>
        <w:tc>
          <w:tcPr>
            <w:tcW w:w="2760" w:type="dxa"/>
            <w:tcMar>
              <w:top w:w="60" w:type="dxa"/>
              <w:left w:w="120" w:type="dxa"/>
              <w:bottom w:w="30" w:type="dxa"/>
              <w:right w:w="120" w:type="dxa"/>
            </w:tcMar>
          </w:tcPr>
          <w:p w14:paraId="7F7610FE">
            <w:pPr>
              <w:spacing w:before="120" w:after="120" w:line="288" w:lineRule="auto"/>
              <w:jc w:val="both"/>
            </w:pPr>
            <w:r>
              <w:rPr>
                <w:rFonts w:ascii="Arial" w:hAnsi="Arial" w:eastAsia="等线" w:cs="Arial"/>
                <w:sz w:val="22"/>
              </w:rPr>
              <w:t>Optimisation protocole de transmission adaptée aux bandes passantes africaines, cryptage et segmentation fichiers, réduction bruit appels, développement statistiques trafic</w:t>
            </w:r>
          </w:p>
        </w:tc>
      </w:tr>
      <w:tr w14:paraId="01B616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F139719">
            <w:pPr>
              <w:spacing w:before="120" w:after="120" w:line="288" w:lineRule="auto"/>
              <w:jc w:val="both"/>
            </w:pPr>
            <w:r>
              <w:rPr>
                <w:rFonts w:ascii="Arial" w:hAnsi="Arial" w:eastAsia="等线" w:cs="Arial"/>
                <w:sz w:val="22"/>
              </w:rPr>
              <w:t>Envoi notifications liées aux huit activités, dynamiques sociales, correspondance carnet contacts opérateur</w:t>
            </w:r>
          </w:p>
        </w:tc>
        <w:tc>
          <w:tcPr>
            <w:tcW w:w="2760" w:type="dxa"/>
            <w:tcMar>
              <w:top w:w="60" w:type="dxa"/>
              <w:left w:w="120" w:type="dxa"/>
              <w:bottom w:w="30" w:type="dxa"/>
              <w:right w:w="120" w:type="dxa"/>
            </w:tcMar>
          </w:tcPr>
          <w:p w14:paraId="7CBD0FD5">
            <w:pPr>
              <w:spacing w:before="120" w:after="120" w:line="288" w:lineRule="auto"/>
              <w:jc w:val="both"/>
            </w:pPr>
          </w:p>
        </w:tc>
        <w:tc>
          <w:tcPr>
            <w:tcW w:w="2760" w:type="dxa"/>
            <w:tcMar>
              <w:top w:w="60" w:type="dxa"/>
              <w:left w:w="120" w:type="dxa"/>
              <w:bottom w:w="30" w:type="dxa"/>
              <w:right w:w="120" w:type="dxa"/>
            </w:tcMar>
          </w:tcPr>
          <w:p w14:paraId="3E613E9C">
            <w:pPr>
              <w:spacing w:before="120" w:after="120" w:line="288" w:lineRule="auto"/>
              <w:jc w:val="both"/>
            </w:pPr>
            <w:r>
              <w:rPr>
                <w:rFonts w:ascii="Arial" w:hAnsi="Arial" w:eastAsia="等线" w:cs="Arial"/>
                <w:sz w:val="22"/>
              </w:rPr>
              <w:t>Logique de notification liée aux commandes/fonds/logistique, Stories, correspondance carnet contacts opérateur</w:t>
            </w:r>
          </w:p>
        </w:tc>
      </w:tr>
      <w:tr w14:paraId="64BAB5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74247F1">
            <w:pPr>
              <w:spacing w:before="120" w:after="120" w:line="288" w:lineRule="auto"/>
              <w:jc w:val="both"/>
            </w:pPr>
            <w:r>
              <w:rPr>
                <w:rFonts w:ascii="Arial" w:hAnsi="Arial" w:eastAsia="等线" w:cs="Arial"/>
                <w:sz w:val="22"/>
              </w:rPr>
              <w:t>Adaptation front sur six terminaux, UI trois langues, développement pages complètes de conversation</w:t>
            </w:r>
          </w:p>
        </w:tc>
        <w:tc>
          <w:tcPr>
            <w:tcW w:w="2760" w:type="dxa"/>
            <w:tcMar>
              <w:top w:w="60" w:type="dxa"/>
              <w:left w:w="120" w:type="dxa"/>
              <w:bottom w:w="30" w:type="dxa"/>
              <w:right w:w="120" w:type="dxa"/>
            </w:tcMar>
          </w:tcPr>
          <w:p w14:paraId="5BBF841B">
            <w:pPr>
              <w:spacing w:before="120" w:after="120" w:line="288" w:lineRule="auto"/>
              <w:jc w:val="both"/>
            </w:pPr>
          </w:p>
        </w:tc>
        <w:tc>
          <w:tcPr>
            <w:tcW w:w="2760" w:type="dxa"/>
            <w:tcMar>
              <w:top w:w="60" w:type="dxa"/>
              <w:left w:w="120" w:type="dxa"/>
              <w:bottom w:w="30" w:type="dxa"/>
              <w:right w:w="120" w:type="dxa"/>
            </w:tcMar>
          </w:tcPr>
          <w:p w14:paraId="6CF28F55">
            <w:pPr>
              <w:spacing w:before="120" w:after="120" w:line="288" w:lineRule="auto"/>
              <w:jc w:val="both"/>
            </w:pPr>
            <w:r>
              <w:rPr>
                <w:rFonts w:ascii="Arial" w:hAnsi="Arial" w:eastAsia="等线" w:cs="Arial"/>
                <w:sz w:val="22"/>
              </w:rPr>
              <w:t>Adaptation APP/mini-programme/Web back-office, encapsulation multi-langues, mode sombre, développement interface conversation</w:t>
            </w:r>
          </w:p>
        </w:tc>
      </w:tr>
      <w:tr w14:paraId="508776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1D2553">
            <w:pPr>
              <w:spacing w:before="120" w:after="120" w:line="288" w:lineRule="auto"/>
              <w:jc w:val="both"/>
            </w:pPr>
            <w:r>
              <w:rPr>
                <w:rFonts w:ascii="Arial" w:hAnsi="Arial" w:eastAsia="等线" w:cs="Arial"/>
                <w:sz w:val="22"/>
              </w:rPr>
              <w:t>Contrôle des risques anti-fraude IM, journal d’audit, gestion back-office, blocage comptes</w:t>
            </w:r>
          </w:p>
        </w:tc>
        <w:tc>
          <w:tcPr>
            <w:tcW w:w="2760" w:type="dxa"/>
            <w:tcMar>
              <w:top w:w="60" w:type="dxa"/>
              <w:left w:w="120" w:type="dxa"/>
              <w:bottom w:w="30" w:type="dxa"/>
              <w:right w:w="120" w:type="dxa"/>
            </w:tcMar>
          </w:tcPr>
          <w:p w14:paraId="58944BD9">
            <w:pPr>
              <w:spacing w:before="120" w:after="120" w:line="288" w:lineRule="auto"/>
              <w:jc w:val="both"/>
            </w:pPr>
          </w:p>
        </w:tc>
        <w:tc>
          <w:tcPr>
            <w:tcW w:w="2760" w:type="dxa"/>
            <w:tcMar>
              <w:top w:w="60" w:type="dxa"/>
              <w:left w:w="120" w:type="dxa"/>
              <w:bottom w:w="30" w:type="dxa"/>
              <w:right w:w="120" w:type="dxa"/>
            </w:tcMar>
          </w:tcPr>
          <w:p w14:paraId="05175057">
            <w:pPr>
              <w:spacing w:before="120" w:after="120" w:line="288" w:lineRule="auto"/>
              <w:jc w:val="both"/>
            </w:pPr>
            <w:r>
              <w:rPr>
                <w:rFonts w:ascii="Arial" w:hAnsi="Arial" w:eastAsia="等线" w:cs="Arial"/>
                <w:sz w:val="22"/>
              </w:rPr>
              <w:t>Interception mots sensibles, contrôle risques numéros, traçabilité échanges, permissions back-office, archivage journaux</w:t>
            </w:r>
          </w:p>
        </w:tc>
      </w:tr>
    </w:tbl>
    <w:p w14:paraId="0D862D6B">
      <w:pPr>
        <w:spacing w:before="320" w:after="120" w:line="288" w:lineRule="auto"/>
        <w:jc w:val="both"/>
        <w:outlineLvl w:val="1"/>
      </w:pPr>
      <w:bookmarkStart w:id="4" w:name="heading_6"/>
      <w:r>
        <w:rPr>
          <w:rFonts w:ascii="Arial" w:hAnsi="Arial" w:eastAsia="等线" w:cs="Arial"/>
          <w:b/>
          <w:sz w:val="32"/>
        </w:rPr>
        <w:t>Module 2 : Système e-commerce B2B2C + exécution de commandes locales de proximité (agrégat initial du module)</w:t>
      </w:r>
      <w:bookmarkEnd w:id="4"/>
    </w:p>
    <w:p w14:paraId="384E5295">
      <w:pPr>
        <w:spacing w:before="300" w:after="120" w:line="288" w:lineRule="auto"/>
        <w:jc w:val="both"/>
        <w:outlineLvl w:val="2"/>
      </w:pPr>
      <w:bookmarkStart w:id="5" w:name="heading_7"/>
      <w:r>
        <w:rPr>
          <w:rFonts w:ascii="Arial" w:hAnsi="Arial" w:eastAsia="等线" w:cs="Arial"/>
          <w:b/>
          <w:sz w:val="30"/>
        </w:rPr>
        <w:t>Liste des fonctions de niveau 3 (enrichissement des activités locales globales)</w:t>
      </w:r>
      <w:bookmarkEnd w:id="5"/>
    </w:p>
    <w:p w14:paraId="50B11E20">
      <w:pPr>
        <w:numPr>
          <w:ilvl w:val="0"/>
          <w:numId w:val="7"/>
        </w:numPr>
        <w:spacing w:before="120" w:after="120" w:line="288" w:lineRule="auto"/>
        <w:jc w:val="both"/>
      </w:pPr>
      <w:r>
        <w:rPr>
          <w:rFonts w:ascii="Arial" w:hAnsi="Arial" w:eastAsia="等线" w:cs="Arial"/>
          <w:sz w:val="22"/>
        </w:rPr>
        <w:t>Système d’inscription marchand à trois niveaux : trois canaux d’inscription : micro-marchands particuliers, marchands avec statut entreprise, marchands partenaires publics et privés opérateur ; vérification des qualifications en ligne, signature électronique conforme, personnalisation visuelle de la boutique, déclaration hiérarchisée des catégories, paiement de caution à plusieurs paliers, étiquette de soutien trafic opérateur pour marchands, canal d’inscription décentralisé aux points de service hors ligne.</w:t>
      </w:r>
    </w:p>
    <w:p w14:paraId="15B00E52">
      <w:pPr>
        <w:numPr>
          <w:ilvl w:val="0"/>
          <w:numId w:val="8"/>
        </w:numPr>
        <w:spacing w:before="120" w:after="120" w:line="288" w:lineRule="auto"/>
        <w:jc w:val="both"/>
      </w:pPr>
      <w:r>
        <w:rPr>
          <w:rFonts w:ascii="Arial" w:hAnsi="Arial" w:eastAsia="等线" w:cs="Arial"/>
          <w:sz w:val="22"/>
        </w:rPr>
        <w:t>Système fourniture en gros B2B transfrontalier : inscription fournisseurs amont, contrôle des permissions de distribution régionale, tarification dégressive de gros, distribution décentralisée des revendeurs, commandes groupées marchandises en vrac, rapprochement et règlement en masse, saisie traçabilité marchandises transfrontalières, import en masse des fiches produits, verrouillage stock en gros, back-office commandes d’achat exclusif secteur public et privé.</w:t>
      </w:r>
    </w:p>
    <w:p w14:paraId="2EF72F38">
      <w:pPr>
        <w:numPr>
          <w:ilvl w:val="0"/>
          <w:numId w:val="9"/>
        </w:numPr>
        <w:spacing w:before="120" w:after="120" w:line="288" w:lineRule="auto"/>
        <w:jc w:val="both"/>
      </w:pPr>
      <w:r>
        <w:rPr>
          <w:rFonts w:ascii="Arial" w:hAnsi="Arial" w:eastAsia="等线" w:cs="Arial"/>
          <w:sz w:val="22"/>
        </w:rPr>
        <w:t>Boutique de détail B2C globale : classification multi-niveaux des produits, traçabilité unique par code-barres, stock SKU multi-caractéristiques, prévente et limitation des quantités, achats groupés et distribution par parrainage, panier fusionné pour règlement, stockage cloud des adresses multiples, affichage prix double devise en temps réel, modèle de frais de livraison intelligent, règlement fractionné, alerte IM sur variation des stocks.</w:t>
      </w:r>
    </w:p>
    <w:p w14:paraId="2BBCAFCD">
      <w:pPr>
        <w:numPr>
          <w:ilvl w:val="0"/>
          <w:numId w:val="10"/>
        </w:numPr>
        <w:spacing w:before="120" w:after="120" w:line="288" w:lineRule="auto"/>
        <w:jc w:val="both"/>
      </w:pPr>
      <w:r>
        <w:rPr>
          <w:rFonts w:ascii="Arial" w:hAnsi="Arial" w:eastAsia="等线" w:cs="Arial"/>
          <w:sz w:val="22"/>
        </w:rPr>
        <w:t>Sept types d’activités de proximité complètes (réplique complète de Meituan) : livraison repas, épicerie fraîche, nettoyage domestique, réparation électroménager, hôtels et hébergements, billetterie transfrontalière, livraison instantanée ville ; zone de livraison par clôture électronique, planification intelligente livreurs, tarification dégressive selon distance, commande à créneau horaire, double validation retrait sur place/livraison, indemnisation retard, planification horaires marchands, calcul performance livreurs.</w:t>
      </w:r>
    </w:p>
    <w:p w14:paraId="57155571">
      <w:pPr>
        <w:numPr>
          <w:ilvl w:val="0"/>
          <w:numId w:val="11"/>
        </w:numPr>
        <w:spacing w:before="120" w:after="120" w:line="288" w:lineRule="auto"/>
        <w:jc w:val="both"/>
      </w:pPr>
      <w:r>
        <w:rPr>
          <w:rFonts w:ascii="Arial" w:hAnsi="Arial" w:eastAsia="等线" w:cs="Arial"/>
          <w:sz w:val="22"/>
        </w:rPr>
        <w:t>Boucle de vie complète des commandes : circulation sept états de commande, remboursement partiel/total hiérarchisé, arbitrage humain plateforme, assurance livraison, édition facture fiscale électronique, traçabilité complète de la commande, blocage des commandes à risque anormal, lien registre électronique douanier des commandes transfrontalières.</w:t>
      </w:r>
    </w:p>
    <w:p w14:paraId="3C08A8BE">
      <w:pPr>
        <w:numPr>
          <w:ilvl w:val="0"/>
          <w:numId w:val="12"/>
        </w:numPr>
        <w:spacing w:before="120" w:after="120" w:line="288" w:lineRule="auto"/>
        <w:jc w:val="both"/>
      </w:pPr>
      <w:r>
        <w:rPr>
          <w:rFonts w:ascii="Arial" w:hAnsi="Arial" w:eastAsia="等线" w:cs="Arial"/>
          <w:sz w:val="22"/>
        </w:rPr>
        <w:t>Système marketing lié à l’opérateur : double système de coupons plateforme/marchand, réductions et ventes flash, pop-up publicité page d’accueil, programme points fidélité, parrainage et ristournes, modèle activité saisonnière, échange points forfait contre avantages boutique, offres limitées exclusives opérateur, tableau de bord analyse des retours marketing.</w:t>
      </w:r>
    </w:p>
    <w:p w14:paraId="1B85B35C">
      <w:pPr>
        <w:numPr>
          <w:ilvl w:val="0"/>
          <w:numId w:val="13"/>
        </w:numPr>
        <w:spacing w:before="120" w:after="120" w:line="288" w:lineRule="auto"/>
        <w:jc w:val="both"/>
      </w:pPr>
      <w:r>
        <w:rPr>
          <w:rFonts w:ascii="Arial" w:hAnsi="Arial" w:eastAsia="等线" w:cs="Arial"/>
          <w:sz w:val="22"/>
        </w:rPr>
        <w:t>Capacités back-office global marchand : grand écran visuel chiffres recettes, contrôle stock, planification livreurs, gestion avis, export rapprochements, configuration autonome des frais de service, contrôle risques produits bas prix, réponse automatique IM service client marchand, interconnexion rapprochements marchands aux points de service hors ligne.</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23D5E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3ACCFD8">
            <w:pPr>
              <w:spacing w:before="120" w:after="120" w:line="288" w:lineRule="auto"/>
              <w:jc w:val="both"/>
            </w:pPr>
            <w:r>
              <w:rPr>
                <w:rFonts w:ascii="Arial" w:hAnsi="Arial" w:eastAsia="等线" w:cs="Arial"/>
                <w:sz w:val="22"/>
              </w:rPr>
              <w:t>Sous-module détaillé</w:t>
            </w:r>
          </w:p>
        </w:tc>
        <w:tc>
          <w:tcPr>
            <w:tcW w:w="2760" w:type="dxa"/>
            <w:tcMar>
              <w:top w:w="60" w:type="dxa"/>
              <w:left w:w="120" w:type="dxa"/>
              <w:bottom w:w="30" w:type="dxa"/>
              <w:right w:w="120" w:type="dxa"/>
            </w:tcMar>
          </w:tcPr>
          <w:p w14:paraId="23BC8CCB">
            <w:pPr>
              <w:spacing w:before="120" w:after="120" w:line="288" w:lineRule="auto"/>
              <w:jc w:val="both"/>
            </w:pPr>
          </w:p>
        </w:tc>
        <w:tc>
          <w:tcPr>
            <w:tcW w:w="2760" w:type="dxa"/>
            <w:tcMar>
              <w:top w:w="60" w:type="dxa"/>
              <w:left w:w="120" w:type="dxa"/>
              <w:bottom w:w="30" w:type="dxa"/>
              <w:right w:w="120" w:type="dxa"/>
            </w:tcMar>
          </w:tcPr>
          <w:p w14:paraId="43558BC8">
            <w:pPr>
              <w:spacing w:before="120" w:after="120" w:line="288" w:lineRule="auto"/>
              <w:jc w:val="both"/>
            </w:pPr>
            <w:r>
              <w:rPr>
                <w:rFonts w:ascii="Arial" w:hAnsi="Arial" w:eastAsia="等线" w:cs="Arial"/>
                <w:sz w:val="22"/>
              </w:rPr>
              <w:t>Description des travaux de développement</w:t>
            </w:r>
          </w:p>
        </w:tc>
      </w:tr>
      <w:tr w14:paraId="0A1A7E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D0FC82">
            <w:pPr>
              <w:spacing w:before="120" w:after="120" w:line="288" w:lineRule="auto"/>
              <w:jc w:val="both"/>
            </w:pPr>
            <w:r>
              <w:rPr>
                <w:rFonts w:ascii="Arial" w:hAnsi="Arial" w:eastAsia="等线" w:cs="Arial"/>
                <w:sz w:val="22"/>
              </w:rPr>
              <w:t>Page d’accueil boutique C, recherche, panier, adresses, espace avantages opérateur</w:t>
            </w:r>
          </w:p>
        </w:tc>
        <w:tc>
          <w:tcPr>
            <w:tcW w:w="2760" w:type="dxa"/>
            <w:tcMar>
              <w:top w:w="60" w:type="dxa"/>
              <w:left w:w="120" w:type="dxa"/>
              <w:bottom w:w="30" w:type="dxa"/>
              <w:right w:w="120" w:type="dxa"/>
            </w:tcMar>
          </w:tcPr>
          <w:p w14:paraId="6DDA30D2">
            <w:pPr>
              <w:spacing w:before="120" w:after="120" w:line="288" w:lineRule="auto"/>
              <w:jc w:val="both"/>
            </w:pPr>
          </w:p>
        </w:tc>
        <w:tc>
          <w:tcPr>
            <w:tcW w:w="2760" w:type="dxa"/>
            <w:tcMar>
              <w:top w:w="60" w:type="dxa"/>
              <w:left w:w="120" w:type="dxa"/>
              <w:bottom w:w="30" w:type="dxa"/>
              <w:right w:w="120" w:type="dxa"/>
            </w:tcMar>
          </w:tcPr>
          <w:p w14:paraId="4A91BEFE">
            <w:pPr>
              <w:spacing w:before="120" w:after="120" w:line="288" w:lineRule="auto"/>
              <w:jc w:val="both"/>
            </w:pPr>
            <w:r>
              <w:rPr>
                <w:rFonts w:ascii="Arial" w:hAnsi="Arial" w:eastAsia="等线" w:cs="Arial"/>
                <w:sz w:val="22"/>
              </w:rPr>
              <w:t>Mise en place chaîne principale boutique, espace déduction forfait, alerte stock, adaptation front double devise</w:t>
            </w:r>
          </w:p>
        </w:tc>
      </w:tr>
      <w:tr w14:paraId="1248DF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852848C">
            <w:pPr>
              <w:spacing w:before="120" w:after="120" w:line="288" w:lineRule="auto"/>
              <w:jc w:val="both"/>
            </w:pPr>
            <w:r>
              <w:rPr>
                <w:rFonts w:ascii="Arial" w:hAnsi="Arial" w:eastAsia="等线" w:cs="Arial"/>
                <w:sz w:val="22"/>
              </w:rPr>
              <w:t>Règlement commande, arbitrage remboursement, édition facture, assurance, traçabilité commande</w:t>
            </w:r>
          </w:p>
        </w:tc>
        <w:tc>
          <w:tcPr>
            <w:tcW w:w="2760" w:type="dxa"/>
            <w:tcMar>
              <w:top w:w="60" w:type="dxa"/>
              <w:left w:w="120" w:type="dxa"/>
              <w:bottom w:w="30" w:type="dxa"/>
              <w:right w:w="120" w:type="dxa"/>
            </w:tcMar>
          </w:tcPr>
          <w:p w14:paraId="05F0EB64">
            <w:pPr>
              <w:spacing w:before="120" w:after="120" w:line="288" w:lineRule="auto"/>
              <w:jc w:val="both"/>
            </w:pPr>
          </w:p>
        </w:tc>
        <w:tc>
          <w:tcPr>
            <w:tcW w:w="2760" w:type="dxa"/>
            <w:tcMar>
              <w:top w:w="60" w:type="dxa"/>
              <w:left w:w="120" w:type="dxa"/>
              <w:bottom w:w="30" w:type="dxa"/>
              <w:right w:w="120" w:type="dxa"/>
            </w:tcMar>
          </w:tcPr>
          <w:p w14:paraId="1B431368">
            <w:pPr>
              <w:spacing w:before="120" w:after="120" w:line="288" w:lineRule="auto"/>
              <w:jc w:val="both"/>
            </w:pPr>
            <w:r>
              <w:rPr>
                <w:rFonts w:ascii="Arial" w:hAnsi="Arial" w:eastAsia="等线" w:cs="Arial"/>
                <w:sz w:val="22"/>
              </w:rPr>
              <w:t>Logique remboursement arbitrage, facturation transfrontalière, audit commande, développement règles indemnisation</w:t>
            </w:r>
          </w:p>
        </w:tc>
      </w:tr>
      <w:tr w14:paraId="7238A1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2E54535">
            <w:pPr>
              <w:spacing w:before="120" w:after="120" w:line="288" w:lineRule="auto"/>
              <w:jc w:val="both"/>
            </w:pPr>
            <w:r>
              <w:rPr>
                <w:rFonts w:ascii="Arial" w:hAnsi="Arial" w:eastAsia="等线" w:cs="Arial"/>
                <w:sz w:val="22"/>
              </w:rPr>
              <w:t>Sept activités de proximité, planification livreurs, clôture électronique, développement tarification livraison</w:t>
            </w:r>
          </w:p>
        </w:tc>
        <w:tc>
          <w:tcPr>
            <w:tcW w:w="2760" w:type="dxa"/>
            <w:tcMar>
              <w:top w:w="60" w:type="dxa"/>
              <w:left w:w="120" w:type="dxa"/>
              <w:bottom w:w="30" w:type="dxa"/>
              <w:right w:w="120" w:type="dxa"/>
            </w:tcMar>
          </w:tcPr>
          <w:p w14:paraId="26531886">
            <w:pPr>
              <w:spacing w:before="120" w:after="120" w:line="288" w:lineRule="auto"/>
              <w:jc w:val="both"/>
            </w:pPr>
          </w:p>
        </w:tc>
        <w:tc>
          <w:tcPr>
            <w:tcW w:w="2760" w:type="dxa"/>
            <w:tcMar>
              <w:top w:w="60" w:type="dxa"/>
              <w:left w:w="120" w:type="dxa"/>
              <w:bottom w:w="30" w:type="dxa"/>
              <w:right w:w="120" w:type="dxa"/>
            </w:tcMar>
          </w:tcPr>
          <w:p w14:paraId="367C83D9">
            <w:pPr>
              <w:spacing w:before="120" w:after="120" w:line="288" w:lineRule="auto"/>
              <w:jc w:val="both"/>
            </w:pPr>
            <w:r>
              <w:rPr>
                <w:rFonts w:ascii="Arial" w:hAnsi="Arial" w:eastAsia="等线" w:cs="Arial"/>
                <w:sz w:val="22"/>
              </w:rPr>
              <w:t>Ensemble des activités de livraison locale, planification livreurs, tarification distance, système validation retrait</w:t>
            </w:r>
          </w:p>
        </w:tc>
      </w:tr>
      <w:tr w14:paraId="6E427B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76048F9">
            <w:pPr>
              <w:spacing w:before="120" w:after="120" w:line="288" w:lineRule="auto"/>
              <w:jc w:val="both"/>
            </w:pPr>
            <w:r>
              <w:rPr>
                <w:rFonts w:ascii="Arial" w:hAnsi="Arial" w:eastAsia="等线" w:cs="Arial"/>
                <w:sz w:val="22"/>
              </w:rPr>
              <w:t>Fourniture B2B, classification revendeurs, canal vert marchands publics et privés</w:t>
            </w:r>
          </w:p>
        </w:tc>
        <w:tc>
          <w:tcPr>
            <w:tcW w:w="2760" w:type="dxa"/>
            <w:tcMar>
              <w:top w:w="60" w:type="dxa"/>
              <w:left w:w="120" w:type="dxa"/>
              <w:bottom w:w="30" w:type="dxa"/>
              <w:right w:w="120" w:type="dxa"/>
            </w:tcMar>
          </w:tcPr>
          <w:p w14:paraId="754968F5">
            <w:pPr>
              <w:spacing w:before="120" w:after="120" w:line="288" w:lineRule="auto"/>
              <w:jc w:val="both"/>
            </w:pPr>
          </w:p>
        </w:tc>
        <w:tc>
          <w:tcPr>
            <w:tcW w:w="2760" w:type="dxa"/>
            <w:tcMar>
              <w:top w:w="60" w:type="dxa"/>
              <w:left w:w="120" w:type="dxa"/>
              <w:bottom w:w="30" w:type="dxa"/>
              <w:right w:w="120" w:type="dxa"/>
            </w:tcMar>
          </w:tcPr>
          <w:p w14:paraId="751048E5">
            <w:pPr>
              <w:spacing w:before="120" w:after="120" w:line="288" w:lineRule="auto"/>
              <w:jc w:val="both"/>
            </w:pPr>
            <w:r>
              <w:rPr>
                <w:rFonts w:ascii="Arial" w:hAnsi="Arial" w:eastAsia="等线" w:cs="Arial"/>
                <w:sz w:val="22"/>
              </w:rPr>
              <w:t>Chaîne de gros, contrôle permissions distribution, inscription secteur public et privé, gestion marchandises en masse</w:t>
            </w:r>
          </w:p>
        </w:tc>
      </w:tr>
      <w:tr w14:paraId="1C8C37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0FEFC6E">
            <w:pPr>
              <w:spacing w:before="120" w:after="120" w:line="288" w:lineRule="auto"/>
              <w:jc w:val="both"/>
            </w:pPr>
            <w:r>
              <w:rPr>
                <w:rFonts w:ascii="Arial" w:hAnsi="Arial" w:eastAsia="等线" w:cs="Arial"/>
                <w:sz w:val="22"/>
              </w:rPr>
              <w:t>Marketing global, points fidélité et parrainage, outils marketing liés opérateur</w:t>
            </w:r>
          </w:p>
        </w:tc>
        <w:tc>
          <w:tcPr>
            <w:tcW w:w="2760" w:type="dxa"/>
            <w:tcMar>
              <w:top w:w="60" w:type="dxa"/>
              <w:left w:w="120" w:type="dxa"/>
              <w:bottom w:w="30" w:type="dxa"/>
              <w:right w:w="120" w:type="dxa"/>
            </w:tcMar>
          </w:tcPr>
          <w:p w14:paraId="0F8CEAE8">
            <w:pPr>
              <w:spacing w:before="120" w:after="120" w:line="288" w:lineRule="auto"/>
              <w:jc w:val="both"/>
            </w:pPr>
          </w:p>
        </w:tc>
        <w:tc>
          <w:tcPr>
            <w:tcW w:w="2760" w:type="dxa"/>
            <w:tcMar>
              <w:top w:w="60" w:type="dxa"/>
              <w:left w:w="120" w:type="dxa"/>
              <w:bottom w:w="30" w:type="dxa"/>
              <w:right w:w="120" w:type="dxa"/>
            </w:tcMar>
          </w:tcPr>
          <w:p w14:paraId="346A3CA0">
            <w:pPr>
              <w:spacing w:before="120" w:after="120" w:line="288" w:lineRule="auto"/>
              <w:jc w:val="both"/>
            </w:pPr>
            <w:r>
              <w:rPr>
                <w:rFonts w:ascii="Arial" w:hAnsi="Arial" w:eastAsia="等线" w:cs="Arial"/>
                <w:sz w:val="22"/>
              </w:rPr>
              <w:t>Modèles activités, échange points forfait, interconnexion avantages opérateur, développement back-office configuration marketing</w:t>
            </w:r>
          </w:p>
        </w:tc>
      </w:tr>
      <w:tr w14:paraId="6D0279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58C9B3D">
            <w:pPr>
              <w:spacing w:before="120" w:after="120" w:line="288" w:lineRule="auto"/>
              <w:jc w:val="both"/>
            </w:pPr>
            <w:r>
              <w:rPr>
                <w:rFonts w:ascii="Arial" w:hAnsi="Arial" w:eastAsia="等线" w:cs="Arial"/>
                <w:sz w:val="22"/>
              </w:rPr>
              <w:t>Back-office marchand, fiscalité double devise, contrôle risques catégories, interconnexion points de service</w:t>
            </w:r>
          </w:p>
        </w:tc>
        <w:tc>
          <w:tcPr>
            <w:tcW w:w="2760" w:type="dxa"/>
            <w:tcMar>
              <w:top w:w="60" w:type="dxa"/>
              <w:left w:w="120" w:type="dxa"/>
              <w:bottom w:w="30" w:type="dxa"/>
              <w:right w:w="120" w:type="dxa"/>
            </w:tcMar>
          </w:tcPr>
          <w:p w14:paraId="7E74F885">
            <w:pPr>
              <w:spacing w:before="120" w:after="120" w:line="288" w:lineRule="auto"/>
              <w:jc w:val="both"/>
            </w:pPr>
          </w:p>
        </w:tc>
        <w:tc>
          <w:tcPr>
            <w:tcW w:w="2760" w:type="dxa"/>
            <w:tcMar>
              <w:top w:w="60" w:type="dxa"/>
              <w:left w:w="120" w:type="dxa"/>
              <w:bottom w:w="30" w:type="dxa"/>
              <w:right w:w="120" w:type="dxa"/>
            </w:tcMar>
          </w:tcPr>
          <w:p w14:paraId="4C6478B8">
            <w:pPr>
              <w:spacing w:before="120" w:after="120" w:line="288" w:lineRule="auto"/>
              <w:jc w:val="both"/>
            </w:pPr>
            <w:r>
              <w:rPr>
                <w:rFonts w:ascii="Arial" w:hAnsi="Arial" w:eastAsia="等线" w:cs="Arial"/>
                <w:sz w:val="22"/>
              </w:rPr>
              <w:t>Contrôle marchands, calcul fiscalité, blocage risques, interconnexion données points de service hors ligne</w:t>
            </w:r>
          </w:p>
        </w:tc>
      </w:tr>
    </w:tbl>
    <w:p w14:paraId="6E5ECB9F">
      <w:pPr>
        <w:spacing w:before="320" w:after="120" w:line="288" w:lineRule="auto"/>
        <w:jc w:val="both"/>
        <w:outlineLvl w:val="1"/>
      </w:pPr>
      <w:bookmarkStart w:id="6" w:name="heading_9"/>
      <w:r>
        <w:rPr>
          <w:rFonts w:ascii="Arial" w:hAnsi="Arial" w:eastAsia="等线" w:cs="Arial"/>
          <w:b/>
          <w:sz w:val="32"/>
        </w:rPr>
        <w:t>Module 3 : Système de gestion traçabilité logistique domestique et transfrontalière intégrée (agrégat initial du module)</w:t>
      </w:r>
      <w:bookmarkEnd w:id="6"/>
    </w:p>
    <w:p w14:paraId="0DEEDE35">
      <w:pPr>
        <w:spacing w:before="300" w:after="120" w:line="288" w:lineRule="auto"/>
        <w:jc w:val="both"/>
        <w:outlineLvl w:val="2"/>
      </w:pPr>
      <w:bookmarkStart w:id="7" w:name="heading_10"/>
      <w:r>
        <w:rPr>
          <w:rFonts w:ascii="Arial" w:hAnsi="Arial" w:eastAsia="等线" w:cs="Arial"/>
          <w:b/>
          <w:sz w:val="30"/>
        </w:rPr>
        <w:t>Liste des fonctions de niveau 3 (ajout spécifique douanes transfrontalières)</w:t>
      </w:r>
      <w:bookmarkEnd w:id="7"/>
    </w:p>
    <w:p w14:paraId="1885EF6E">
      <w:pPr>
        <w:numPr>
          <w:ilvl w:val="0"/>
          <w:numId w:val="14"/>
        </w:numPr>
        <w:spacing w:before="120" w:after="120" w:line="288" w:lineRule="auto"/>
        <w:jc w:val="both"/>
      </w:pPr>
      <w:r>
        <w:rPr>
          <w:rFonts w:ascii="Arial" w:hAnsi="Arial" w:eastAsia="等线" w:cs="Arial"/>
          <w:sz w:val="22"/>
        </w:rPr>
        <w:t>Commande expédition multi-scénarios : quatre canaux de saisie : envoi particulier, expédition en masse marchand, transport vrac public et privé, expédition par point de service ; deux modes : récupération à domicile / retrait point de service, calcul frais livraison intelligent, assurance marchandises à plusieurs niveaux, interception IA marchandises interdites, génération et impression en masse des bons de transport.</w:t>
      </w:r>
    </w:p>
    <w:p w14:paraId="435808FE">
      <w:pPr>
        <w:numPr>
          <w:ilvl w:val="0"/>
          <w:numId w:val="15"/>
        </w:numPr>
        <w:spacing w:before="120" w:after="120" w:line="288" w:lineRule="auto"/>
        <w:jc w:val="both"/>
      </w:pPr>
      <w:r>
        <w:rPr>
          <w:rFonts w:ascii="Arial" w:hAnsi="Arial" w:eastAsia="等线" w:cs="Arial"/>
          <w:sz w:val="22"/>
        </w:rPr>
        <w:t>Visualisation traçabilité complète transfrontalière : adaptation carte géographique étrangère Amap, géolocalisation GPS temps réel, saisie code-barres étapes transit, étape vérification douanes RDC, marquage sortie/entrée territoire transfrontalier, alerte blocage marchandises, lecture relecture multi-terminaux des étapes traçabilité, envoi automatique SMS opérateur des étapes traçabilité à expéditeur et destinataire.</w:t>
      </w:r>
    </w:p>
    <w:p w14:paraId="3B90022B">
      <w:pPr>
        <w:numPr>
          <w:ilvl w:val="0"/>
          <w:numId w:val="16"/>
        </w:numPr>
        <w:spacing w:before="120" w:after="120" w:line="288" w:lineRule="auto"/>
        <w:jc w:val="both"/>
      </w:pPr>
      <w:r>
        <w:rPr>
          <w:rFonts w:ascii="Arial" w:hAnsi="Arial" w:eastAsia="等线" w:cs="Arial"/>
          <w:sz w:val="22"/>
        </w:rPr>
        <w:t>Contrôle quatre canaux logistiques : livraison instantanée ville, transport terrestre domestique RDC, fret transfrontalier Chine-RDC, canal réception-expédition points de service ; modèle frais livraison indépendant par canal, contrôle délais, génération automatique documents douaniers transfrontaliers, archivage automatique registres douaniers.</w:t>
      </w:r>
    </w:p>
    <w:p w14:paraId="3F48E6C7">
      <w:pPr>
        <w:numPr>
          <w:ilvl w:val="0"/>
          <w:numId w:val="17"/>
        </w:numPr>
        <w:spacing w:before="120" w:after="120" w:line="288" w:lineRule="auto"/>
        <w:jc w:val="both"/>
      </w:pPr>
      <w:r>
        <w:rPr>
          <w:rFonts w:ascii="Arial" w:hAnsi="Arial" w:eastAsia="等线" w:cs="Arial"/>
          <w:sz w:val="22"/>
        </w:rPr>
        <w:t>Contrôle flottes et chauffeurs : vérification identité visage chauffeur, enregistrement entreprise flotte, archivage qualifications véhicules, planification capacité transport, clôture électronique livraison, alerte prise en charge chauffeur, calcul performance, règlement automatique commission logistique agents hors ligne.</w:t>
      </w:r>
    </w:p>
    <w:p w14:paraId="5139E36D">
      <w:pPr>
        <w:numPr>
          <w:ilvl w:val="0"/>
          <w:numId w:val="18"/>
        </w:numPr>
        <w:spacing w:before="120" w:after="120" w:line="288" w:lineRule="auto"/>
        <w:jc w:val="both"/>
      </w:pPr>
      <w:r>
        <w:rPr>
          <w:rFonts w:ascii="Arial" w:hAnsi="Arial" w:eastAsia="等线" w:cs="Arial"/>
          <w:sz w:val="22"/>
        </w:rPr>
        <w:t>Gestion cycle de vie bon de transport : impression en masse bons de livraison électroniques, modification adresse en cours de transport, annulation blocage, export documents douaniers, rapprochement logistique mensuel, édition facture frais livraison, archivage crypté bons de transport, registre audit conformité logistique transfrontalière.</w:t>
      </w:r>
    </w:p>
    <w:p w14:paraId="35970683">
      <w:pPr>
        <w:numPr>
          <w:ilvl w:val="0"/>
          <w:numId w:val="19"/>
        </w:numPr>
        <w:spacing w:before="120" w:after="120" w:line="288" w:lineRule="auto"/>
        <w:jc w:val="both"/>
      </w:pPr>
      <w:r>
        <w:rPr>
          <w:rFonts w:ascii="Arial" w:hAnsi="Arial" w:eastAsia="等线" w:cs="Arial"/>
          <w:sz w:val="22"/>
        </w:rPr>
        <w:t>Interconnexion points de service opérateur : rattachement points de service comme points réception logistique, poste de travail expédition salarié, tableau de bord statistiques bons de transport point de service, contrôle risque coupure forfait opérateur en cas d’impayé logistique, contrôle hiérarchisé permissions logistique point de service.</w:t>
      </w:r>
    </w:p>
    <w:p w14:paraId="38529603">
      <w:pPr>
        <w:spacing w:before="300" w:after="120" w:line="288" w:lineRule="auto"/>
        <w:jc w:val="both"/>
        <w:outlineLvl w:val="2"/>
      </w:pPr>
      <w:bookmarkStart w:id="8" w:name="heading_11"/>
      <w:r>
        <w:rPr>
          <w:rFonts w:ascii="Arial" w:hAnsi="Arial" w:eastAsia="等线" w:cs="Arial"/>
          <w:b/>
          <w:sz w:val="30"/>
        </w:rPr>
        <w:t xml:space="preserve">Ventilation des jours-hommes par sous-fonction </w:t>
      </w:r>
      <w:bookmarkEnd w:id="8"/>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6D45D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259058">
            <w:pPr>
              <w:spacing w:before="120" w:after="120" w:line="288" w:lineRule="auto"/>
              <w:jc w:val="both"/>
            </w:pPr>
            <w:r>
              <w:rPr>
                <w:rFonts w:ascii="Arial" w:hAnsi="Arial" w:eastAsia="等线" w:cs="Arial"/>
                <w:sz w:val="22"/>
              </w:rPr>
              <w:t>Sous-module détaillé</w:t>
            </w:r>
          </w:p>
        </w:tc>
        <w:tc>
          <w:tcPr>
            <w:tcW w:w="2760" w:type="dxa"/>
            <w:tcMar>
              <w:top w:w="60" w:type="dxa"/>
              <w:left w:w="120" w:type="dxa"/>
              <w:bottom w:w="30" w:type="dxa"/>
              <w:right w:w="120" w:type="dxa"/>
            </w:tcMar>
          </w:tcPr>
          <w:p w14:paraId="22BCAE81">
            <w:pPr>
              <w:spacing w:before="120" w:after="120" w:line="288" w:lineRule="auto"/>
              <w:jc w:val="both"/>
            </w:pPr>
          </w:p>
        </w:tc>
        <w:tc>
          <w:tcPr>
            <w:tcW w:w="2760" w:type="dxa"/>
            <w:tcMar>
              <w:top w:w="60" w:type="dxa"/>
              <w:left w:w="120" w:type="dxa"/>
              <w:bottom w:w="30" w:type="dxa"/>
              <w:right w:w="120" w:type="dxa"/>
            </w:tcMar>
          </w:tcPr>
          <w:p w14:paraId="675FBA9C">
            <w:pPr>
              <w:spacing w:before="120" w:after="120" w:line="288" w:lineRule="auto"/>
              <w:jc w:val="both"/>
            </w:pPr>
            <w:r>
              <w:rPr>
                <w:rFonts w:ascii="Arial" w:hAnsi="Arial" w:eastAsia="等线" w:cs="Arial"/>
                <w:sz w:val="22"/>
              </w:rPr>
              <w:t>Description des travaux de développement</w:t>
            </w:r>
          </w:p>
        </w:tc>
      </w:tr>
      <w:tr w14:paraId="7288DE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D2FFB2F">
            <w:pPr>
              <w:spacing w:before="120" w:after="120" w:line="288" w:lineRule="auto"/>
              <w:jc w:val="both"/>
            </w:pPr>
            <w:r>
              <w:rPr>
                <w:rFonts w:ascii="Arial" w:hAnsi="Arial" w:eastAsia="等线" w:cs="Arial"/>
                <w:sz w:val="22"/>
              </w:rPr>
              <w:t>Adaptation carte géographique étrangère, traçabilité GPS, étapes douanes, alerte anomalie</w:t>
            </w:r>
          </w:p>
        </w:tc>
        <w:tc>
          <w:tcPr>
            <w:tcW w:w="2760" w:type="dxa"/>
            <w:tcMar>
              <w:top w:w="60" w:type="dxa"/>
              <w:left w:w="120" w:type="dxa"/>
              <w:bottom w:w="30" w:type="dxa"/>
              <w:right w:w="120" w:type="dxa"/>
            </w:tcMar>
          </w:tcPr>
          <w:p w14:paraId="2471C234">
            <w:pPr>
              <w:spacing w:before="120" w:after="120" w:line="288" w:lineRule="auto"/>
              <w:jc w:val="both"/>
            </w:pPr>
          </w:p>
        </w:tc>
        <w:tc>
          <w:tcPr>
            <w:tcW w:w="2760" w:type="dxa"/>
            <w:tcMar>
              <w:top w:w="60" w:type="dxa"/>
              <w:left w:w="120" w:type="dxa"/>
              <w:bottom w:w="30" w:type="dxa"/>
              <w:right w:w="120" w:type="dxa"/>
            </w:tcMar>
          </w:tcPr>
          <w:p w14:paraId="34ADAA79">
            <w:pPr>
              <w:spacing w:before="120" w:after="120" w:line="288" w:lineRule="auto"/>
              <w:jc w:val="both"/>
            </w:pPr>
            <w:r>
              <w:rPr>
                <w:rFonts w:ascii="Arial" w:hAnsi="Arial" w:eastAsia="等线" w:cs="Arial"/>
                <w:sz w:val="22"/>
              </w:rPr>
              <w:t>Adaptation points transfrontaliers, synchronisation traçabilité, alerte blocage, saisie étapes douanes</w:t>
            </w:r>
          </w:p>
        </w:tc>
      </w:tr>
      <w:tr w14:paraId="4F390E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00C02E7">
            <w:pPr>
              <w:spacing w:before="120" w:after="120" w:line="288" w:lineRule="auto"/>
              <w:jc w:val="both"/>
            </w:pPr>
            <w:r>
              <w:rPr>
                <w:rFonts w:ascii="Arial" w:hAnsi="Arial" w:eastAsia="等线" w:cs="Arial"/>
                <w:sz w:val="22"/>
              </w:rPr>
              <w:t>Saisie expédition, gestion bons de transport, modification adresse et annulation, processus fret vrac</w:t>
            </w:r>
          </w:p>
        </w:tc>
        <w:tc>
          <w:tcPr>
            <w:tcW w:w="2760" w:type="dxa"/>
            <w:tcMar>
              <w:top w:w="60" w:type="dxa"/>
              <w:left w:w="120" w:type="dxa"/>
              <w:bottom w:w="30" w:type="dxa"/>
              <w:right w:w="120" w:type="dxa"/>
            </w:tcMar>
          </w:tcPr>
          <w:p w14:paraId="665D683E">
            <w:pPr>
              <w:spacing w:before="120" w:after="120" w:line="288" w:lineRule="auto"/>
              <w:jc w:val="both"/>
            </w:pPr>
          </w:p>
        </w:tc>
        <w:tc>
          <w:tcPr>
            <w:tcW w:w="2760" w:type="dxa"/>
            <w:tcMar>
              <w:top w:w="60" w:type="dxa"/>
              <w:left w:w="120" w:type="dxa"/>
              <w:bottom w:w="30" w:type="dxa"/>
              <w:right w:w="120" w:type="dxa"/>
            </w:tcMar>
          </w:tcPr>
          <w:p w14:paraId="0F8C64E4">
            <w:pPr>
              <w:spacing w:before="120" w:after="120" w:line="288" w:lineRule="auto"/>
              <w:jc w:val="both"/>
            </w:pPr>
            <w:r>
              <w:rPr>
                <w:rFonts w:ascii="Arial" w:hAnsi="Arial" w:eastAsia="等线" w:cs="Arial"/>
                <w:sz w:val="22"/>
              </w:rPr>
              <w:t>Saisie expédition tous scénarios, gestion états bons de transport, processus exclusif fret public et privé</w:t>
            </w:r>
          </w:p>
        </w:tc>
      </w:tr>
      <w:tr w14:paraId="3C8275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81BAFFC">
            <w:pPr>
              <w:spacing w:before="120" w:after="120" w:line="288" w:lineRule="auto"/>
              <w:jc w:val="both"/>
            </w:pPr>
            <w:r>
              <w:rPr>
                <w:rFonts w:ascii="Arial" w:hAnsi="Arial" w:eastAsia="等线" w:cs="Arial"/>
                <w:sz w:val="22"/>
              </w:rPr>
              <w:t>Quatre canaux logistiques, génération automatique documents douaniers, adaptation points stockage</w:t>
            </w:r>
          </w:p>
        </w:tc>
        <w:tc>
          <w:tcPr>
            <w:tcW w:w="2760" w:type="dxa"/>
            <w:tcMar>
              <w:top w:w="60" w:type="dxa"/>
              <w:left w:w="120" w:type="dxa"/>
              <w:bottom w:w="30" w:type="dxa"/>
              <w:right w:w="120" w:type="dxa"/>
            </w:tcMar>
          </w:tcPr>
          <w:p w14:paraId="15F5F2AD">
            <w:pPr>
              <w:spacing w:before="120" w:after="120" w:line="288" w:lineRule="auto"/>
              <w:jc w:val="both"/>
            </w:pPr>
          </w:p>
        </w:tc>
        <w:tc>
          <w:tcPr>
            <w:tcW w:w="2760" w:type="dxa"/>
            <w:tcMar>
              <w:top w:w="60" w:type="dxa"/>
              <w:left w:w="120" w:type="dxa"/>
              <w:bottom w:w="30" w:type="dxa"/>
              <w:right w:w="120" w:type="dxa"/>
            </w:tcMar>
          </w:tcPr>
          <w:p w14:paraId="6B7E627C">
            <w:pPr>
              <w:spacing w:before="120" w:after="120" w:line="288" w:lineRule="auto"/>
              <w:jc w:val="both"/>
            </w:pPr>
            <w:r>
              <w:rPr>
                <w:rFonts w:ascii="Arial" w:hAnsi="Arial" w:eastAsia="等线" w:cs="Arial"/>
                <w:sz w:val="22"/>
              </w:rPr>
              <w:t>Classification canaux, modèles documents douaniers, points stockage locaux, développement registres douaniers</w:t>
            </w:r>
          </w:p>
        </w:tc>
      </w:tr>
      <w:tr w14:paraId="1B814D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CC9852D">
            <w:pPr>
              <w:spacing w:before="120" w:after="120" w:line="288" w:lineRule="auto"/>
              <w:jc w:val="both"/>
            </w:pPr>
            <w:r>
              <w:rPr>
                <w:rFonts w:ascii="Arial" w:hAnsi="Arial" w:eastAsia="等线" w:cs="Arial"/>
                <w:sz w:val="22"/>
              </w:rPr>
              <w:t>Flottes chauffeurs, planification capacité, rattachement points de service</w:t>
            </w:r>
          </w:p>
        </w:tc>
        <w:tc>
          <w:tcPr>
            <w:tcW w:w="2760" w:type="dxa"/>
            <w:tcMar>
              <w:top w:w="60" w:type="dxa"/>
              <w:left w:w="120" w:type="dxa"/>
              <w:bottom w:w="30" w:type="dxa"/>
              <w:right w:w="120" w:type="dxa"/>
            </w:tcMar>
          </w:tcPr>
          <w:p w14:paraId="7854F0DF">
            <w:pPr>
              <w:spacing w:before="120" w:after="120" w:line="288" w:lineRule="auto"/>
              <w:jc w:val="both"/>
            </w:pPr>
          </w:p>
        </w:tc>
        <w:tc>
          <w:tcPr>
            <w:tcW w:w="2760" w:type="dxa"/>
            <w:tcMar>
              <w:top w:w="60" w:type="dxa"/>
              <w:left w:w="120" w:type="dxa"/>
              <w:bottom w:w="30" w:type="dxa"/>
              <w:right w:w="120" w:type="dxa"/>
            </w:tcMar>
          </w:tcPr>
          <w:p w14:paraId="2FCFF1D6">
            <w:pPr>
              <w:spacing w:before="120" w:after="120" w:line="288" w:lineRule="auto"/>
              <w:jc w:val="both"/>
            </w:pPr>
            <w:r>
              <w:rPr>
                <w:rFonts w:ascii="Arial" w:hAnsi="Arial" w:eastAsia="等线" w:cs="Arial"/>
                <w:sz w:val="22"/>
              </w:rPr>
              <w:t>Qualifications chauffeurs, planification transport, rattachement points de service, calcul commission agents</w:t>
            </w:r>
          </w:p>
        </w:tc>
      </w:tr>
      <w:tr w14:paraId="670F6E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8B5B727">
            <w:pPr>
              <w:spacing w:before="120" w:after="120" w:line="288" w:lineRule="auto"/>
              <w:jc w:val="both"/>
            </w:pPr>
            <w:r>
              <w:rPr>
                <w:rFonts w:ascii="Arial" w:hAnsi="Arial" w:eastAsia="等线" w:cs="Arial"/>
                <w:sz w:val="22"/>
              </w:rPr>
              <w:t>Rapprochement logistique, bons de livraison électroniques, connexion SMS opérateur, archivage journaux</w:t>
            </w:r>
          </w:p>
        </w:tc>
        <w:tc>
          <w:tcPr>
            <w:tcW w:w="2760" w:type="dxa"/>
            <w:tcMar>
              <w:top w:w="60" w:type="dxa"/>
              <w:left w:w="120" w:type="dxa"/>
              <w:bottom w:w="30" w:type="dxa"/>
              <w:right w:w="120" w:type="dxa"/>
            </w:tcMar>
          </w:tcPr>
          <w:p w14:paraId="3D1DBE3E">
            <w:pPr>
              <w:spacing w:before="120" w:after="120" w:line="288" w:lineRule="auto"/>
              <w:jc w:val="both"/>
            </w:pPr>
          </w:p>
        </w:tc>
        <w:tc>
          <w:tcPr>
            <w:tcW w:w="2760" w:type="dxa"/>
            <w:tcMar>
              <w:top w:w="60" w:type="dxa"/>
              <w:left w:w="120" w:type="dxa"/>
              <w:bottom w:w="30" w:type="dxa"/>
              <w:right w:w="120" w:type="dxa"/>
            </w:tcMar>
          </w:tcPr>
          <w:p w14:paraId="12CB1D4F">
            <w:pPr>
              <w:spacing w:before="120" w:after="120" w:line="288" w:lineRule="auto"/>
              <w:jc w:val="both"/>
            </w:pPr>
            <w:r>
              <w:rPr>
                <w:rFonts w:ascii="Arial" w:hAnsi="Arial" w:eastAsia="等线" w:cs="Arial"/>
                <w:sz w:val="22"/>
              </w:rPr>
              <w:t>Tableaux rapprochement, modèles bons de livraison, connexion interface SMS, développement journaux conformité</w:t>
            </w:r>
          </w:p>
        </w:tc>
      </w:tr>
    </w:tbl>
    <w:p w14:paraId="4FFCA963">
      <w:pPr>
        <w:spacing w:before="320" w:after="120" w:line="288" w:lineRule="auto"/>
        <w:jc w:val="both"/>
        <w:outlineLvl w:val="1"/>
      </w:pPr>
      <w:bookmarkStart w:id="9" w:name="heading_12"/>
      <w:r>
        <w:rPr>
          <w:rFonts w:ascii="Arial" w:hAnsi="Arial" w:eastAsia="等线" w:cs="Arial"/>
          <w:b/>
          <w:sz w:val="32"/>
        </w:rPr>
        <w:t>Module 4 : Système financier agrégation paiements tiers + prélèvement sur forfait opérateur (agrégat)</w:t>
      </w:r>
      <w:bookmarkEnd w:id="9"/>
    </w:p>
    <w:p w14:paraId="448E6CA6">
      <w:pPr>
        <w:spacing w:before="300" w:after="120" w:line="288" w:lineRule="auto"/>
        <w:jc w:val="both"/>
        <w:outlineLvl w:val="2"/>
      </w:pPr>
      <w:bookmarkStart w:id="10" w:name="heading_13"/>
      <w:r>
        <w:rPr>
          <w:rFonts w:ascii="Arial" w:hAnsi="Arial" w:eastAsia="等线" w:cs="Arial"/>
          <w:b/>
          <w:sz w:val="30"/>
        </w:rPr>
        <w:t>Liste des fonctions de niveau 3 (ajout lutte anti-blanchiment et conformité financière locale)</w:t>
      </w:r>
      <w:bookmarkEnd w:id="10"/>
    </w:p>
    <w:p w14:paraId="18E9E2A0">
      <w:pPr>
        <w:numPr>
          <w:ilvl w:val="0"/>
          <w:numId w:val="20"/>
        </w:numPr>
        <w:spacing w:before="120" w:after="120" w:line="288" w:lineRule="auto"/>
        <w:jc w:val="both"/>
      </w:pPr>
      <w:r>
        <w:rPr>
          <w:rFonts w:ascii="Arial" w:hAnsi="Arial" w:eastAsia="等线" w:cs="Arial"/>
          <w:sz w:val="22"/>
        </w:rPr>
        <w:t>Portefeuille double devise isolé : séparation indépendante portefeuille particulier / portefeuille professionnel marchand ; comptes séparés CDF / USD</w:t>
      </w:r>
      <w:r>
        <w:rPr>
          <w:rFonts w:hint="default" w:ascii="Arial" w:hAnsi="Arial" w:eastAsia="等线" w:cs="Arial"/>
          <w:sz w:val="22"/>
          <w:lang w:val="fr-FR"/>
        </w:rPr>
        <w:t xml:space="preserve"> et autres dévise</w:t>
      </w:r>
      <w:r>
        <w:rPr>
          <w:rFonts w:ascii="Arial" w:hAnsi="Arial" w:eastAsia="等线" w:cs="Arial"/>
          <w:sz w:val="22"/>
        </w:rPr>
        <w:t>, synchronisation taux de change temps réel, ajustement manuel taux de change depuis back-office, rechargement solde, réception paiement code-barres, transfert comptes, classification entrées/sorties, notification IM temps réel variation fonds, archivage crypté relevés de compte.</w:t>
      </w:r>
    </w:p>
    <w:p w14:paraId="1AEE6DB1">
      <w:pPr>
        <w:numPr>
          <w:ilvl w:val="0"/>
          <w:numId w:val="21"/>
        </w:numPr>
        <w:spacing w:before="120" w:after="120" w:line="288" w:lineRule="auto"/>
        <w:jc w:val="both"/>
      </w:pPr>
      <w:r>
        <w:rPr>
          <w:rFonts w:ascii="Arial" w:hAnsi="Arial" w:eastAsia="等线" w:cs="Arial"/>
          <w:sz w:val="22"/>
        </w:rPr>
        <w:t>Chaîne de paiement exclusive opérateur : déduction du forfait sur tous les achats, prélèvement abonnement trafic, paiement facture opérateur, interconnexion portefeuille forfait et portefeuille plateforme, rechargement portefeuille en espèces aux points de service hors ligne, liste blanche contrôle risque paiement opérateur, limitation montant paiement numéros à haut risque.</w:t>
      </w:r>
    </w:p>
    <w:p w14:paraId="3743B6DF">
      <w:pPr>
        <w:numPr>
          <w:ilvl w:val="0"/>
          <w:numId w:val="22"/>
        </w:numPr>
        <w:spacing w:before="120" w:after="120" w:line="288" w:lineRule="auto"/>
        <w:jc w:val="both"/>
      </w:pPr>
      <w:r>
        <w:rPr>
          <w:rFonts w:ascii="Arial" w:hAnsi="Arial" w:eastAsia="等线" w:cs="Arial"/>
          <w:sz w:val="22"/>
        </w:rPr>
        <w:t>Paiements agrégés multi-canaux : connexion établissements de paiement agréés locaux RDC, réception espèces agents hors ligne, carte bancaire locale, règlement change transfrontalier ; basculement automatique canal de paiement en cas d’échec, archivage électronique preuves de paiement, lien fiscalité change transfrontalier.</w:t>
      </w:r>
    </w:p>
    <w:p w14:paraId="52969DA8">
      <w:pPr>
        <w:numPr>
          <w:ilvl w:val="0"/>
          <w:numId w:val="23"/>
        </w:numPr>
        <w:spacing w:before="120" w:after="120" w:line="288" w:lineRule="auto"/>
        <w:jc w:val="both"/>
      </w:pPr>
      <w:r>
        <w:rPr>
          <w:rFonts w:ascii="Arial" w:hAnsi="Arial" w:eastAsia="等线" w:cs="Arial"/>
          <w:sz w:val="22"/>
        </w:rPr>
        <w:t>Finance locale spécifique Tontine africaine : mise en place groupes épargne mutuelle, contrôle cotisation adhésion, calcul capital mensuel et intérêts, microcrédit consommation, vérification qualifications en ligne, recouvrement hiérarchisé retard, répartition automatique fonds mutuels, coupure risque regroupement fonds.</w:t>
      </w:r>
    </w:p>
    <w:p w14:paraId="1D56849F">
      <w:pPr>
        <w:numPr>
          <w:ilvl w:val="0"/>
          <w:numId w:val="24"/>
        </w:numPr>
        <w:spacing w:before="120" w:after="120" w:line="288" w:lineRule="auto"/>
        <w:jc w:val="both"/>
      </w:pPr>
      <w:r>
        <w:rPr>
          <w:rFonts w:ascii="Arial" w:hAnsi="Arial" w:eastAsia="等线" w:cs="Arial"/>
          <w:sz w:val="22"/>
        </w:rPr>
        <w:t>Partage des bénéfices agents décentralisés à trois niveaux : ouverture compte agent en ligne, vérification qualification risque, ristourne hiérarchisée sur toutes transactions plateforme, calcul commission réception espèces, gel/dégel partages bénéfices, retrait automatique, registre financier agent, traçabilité rapprochement agent supérieur.</w:t>
      </w:r>
    </w:p>
    <w:p w14:paraId="4A427E35">
      <w:pPr>
        <w:numPr>
          <w:ilvl w:val="0"/>
          <w:numId w:val="25"/>
        </w:numPr>
        <w:spacing w:before="120" w:after="120" w:line="288" w:lineRule="auto"/>
        <w:jc w:val="both"/>
      </w:pPr>
      <w:r>
        <w:rPr>
          <w:rFonts w:ascii="Arial" w:hAnsi="Arial" w:eastAsia="等线" w:cs="Arial"/>
          <w:sz w:val="22"/>
        </w:rPr>
        <w:t>Contrôle risque conformité financière global : validation humaine montants élevés, interception anti-fraude transactions, filtrage anti-blanchiment, rapprochement automatique fonds, états financiers mensuels, validation hiérarchisée retrait marchand, coupure arrêt fonds, journal d’audit toutes opérations sur fonds, adaptation stockage local données financières conforme à la réglementation locale.</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432"/>
        <w:gridCol w:w="4018"/>
      </w:tblGrid>
      <w:tr w14:paraId="3A9991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32" w:type="dxa"/>
            <w:tcMar>
              <w:top w:w="60" w:type="dxa"/>
              <w:left w:w="120" w:type="dxa"/>
              <w:bottom w:w="30" w:type="dxa"/>
              <w:right w:w="120" w:type="dxa"/>
            </w:tcMar>
          </w:tcPr>
          <w:p w14:paraId="1AB49874">
            <w:pPr>
              <w:spacing w:before="120" w:after="120" w:line="288" w:lineRule="auto"/>
              <w:jc w:val="both"/>
            </w:pPr>
            <w:r>
              <w:rPr>
                <w:rFonts w:ascii="Arial" w:hAnsi="Arial" w:eastAsia="等线" w:cs="Arial"/>
                <w:sz w:val="22"/>
              </w:rPr>
              <w:t>Sous-module détaillé</w:t>
            </w:r>
          </w:p>
        </w:tc>
        <w:tc>
          <w:tcPr>
            <w:tcW w:w="4018" w:type="dxa"/>
            <w:tcMar>
              <w:top w:w="60" w:type="dxa"/>
              <w:left w:w="120" w:type="dxa"/>
              <w:bottom w:w="30" w:type="dxa"/>
              <w:right w:w="120" w:type="dxa"/>
            </w:tcMar>
          </w:tcPr>
          <w:p w14:paraId="48882395">
            <w:pPr>
              <w:spacing w:before="120" w:after="120" w:line="288" w:lineRule="auto"/>
              <w:jc w:val="both"/>
            </w:pPr>
            <w:r>
              <w:rPr>
                <w:rFonts w:ascii="Arial" w:hAnsi="Arial" w:eastAsia="等线" w:cs="Arial"/>
                <w:sz w:val="22"/>
              </w:rPr>
              <w:t>Description des travaux de développement</w:t>
            </w:r>
          </w:p>
        </w:tc>
      </w:tr>
      <w:tr w14:paraId="3BD628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32" w:type="dxa"/>
            <w:tcMar>
              <w:top w:w="60" w:type="dxa"/>
              <w:left w:w="120" w:type="dxa"/>
              <w:bottom w:w="30" w:type="dxa"/>
              <w:right w:w="120" w:type="dxa"/>
            </w:tcMar>
          </w:tcPr>
          <w:p w14:paraId="13C7015C">
            <w:pPr>
              <w:spacing w:before="120" w:after="120" w:line="288" w:lineRule="auto"/>
              <w:jc w:val="both"/>
            </w:pPr>
            <w:r>
              <w:rPr>
                <w:rFonts w:ascii="Arial" w:hAnsi="Arial" w:eastAsia="等线" w:cs="Arial"/>
                <w:sz w:val="22"/>
              </w:rPr>
              <w:t>Portefeuille double devise isolé, prélèvement forfait, rechargement espèces points de service</w:t>
            </w:r>
          </w:p>
        </w:tc>
        <w:tc>
          <w:tcPr>
            <w:tcW w:w="4018" w:type="dxa"/>
            <w:tcMar>
              <w:top w:w="60" w:type="dxa"/>
              <w:left w:w="120" w:type="dxa"/>
              <w:bottom w:w="30" w:type="dxa"/>
              <w:right w:w="120" w:type="dxa"/>
            </w:tcMar>
          </w:tcPr>
          <w:p w14:paraId="4A82110E">
            <w:pPr>
              <w:spacing w:before="120" w:after="120" w:line="288" w:lineRule="auto"/>
              <w:jc w:val="both"/>
            </w:pPr>
            <w:r>
              <w:rPr>
                <w:rFonts w:ascii="Arial" w:hAnsi="Arial" w:eastAsia="等线" w:cs="Arial"/>
                <w:sz w:val="22"/>
              </w:rPr>
              <w:t>Base portefeuille, interconnexion forfait, rechargement hors ligne, notification variation fonds</w:t>
            </w:r>
          </w:p>
        </w:tc>
      </w:tr>
      <w:tr w14:paraId="58E5B1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32" w:type="dxa"/>
            <w:tcMar>
              <w:top w:w="60" w:type="dxa"/>
              <w:left w:w="120" w:type="dxa"/>
              <w:bottom w:w="30" w:type="dxa"/>
              <w:right w:w="120" w:type="dxa"/>
            </w:tcMar>
          </w:tcPr>
          <w:p w14:paraId="4CECF134">
            <w:pPr>
              <w:spacing w:before="120" w:after="120" w:line="288" w:lineRule="auto"/>
              <w:jc w:val="both"/>
            </w:pPr>
            <w:r>
              <w:rPr>
                <w:rFonts w:ascii="Arial" w:hAnsi="Arial" w:eastAsia="等线" w:cs="Arial"/>
                <w:sz w:val="22"/>
              </w:rPr>
              <w:t>Tontine mutuelle, microcrédit, risque retard, système répartition</w:t>
            </w:r>
          </w:p>
        </w:tc>
        <w:tc>
          <w:tcPr>
            <w:tcW w:w="4018" w:type="dxa"/>
            <w:tcMar>
              <w:top w:w="60" w:type="dxa"/>
              <w:left w:w="120" w:type="dxa"/>
              <w:bottom w:w="30" w:type="dxa"/>
              <w:right w:w="120" w:type="dxa"/>
            </w:tcMar>
          </w:tcPr>
          <w:p w14:paraId="5089E2D2">
            <w:pPr>
              <w:spacing w:before="120" w:after="120" w:line="288" w:lineRule="auto"/>
              <w:jc w:val="both"/>
            </w:pPr>
            <w:r>
              <w:rPr>
                <w:rFonts w:ascii="Arial" w:hAnsi="Arial" w:eastAsia="等线" w:cs="Arial"/>
                <w:sz w:val="22"/>
              </w:rPr>
              <w:t>Règles finance locale, validation crédit, calcul règlement mutuel, contrôle retards</w:t>
            </w:r>
          </w:p>
        </w:tc>
      </w:tr>
      <w:tr w14:paraId="361E2C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32" w:type="dxa"/>
            <w:tcMar>
              <w:top w:w="60" w:type="dxa"/>
              <w:left w:w="120" w:type="dxa"/>
              <w:bottom w:w="30" w:type="dxa"/>
              <w:right w:w="120" w:type="dxa"/>
            </w:tcMar>
          </w:tcPr>
          <w:p w14:paraId="55A56813">
            <w:pPr>
              <w:spacing w:before="120" w:after="120" w:line="288" w:lineRule="auto"/>
              <w:jc w:val="both"/>
            </w:pPr>
            <w:r>
              <w:rPr>
                <w:rFonts w:ascii="Arial" w:hAnsi="Arial" w:eastAsia="等线" w:cs="Arial"/>
                <w:sz w:val="22"/>
              </w:rPr>
              <w:t>Ouverture compte agent trois niveaux, partage bénéfices hiérarchisé, retrait automatique, rapprochements</w:t>
            </w:r>
          </w:p>
        </w:tc>
        <w:tc>
          <w:tcPr>
            <w:tcW w:w="4018" w:type="dxa"/>
            <w:tcMar>
              <w:top w:w="60" w:type="dxa"/>
              <w:left w:w="120" w:type="dxa"/>
              <w:bottom w:w="30" w:type="dxa"/>
              <w:right w:w="120" w:type="dxa"/>
            </w:tcMar>
          </w:tcPr>
          <w:p w14:paraId="7A9428B9">
            <w:pPr>
              <w:spacing w:before="120" w:after="120" w:line="288" w:lineRule="auto"/>
              <w:jc w:val="both"/>
            </w:pPr>
            <w:r>
              <w:rPr>
                <w:rFonts w:ascii="Arial" w:hAnsi="Arial" w:eastAsia="等线" w:cs="Arial"/>
                <w:sz w:val="22"/>
              </w:rPr>
              <w:t>Permissions agents, algorithme ristourne, risque retrait, développement back-office tableaux rapprochement</w:t>
            </w:r>
          </w:p>
        </w:tc>
      </w:tr>
      <w:tr w14:paraId="611915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32" w:type="dxa"/>
            <w:tcMar>
              <w:top w:w="60" w:type="dxa"/>
              <w:left w:w="120" w:type="dxa"/>
              <w:bottom w:w="30" w:type="dxa"/>
              <w:right w:w="120" w:type="dxa"/>
            </w:tcMar>
          </w:tcPr>
          <w:p w14:paraId="2244E91B">
            <w:pPr>
              <w:spacing w:before="120" w:after="120" w:line="288" w:lineRule="auto"/>
              <w:jc w:val="both"/>
            </w:pPr>
            <w:r>
              <w:rPr>
                <w:rFonts w:ascii="Arial" w:hAnsi="Arial" w:eastAsia="等线" w:cs="Arial"/>
                <w:sz w:val="22"/>
              </w:rPr>
              <w:t>Contrôle risque financier, anti-blanchiment, coupure fonds, journal d’audit</w:t>
            </w:r>
          </w:p>
        </w:tc>
        <w:tc>
          <w:tcPr>
            <w:tcW w:w="4018" w:type="dxa"/>
            <w:tcMar>
              <w:top w:w="60" w:type="dxa"/>
              <w:left w:w="120" w:type="dxa"/>
              <w:bottom w:w="30" w:type="dxa"/>
              <w:right w:w="120" w:type="dxa"/>
            </w:tcMar>
          </w:tcPr>
          <w:p w14:paraId="7EAB0E64">
            <w:pPr>
              <w:spacing w:before="120" w:after="120" w:line="288" w:lineRule="auto"/>
              <w:jc w:val="both"/>
            </w:pPr>
            <w:r>
              <w:rPr>
                <w:rFonts w:ascii="Arial" w:hAnsi="Arial" w:eastAsia="等线" w:cs="Arial"/>
                <w:sz w:val="22"/>
              </w:rPr>
              <w:t>Interception transactions, validation montants élevés, coupure fonds, archivage journaux conformité</w:t>
            </w:r>
          </w:p>
        </w:tc>
      </w:tr>
      <w:tr w14:paraId="572C72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32" w:type="dxa"/>
            <w:tcMar>
              <w:top w:w="60" w:type="dxa"/>
              <w:left w:w="120" w:type="dxa"/>
              <w:bottom w:w="30" w:type="dxa"/>
              <w:right w:w="120" w:type="dxa"/>
            </w:tcMar>
          </w:tcPr>
          <w:p w14:paraId="32B3E90F">
            <w:pPr>
              <w:spacing w:before="120" w:after="120" w:line="288" w:lineRule="auto"/>
              <w:jc w:val="both"/>
            </w:pPr>
            <w:r>
              <w:rPr>
                <w:rFonts w:ascii="Arial" w:hAnsi="Arial" w:eastAsia="等线" w:cs="Arial"/>
                <w:sz w:val="22"/>
              </w:rPr>
              <w:t>Canaux paiement agrégés, contrôle taux de change, configuration retrait marchand</w:t>
            </w:r>
          </w:p>
        </w:tc>
        <w:tc>
          <w:tcPr>
            <w:tcW w:w="4018" w:type="dxa"/>
            <w:tcMar>
              <w:top w:w="60" w:type="dxa"/>
              <w:left w:w="120" w:type="dxa"/>
              <w:bottom w:w="30" w:type="dxa"/>
              <w:right w:w="120" w:type="dxa"/>
            </w:tcMar>
          </w:tcPr>
          <w:p w14:paraId="17000A8E">
            <w:pPr>
              <w:spacing w:before="120" w:after="120" w:line="288" w:lineRule="auto"/>
              <w:jc w:val="both"/>
            </w:pPr>
            <w:r>
              <w:rPr>
                <w:rFonts w:ascii="Arial" w:hAnsi="Arial" w:eastAsia="等线" w:cs="Arial"/>
                <w:sz w:val="22"/>
              </w:rPr>
              <w:t>Connexion interfaces paiement multiples, taux de change back-office, permissions retrait</w:t>
            </w:r>
          </w:p>
        </w:tc>
      </w:tr>
    </w:tbl>
    <w:p w14:paraId="61DD8D2A">
      <w:pPr>
        <w:spacing w:before="320" w:after="120" w:line="288" w:lineRule="auto"/>
        <w:jc w:val="both"/>
        <w:outlineLvl w:val="1"/>
      </w:pPr>
      <w:bookmarkStart w:id="11" w:name="heading_15"/>
      <w:r>
        <w:rPr>
          <w:rFonts w:ascii="Arial" w:hAnsi="Arial" w:eastAsia="等线" w:cs="Arial"/>
          <w:b/>
          <w:sz w:val="32"/>
        </w:rPr>
        <w:t>Module 5 : Système écosystème social cercles d’offre et demande commerciale (agrégat initial du module)</w:t>
      </w:r>
      <w:bookmarkEnd w:id="11"/>
    </w:p>
    <w:p w14:paraId="5BC6597B">
      <w:pPr>
        <w:spacing w:before="300" w:after="120" w:line="288" w:lineRule="auto"/>
        <w:jc w:val="both"/>
        <w:outlineLvl w:val="2"/>
      </w:pPr>
      <w:bookmarkStart w:id="12" w:name="heading_16"/>
      <w:r>
        <w:rPr>
          <w:rFonts w:ascii="Arial" w:hAnsi="Arial" w:eastAsia="等线" w:cs="Arial"/>
          <w:b/>
          <w:sz w:val="30"/>
        </w:rPr>
        <w:t>Liste des fonctions de niveau 3 (ajout capacités exclusives secteurs public et privé commerciaux)</w:t>
      </w:r>
      <w:bookmarkEnd w:id="12"/>
    </w:p>
    <w:p w14:paraId="5BADF863">
      <w:pPr>
        <w:numPr>
          <w:ilvl w:val="0"/>
          <w:numId w:val="26"/>
        </w:numPr>
        <w:spacing w:before="120" w:after="120" w:line="288" w:lineRule="auto"/>
        <w:jc w:val="both"/>
      </w:pPr>
      <w:r>
        <w:rPr>
          <w:rFonts w:ascii="Arial" w:hAnsi="Arial" w:eastAsia="等线" w:cs="Arial"/>
          <w:sz w:val="22"/>
        </w:rPr>
        <w:t>Page personnelle certifiée : authentification numéro opérateur, vérification visage, carte de visite électronique, publication textes/vidéo courte, système abonnés/fans, likes/commentaires/messages privés, enregistrement visites page, classification poids compte.</w:t>
      </w:r>
    </w:p>
    <w:p w14:paraId="21C0BB5F">
      <w:pPr>
        <w:numPr>
          <w:ilvl w:val="0"/>
          <w:numId w:val="27"/>
        </w:numPr>
        <w:spacing w:before="120" w:after="120" w:line="288" w:lineRule="auto"/>
        <w:jc w:val="both"/>
      </w:pPr>
      <w:r>
        <w:rPr>
          <w:rFonts w:ascii="Arial" w:hAnsi="Arial" w:eastAsia="等线" w:cs="Arial"/>
          <w:sz w:val="22"/>
        </w:rPr>
        <w:t>Place globale offre et demande commerciale : quatre rubriques publication : approvisionnement marchandises, demande achat, location transport, sous-location boutique ; filtre par étiquettes, correspondance intelligente offre-demande, mise en avant publication payante, pré-vérification conformité publication, lien garantie transaction offre-demande.</w:t>
      </w:r>
    </w:p>
    <w:p w14:paraId="0B84F31C">
      <w:pPr>
        <w:numPr>
          <w:ilvl w:val="0"/>
          <w:numId w:val="28"/>
        </w:numPr>
        <w:spacing w:before="120" w:after="120" w:line="288" w:lineRule="auto"/>
        <w:jc w:val="both"/>
      </w:pPr>
      <w:r>
        <w:rPr>
          <w:rFonts w:ascii="Arial" w:hAnsi="Arial" w:eastAsia="等线" w:cs="Arial"/>
          <w:sz w:val="22"/>
        </w:rPr>
        <w:t>Cercles commerciaux exclusifs opérateur : cercle marchands points de service, cercle commerce transfrontalier, cercle création locale public et privé, publication annonces politiques soutien opérateur, diffusion ciblée actualités commerciales secteur, contrôle permissions administrateur cercle.</w:t>
      </w:r>
    </w:p>
    <w:p w14:paraId="247B9046">
      <w:pPr>
        <w:numPr>
          <w:ilvl w:val="0"/>
          <w:numId w:val="29"/>
        </w:numPr>
        <w:spacing w:before="120" w:after="120" w:line="288" w:lineRule="auto"/>
        <w:jc w:val="both"/>
      </w:pPr>
      <w:r>
        <w:rPr>
          <w:rFonts w:ascii="Arial" w:hAnsi="Arial" w:eastAsia="等线" w:cs="Arial"/>
          <w:sz w:val="22"/>
        </w:rPr>
        <w:t>Back-office contrôle risque contenu global : bibliothèque mots illicites multi-langues interception, vérification IA images et textes, ticket signalement utilisateur, retrait publication, blocage ou limitation débit compte, traçabilité contenus illicites, archivage registre contrôle risque.</w:t>
      </w:r>
    </w:p>
    <w:p w14:paraId="215BD0BB">
      <w:pPr>
        <w:numPr>
          <w:ilvl w:val="0"/>
          <w:numId w:val="30"/>
        </w:numPr>
        <w:spacing w:before="120" w:after="120" w:line="288" w:lineRule="auto"/>
        <w:jc w:val="both"/>
      </w:pPr>
      <w:r>
        <w:rPr>
          <w:rFonts w:ascii="Arial" w:hAnsi="Arial" w:eastAsia="等线" w:cs="Arial"/>
          <w:sz w:val="22"/>
        </w:rPr>
        <w:t>Interconnexion avantages sociaux : coupon boutique offert à la publication, trafic gratuit opérateur offert à l’ajout de contact, points interaction cercle, échange points contre forfait, interconnexion de tous les avantages avec plateforme et activités opérateur.</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487"/>
        <w:gridCol w:w="4027"/>
      </w:tblGrid>
      <w:tr w14:paraId="4224F9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487" w:type="dxa"/>
            <w:tcMar>
              <w:top w:w="60" w:type="dxa"/>
              <w:left w:w="120" w:type="dxa"/>
              <w:bottom w:w="30" w:type="dxa"/>
              <w:right w:w="120" w:type="dxa"/>
            </w:tcMar>
          </w:tcPr>
          <w:p w14:paraId="2E223755">
            <w:pPr>
              <w:spacing w:before="120" w:after="120" w:line="288" w:lineRule="auto"/>
              <w:jc w:val="both"/>
            </w:pPr>
            <w:r>
              <w:rPr>
                <w:rFonts w:ascii="Arial" w:hAnsi="Arial" w:eastAsia="等线" w:cs="Arial"/>
                <w:sz w:val="22"/>
              </w:rPr>
              <w:t>Sous-module détaillé</w:t>
            </w:r>
          </w:p>
        </w:tc>
        <w:tc>
          <w:tcPr>
            <w:tcW w:w="4027" w:type="dxa"/>
            <w:tcMar>
              <w:top w:w="60" w:type="dxa"/>
              <w:left w:w="120" w:type="dxa"/>
              <w:bottom w:w="30" w:type="dxa"/>
              <w:right w:w="120" w:type="dxa"/>
            </w:tcMar>
          </w:tcPr>
          <w:p w14:paraId="691081CC">
            <w:pPr>
              <w:spacing w:before="120" w:after="120" w:line="288" w:lineRule="auto"/>
              <w:jc w:val="both"/>
            </w:pPr>
            <w:r>
              <w:rPr>
                <w:rFonts w:ascii="Arial" w:hAnsi="Arial" w:eastAsia="等线" w:cs="Arial"/>
                <w:sz w:val="22"/>
              </w:rPr>
              <w:t>Description des travaux de développement</w:t>
            </w:r>
          </w:p>
        </w:tc>
      </w:tr>
      <w:tr w14:paraId="12A697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2EFDE997">
            <w:pPr>
              <w:spacing w:before="120" w:after="120" w:line="288" w:lineRule="auto"/>
              <w:jc w:val="both"/>
            </w:pPr>
            <w:r>
              <w:rPr>
                <w:rFonts w:ascii="Arial" w:hAnsi="Arial" w:eastAsia="等线" w:cs="Arial"/>
                <w:sz w:val="22"/>
              </w:rPr>
              <w:t>Page personnelle, dynamiques vidéo courte, système abonnés, interconnexion avantages sociaux</w:t>
            </w:r>
          </w:p>
        </w:tc>
        <w:tc>
          <w:tcPr>
            <w:tcW w:w="4027" w:type="dxa"/>
            <w:tcMar>
              <w:top w:w="60" w:type="dxa"/>
              <w:left w:w="120" w:type="dxa"/>
              <w:bottom w:w="30" w:type="dxa"/>
              <w:right w:w="120" w:type="dxa"/>
            </w:tcMar>
          </w:tcPr>
          <w:p w14:paraId="57CD7FE1">
            <w:pPr>
              <w:spacing w:before="120" w:after="120" w:line="288" w:lineRule="auto"/>
              <w:jc w:val="both"/>
            </w:pPr>
            <w:r>
              <w:rPr>
                <w:rFonts w:ascii="Arial" w:hAnsi="Arial" w:eastAsia="等线" w:cs="Arial"/>
                <w:sz w:val="22"/>
              </w:rPr>
              <w:t>Mise en place page personnelle, publication dynamiques, interconnexion coupons et trafic gratuit opérateur</w:t>
            </w:r>
          </w:p>
        </w:tc>
      </w:tr>
      <w:tr w14:paraId="2B9603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554B89B7">
            <w:pPr>
              <w:spacing w:before="120" w:after="120" w:line="288" w:lineRule="auto"/>
              <w:jc w:val="left"/>
            </w:pPr>
            <w:r>
              <w:rPr>
                <w:rFonts w:ascii="Arial" w:hAnsi="Arial" w:eastAsia="等线" w:cs="Arial"/>
                <w:sz w:val="22"/>
              </w:rPr>
              <w:t>Publication offre-demande, correspondance intelligente, mise en avant payante, pré-vérification transaction</w:t>
            </w:r>
          </w:p>
        </w:tc>
        <w:tc>
          <w:tcPr>
            <w:tcW w:w="4027" w:type="dxa"/>
            <w:tcMar>
              <w:top w:w="60" w:type="dxa"/>
              <w:left w:w="120" w:type="dxa"/>
              <w:bottom w:w="30" w:type="dxa"/>
              <w:right w:w="120" w:type="dxa"/>
            </w:tcMar>
          </w:tcPr>
          <w:p w14:paraId="6E859B32">
            <w:pPr>
              <w:spacing w:before="120" w:after="120" w:line="288" w:lineRule="auto"/>
              <w:jc w:val="both"/>
            </w:pPr>
            <w:r>
              <w:rPr>
                <w:rFonts w:ascii="Arial" w:hAnsi="Arial" w:eastAsia="等线" w:cs="Arial"/>
                <w:sz w:val="22"/>
              </w:rPr>
              <w:t>Algorithme publication offre-demande, filtre correspondance, chaîne paiement mise en avant</w:t>
            </w:r>
          </w:p>
        </w:tc>
      </w:tr>
      <w:tr w14:paraId="3A244C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49592919">
            <w:pPr>
              <w:spacing w:before="120" w:after="120" w:line="288" w:lineRule="auto"/>
              <w:jc w:val="both"/>
            </w:pPr>
            <w:r>
              <w:rPr>
                <w:rFonts w:ascii="Arial" w:hAnsi="Arial" w:eastAsia="等线" w:cs="Arial"/>
                <w:sz w:val="22"/>
              </w:rPr>
              <w:t>Cercles commerciaux opérateur public et privé, annonces actualités, permissions cercle</w:t>
            </w:r>
          </w:p>
        </w:tc>
        <w:tc>
          <w:tcPr>
            <w:tcW w:w="4027" w:type="dxa"/>
            <w:tcMar>
              <w:top w:w="60" w:type="dxa"/>
              <w:left w:w="120" w:type="dxa"/>
              <w:bottom w:w="30" w:type="dxa"/>
              <w:right w:w="120" w:type="dxa"/>
            </w:tcMar>
          </w:tcPr>
          <w:p w14:paraId="687B3784">
            <w:pPr>
              <w:spacing w:before="120" w:after="120" w:line="288" w:lineRule="auto"/>
              <w:jc w:val="both"/>
            </w:pPr>
            <w:r>
              <w:rPr>
                <w:rFonts w:ascii="Arial" w:hAnsi="Arial" w:eastAsia="等线" w:cs="Arial"/>
                <w:sz w:val="22"/>
              </w:rPr>
              <w:t>Mise en place cercles exclusifs, diffusion politiques, gestion hiérarchisée cercles</w:t>
            </w:r>
          </w:p>
        </w:tc>
      </w:tr>
      <w:tr w14:paraId="42877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87" w:type="dxa"/>
            <w:tcMar>
              <w:top w:w="60" w:type="dxa"/>
              <w:left w:w="120" w:type="dxa"/>
              <w:bottom w:w="30" w:type="dxa"/>
              <w:right w:w="120" w:type="dxa"/>
            </w:tcMar>
          </w:tcPr>
          <w:p w14:paraId="6A335A48">
            <w:pPr>
              <w:spacing w:before="120" w:after="120" w:line="288" w:lineRule="auto"/>
              <w:jc w:val="both"/>
            </w:pPr>
            <w:r>
              <w:rPr>
                <w:rFonts w:ascii="Arial" w:hAnsi="Arial" w:eastAsia="等线" w:cs="Arial"/>
                <w:sz w:val="22"/>
              </w:rPr>
              <w:t>Vérification contenu, ticket signalement, contrôle risque compte, gestion bibliothèque mots</w:t>
            </w:r>
          </w:p>
        </w:tc>
        <w:tc>
          <w:tcPr>
            <w:tcW w:w="4027" w:type="dxa"/>
            <w:tcMar>
              <w:top w:w="60" w:type="dxa"/>
              <w:left w:w="120" w:type="dxa"/>
              <w:bottom w:w="30" w:type="dxa"/>
              <w:right w:w="120" w:type="dxa"/>
            </w:tcMar>
          </w:tcPr>
          <w:p w14:paraId="51DBA4E8">
            <w:pPr>
              <w:spacing w:before="120" w:after="120" w:line="288" w:lineRule="auto"/>
              <w:jc w:val="both"/>
            </w:pPr>
            <w:r>
              <w:rPr>
                <w:rFonts w:ascii="Arial" w:hAnsi="Arial" w:eastAsia="等线" w:cs="Arial"/>
                <w:sz w:val="22"/>
              </w:rPr>
              <w:t>Vérification IA images et textes, circulation tickets, création bibliothèque mots illicites langues locales</w:t>
            </w:r>
          </w:p>
        </w:tc>
      </w:tr>
    </w:tbl>
    <w:p w14:paraId="03471DD3">
      <w:pPr>
        <w:spacing w:before="320" w:after="120" w:line="288" w:lineRule="auto"/>
        <w:jc w:val="both"/>
        <w:outlineLvl w:val="1"/>
      </w:pPr>
      <w:bookmarkStart w:id="13" w:name="heading_18"/>
      <w:r>
        <w:rPr>
          <w:rFonts w:ascii="Arial" w:hAnsi="Arial" w:eastAsia="等线" w:cs="Arial"/>
          <w:b/>
          <w:sz w:val="32"/>
        </w:rPr>
        <w:t>Module 6 : Assistant métier intelligent IA multi-langues (agrégat initial du module)</w:t>
      </w:r>
      <w:bookmarkEnd w:id="13"/>
    </w:p>
    <w:p w14:paraId="4CC2B5E8">
      <w:pPr>
        <w:spacing w:before="300" w:after="120" w:line="288" w:lineRule="auto"/>
        <w:jc w:val="both"/>
        <w:outlineLvl w:val="2"/>
      </w:pPr>
      <w:bookmarkStart w:id="14" w:name="heading_19"/>
      <w:r>
        <w:rPr>
          <w:rFonts w:ascii="Arial" w:hAnsi="Arial" w:eastAsia="等线" w:cs="Arial"/>
          <w:b/>
          <w:sz w:val="30"/>
        </w:rPr>
        <w:t>Liste des fonctions de niveau 3 (ajout base de connaissances exclusive opérateur)</w:t>
      </w:r>
      <w:bookmarkEnd w:id="14"/>
    </w:p>
    <w:p w14:paraId="273EAEF3">
      <w:pPr>
        <w:numPr>
          <w:ilvl w:val="0"/>
          <w:numId w:val="31"/>
        </w:numPr>
        <w:spacing w:before="120" w:after="120" w:line="288" w:lineRule="auto"/>
        <w:jc w:val="both"/>
      </w:pPr>
      <w:r>
        <w:rPr>
          <w:rFonts w:ascii="Arial" w:hAnsi="Arial" w:eastAsia="等线" w:cs="Arial"/>
          <w:sz w:val="22"/>
        </w:rPr>
        <w:t>Interaction intelligente trois langues : reconnaissance vocale français oral standard, lingala local, chinois maintenance ; conversion voix-texte, lecture intelligente texte, adaptation sémantique langue locale, reconnaissance voix réduction bruit accents.</w:t>
      </w:r>
    </w:p>
    <w:p w14:paraId="4BB0C683">
      <w:pPr>
        <w:numPr>
          <w:ilvl w:val="0"/>
          <w:numId w:val="32"/>
        </w:numPr>
        <w:spacing w:before="120" w:after="120" w:line="288" w:lineRule="auto"/>
        <w:jc w:val="both"/>
      </w:pPr>
      <w:r>
        <w:rPr>
          <w:rFonts w:ascii="Arial" w:hAnsi="Arial" w:eastAsia="等线" w:cs="Arial"/>
          <w:sz w:val="22"/>
        </w:rPr>
        <w:t>Réponses IA tous métiers : assistance intelligente pour huit scénarios : communication IM, commande boutique, suivi logistique, retrait paiement, prélèvement forfait, inscription marchand, litige après-vente, déclaration douanière transfrontalière.</w:t>
      </w:r>
    </w:p>
    <w:p w14:paraId="13980987">
      <w:pPr>
        <w:numPr>
          <w:ilvl w:val="0"/>
          <w:numId w:val="33"/>
        </w:numPr>
        <w:spacing w:before="120" w:after="120" w:line="288" w:lineRule="auto"/>
        <w:jc w:val="both"/>
      </w:pPr>
      <w:r>
        <w:rPr>
          <w:rFonts w:ascii="Arial" w:hAnsi="Arial" w:eastAsia="等线" w:cs="Arial"/>
          <w:sz w:val="22"/>
        </w:rPr>
        <w:t>Circulation tickets intelligents : prise en charge automatique IA, circulation hiérarchisée vers service client humain, liaison ticket commande utilisateur, consultation temps réel avancement, retour satisfaction après traitement, statistiques données tickets, alerte ticket retardé.</w:t>
      </w:r>
    </w:p>
    <w:p w14:paraId="35301469">
      <w:pPr>
        <w:numPr>
          <w:ilvl w:val="0"/>
          <w:numId w:val="34"/>
        </w:numPr>
        <w:spacing w:before="120" w:after="120" w:line="288" w:lineRule="auto"/>
        <w:jc w:val="both"/>
      </w:pPr>
      <w:r>
        <w:rPr>
          <w:rFonts w:ascii="Arial" w:hAnsi="Arial" w:eastAsia="等线" w:cs="Arial"/>
          <w:sz w:val="22"/>
        </w:rPr>
        <w:t>Base de connaissances visuelle : base de connaissances exclusive communications opérateur, base de connaissances globale activités plateforme, ajout/modification formulation autonome depuis back-office, basculement automatique formulations vacances.</w:t>
      </w:r>
    </w:p>
    <w:p w14:paraId="4E71B1ED">
      <w:pPr>
        <w:numPr>
          <w:ilvl w:val="0"/>
          <w:numId w:val="35"/>
        </w:numPr>
        <w:spacing w:before="120" w:after="120" w:line="288" w:lineRule="auto"/>
        <w:jc w:val="both"/>
      </w:pPr>
      <w:r>
        <w:rPr>
          <w:rFonts w:ascii="Arial" w:hAnsi="Arial" w:eastAsia="等线" w:cs="Arial"/>
          <w:sz w:val="22"/>
        </w:rPr>
        <w:t>Rappel intelligent proactif : rappel pop-up + vocal bidirectionnel pour impayé forfait, réception logistique, arrivée remboursement, échéance facture, expiration qualification ; notification secondaire SMS opérateur en parallèle.</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523"/>
        <w:gridCol w:w="3955"/>
      </w:tblGrid>
      <w:tr w14:paraId="4136F9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3" w:type="dxa"/>
            <w:tcMar>
              <w:top w:w="60" w:type="dxa"/>
              <w:left w:w="120" w:type="dxa"/>
              <w:bottom w:w="30" w:type="dxa"/>
              <w:right w:w="120" w:type="dxa"/>
            </w:tcMar>
          </w:tcPr>
          <w:p w14:paraId="11C4BDBC">
            <w:pPr>
              <w:spacing w:before="120" w:after="120" w:line="288" w:lineRule="auto"/>
              <w:jc w:val="both"/>
            </w:pPr>
            <w:r>
              <w:rPr>
                <w:rFonts w:ascii="Arial" w:hAnsi="Arial" w:eastAsia="等线" w:cs="Arial"/>
                <w:sz w:val="22"/>
              </w:rPr>
              <w:t>Sous-module détaillé</w:t>
            </w:r>
          </w:p>
        </w:tc>
        <w:tc>
          <w:tcPr>
            <w:tcW w:w="3955" w:type="dxa"/>
            <w:tcMar>
              <w:top w:w="60" w:type="dxa"/>
              <w:left w:w="120" w:type="dxa"/>
              <w:bottom w:w="30" w:type="dxa"/>
              <w:right w:w="120" w:type="dxa"/>
            </w:tcMar>
          </w:tcPr>
          <w:p w14:paraId="0D222479">
            <w:pPr>
              <w:spacing w:before="120" w:after="120" w:line="288" w:lineRule="auto"/>
              <w:jc w:val="both"/>
            </w:pPr>
            <w:r>
              <w:rPr>
                <w:rFonts w:ascii="Arial" w:hAnsi="Arial" w:eastAsia="等线" w:cs="Arial"/>
                <w:sz w:val="22"/>
              </w:rPr>
              <w:t>Description des travaux de développement</w:t>
            </w:r>
          </w:p>
        </w:tc>
      </w:tr>
      <w:tr w14:paraId="5C24B8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3" w:type="dxa"/>
            <w:tcMar>
              <w:top w:w="60" w:type="dxa"/>
              <w:left w:w="120" w:type="dxa"/>
              <w:bottom w:w="30" w:type="dxa"/>
              <w:right w:w="120" w:type="dxa"/>
            </w:tcMar>
          </w:tcPr>
          <w:p w14:paraId="3820FD7F">
            <w:pPr>
              <w:spacing w:before="120" w:after="120" w:line="288" w:lineRule="auto"/>
              <w:jc w:val="both"/>
            </w:pPr>
            <w:r>
              <w:rPr>
                <w:rFonts w:ascii="Arial" w:hAnsi="Arial" w:eastAsia="等线" w:cs="Arial"/>
                <w:sz w:val="22"/>
              </w:rPr>
              <w:t>Reconnaissance vocale trois langues, réduction bruit langue locale, adaptation front interaction</w:t>
            </w:r>
          </w:p>
        </w:tc>
        <w:tc>
          <w:tcPr>
            <w:tcW w:w="3955" w:type="dxa"/>
            <w:tcMar>
              <w:top w:w="60" w:type="dxa"/>
              <w:left w:w="120" w:type="dxa"/>
              <w:bottom w:w="30" w:type="dxa"/>
              <w:right w:w="120" w:type="dxa"/>
            </w:tcMar>
          </w:tcPr>
          <w:p w14:paraId="07050549">
            <w:pPr>
              <w:spacing w:before="120" w:after="120" w:line="288" w:lineRule="auto"/>
              <w:jc w:val="both"/>
            </w:pPr>
            <w:r>
              <w:rPr>
                <w:rFonts w:ascii="Arial" w:hAnsi="Arial" w:eastAsia="等线" w:cs="Arial"/>
                <w:sz w:val="22"/>
              </w:rPr>
              <w:t>Entraînement sémantique langue locale, lecture vocale, développement interface interaction multi-terminaux</w:t>
            </w:r>
          </w:p>
        </w:tc>
      </w:tr>
      <w:tr w14:paraId="12069B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3" w:type="dxa"/>
            <w:tcMar>
              <w:top w:w="60" w:type="dxa"/>
              <w:left w:w="120" w:type="dxa"/>
              <w:bottom w:w="30" w:type="dxa"/>
              <w:right w:w="120" w:type="dxa"/>
            </w:tcMar>
          </w:tcPr>
          <w:p w14:paraId="7F8D9D3D">
            <w:pPr>
              <w:spacing w:before="120" w:after="120" w:line="288" w:lineRule="auto"/>
              <w:jc w:val="both"/>
            </w:pPr>
            <w:r>
              <w:rPr>
                <w:rFonts w:ascii="Arial" w:hAnsi="Arial" w:eastAsia="等线" w:cs="Arial"/>
                <w:sz w:val="22"/>
              </w:rPr>
              <w:t>Mise en place base de connaissances IA métier global + opérateur, reconnaissance intention</w:t>
            </w:r>
          </w:p>
        </w:tc>
        <w:tc>
          <w:tcPr>
            <w:tcW w:w="3955" w:type="dxa"/>
            <w:tcMar>
              <w:top w:w="60" w:type="dxa"/>
              <w:left w:w="120" w:type="dxa"/>
              <w:bottom w:w="30" w:type="dxa"/>
              <w:right w:w="120" w:type="dxa"/>
            </w:tcMar>
          </w:tcPr>
          <w:p w14:paraId="46051389">
            <w:pPr>
              <w:spacing w:before="120" w:after="120" w:line="288" w:lineRule="auto"/>
              <w:jc w:val="both"/>
            </w:pPr>
            <w:r>
              <w:rPr>
                <w:rFonts w:ascii="Arial" w:hAnsi="Arial" w:eastAsia="等线" w:cs="Arial"/>
                <w:sz w:val="22"/>
              </w:rPr>
              <w:t>Réponses métier communications, formulations tous scénarios, base de reconnaissance sémantique</w:t>
            </w:r>
          </w:p>
        </w:tc>
      </w:tr>
      <w:tr w14:paraId="65FA8D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3" w:type="dxa"/>
            <w:tcMar>
              <w:top w:w="60" w:type="dxa"/>
              <w:left w:w="120" w:type="dxa"/>
              <w:bottom w:w="30" w:type="dxa"/>
              <w:right w:w="120" w:type="dxa"/>
            </w:tcMar>
          </w:tcPr>
          <w:p w14:paraId="7EE305EF">
            <w:pPr>
              <w:spacing w:before="120" w:after="120" w:line="288" w:lineRule="auto"/>
              <w:jc w:val="both"/>
            </w:pPr>
            <w:r>
              <w:rPr>
                <w:rFonts w:ascii="Arial" w:hAnsi="Arial" w:eastAsia="等线" w:cs="Arial"/>
                <w:sz w:val="22"/>
              </w:rPr>
              <w:t>Circulation tickets, rappel bidirectionnel, liaison service client, back-office base de connaissances</w:t>
            </w:r>
          </w:p>
        </w:tc>
        <w:tc>
          <w:tcPr>
            <w:tcW w:w="3955" w:type="dxa"/>
            <w:tcMar>
              <w:top w:w="60" w:type="dxa"/>
              <w:left w:w="120" w:type="dxa"/>
              <w:bottom w:w="30" w:type="dxa"/>
              <w:right w:w="120" w:type="dxa"/>
            </w:tcMar>
          </w:tcPr>
          <w:p w14:paraId="5E0ED27B">
            <w:pPr>
              <w:spacing w:before="120" w:after="120" w:line="288" w:lineRule="auto"/>
              <w:jc w:val="both"/>
            </w:pPr>
            <w:r>
              <w:rPr>
                <w:rFonts w:ascii="Arial" w:hAnsi="Arial" w:eastAsia="等线" w:cs="Arial"/>
                <w:sz w:val="22"/>
              </w:rPr>
              <w:t>Boucle complète tickets, rappel proactif, développement back-office configuration formulations visuelle</w:t>
            </w:r>
          </w:p>
        </w:tc>
      </w:tr>
    </w:tbl>
    <w:p w14:paraId="4B750E3F">
      <w:pPr>
        <w:spacing w:before="320" w:after="120" w:line="288" w:lineRule="auto"/>
        <w:jc w:val="both"/>
        <w:outlineLvl w:val="1"/>
      </w:pPr>
      <w:bookmarkStart w:id="15" w:name="heading_21"/>
      <w:r>
        <w:rPr>
          <w:rFonts w:ascii="Arial" w:hAnsi="Arial" w:eastAsia="等线" w:cs="Arial"/>
          <w:b/>
          <w:sz w:val="32"/>
        </w:rPr>
        <w:t>Module 7 : Socle technique de base + back-office de gestion opérationnelle hiérarchisée global (agrégat initial du module)</w:t>
      </w:r>
      <w:bookmarkEnd w:id="15"/>
    </w:p>
    <w:p w14:paraId="4A2E0B10">
      <w:pPr>
        <w:numPr>
          <w:ilvl w:val="0"/>
          <w:numId w:val="36"/>
        </w:numPr>
        <w:spacing w:before="120" w:after="120" w:line="288" w:lineRule="auto"/>
        <w:jc w:val="both"/>
      </w:pPr>
      <w:r>
        <w:rPr>
          <w:rFonts w:ascii="Arial" w:hAnsi="Arial" w:eastAsia="等线" w:cs="Arial"/>
          <w:sz w:val="22"/>
        </w:rPr>
        <w:t>Système compte opérateur unifié : connexion en un clic numéro, connexion code de validation, vérification visage, connexion mot de passe, gel/dégel compte, contrôle risque connexion hors territoire, interconnexion compte global opérateur.</w:t>
      </w:r>
    </w:p>
    <w:p w14:paraId="5C8E725A">
      <w:pPr>
        <w:numPr>
          <w:ilvl w:val="0"/>
          <w:numId w:val="37"/>
        </w:numPr>
        <w:spacing w:before="120" w:after="120" w:line="288" w:lineRule="auto"/>
        <w:jc w:val="both"/>
      </w:pPr>
      <w:r>
        <w:rPr>
          <w:rFonts w:ascii="Arial" w:hAnsi="Arial" w:eastAsia="等线" w:cs="Arial"/>
          <w:sz w:val="22"/>
        </w:rPr>
        <w:t>Isolement permissions RBAC huit niveaux : huit rôles à permissions indépendantes séparant les données : super-administrateur, maintenance opérateur, exploitation plateforme, chargé finance, administrateur marchands, agents décentralisés, administrateur flottes, service client.</w:t>
      </w:r>
    </w:p>
    <w:p w14:paraId="450706FF">
      <w:pPr>
        <w:numPr>
          <w:ilvl w:val="0"/>
          <w:numId w:val="38"/>
        </w:numPr>
        <w:spacing w:before="120" w:after="120" w:line="288" w:lineRule="auto"/>
        <w:jc w:val="both"/>
      </w:pPr>
      <w:r>
        <w:rPr>
          <w:rFonts w:ascii="Arial" w:hAnsi="Arial" w:eastAsia="等线" w:cs="Arial"/>
          <w:sz w:val="22"/>
        </w:rPr>
        <w:t>Grand écran visuel données global : sept grands écrans visuels : croissance utilisateurs, recettes commandes, flux fonds, volume bons logistiques, activité IM, recettes marchands, partage bénéfices agents ; export tableaux, diffusion données programmée.</w:t>
      </w:r>
    </w:p>
    <w:p w14:paraId="5C5DCA4C">
      <w:pPr>
        <w:numPr>
          <w:ilvl w:val="0"/>
          <w:numId w:val="39"/>
        </w:numPr>
        <w:spacing w:before="120" w:after="120" w:line="288" w:lineRule="auto"/>
        <w:jc w:val="both"/>
      </w:pPr>
      <w:r>
        <w:rPr>
          <w:rFonts w:ascii="Arial" w:hAnsi="Arial" w:eastAsia="等线" w:cs="Arial"/>
          <w:sz w:val="22"/>
        </w:rPr>
        <w:t>Capacités gestion exploitation système : configuration globale trois langues, gestion clés canal diffusion, journaux serveur, alerte anomalie, sauvegarde distante programmée, limitation débit interface, publication dégradée des activités, contrôle mise en ligne version par lots.</w:t>
      </w:r>
    </w:p>
    <w:p w14:paraId="5F18D54D">
      <w:pPr>
        <w:numPr>
          <w:ilvl w:val="0"/>
          <w:numId w:val="40"/>
        </w:numPr>
        <w:spacing w:before="120" w:after="120" w:line="288" w:lineRule="auto"/>
        <w:jc w:val="both"/>
      </w:pPr>
      <w:r>
        <w:rPr>
          <w:rFonts w:ascii="Arial" w:hAnsi="Arial" w:eastAsia="等线" w:cs="Arial"/>
          <w:sz w:val="22"/>
        </w:rPr>
        <w:t>Optimisation compatibilité multi-terminaux : compatibilité appareils Android bas de gamme africains, adaptation toutes versions iOS, back-office Web adaptatif, adaptation H5 agents, optimisation limitation flux base hors connexion, architecture reconnexion automatique coupure réseau.</w:t>
      </w:r>
    </w:p>
    <w:p w14:paraId="27D72A15">
      <w:pPr>
        <w:numPr>
          <w:ilvl w:val="0"/>
          <w:numId w:val="41"/>
        </w:numPr>
        <w:spacing w:before="120" w:after="120" w:line="288" w:lineRule="auto"/>
        <w:jc w:val="both"/>
      </w:pPr>
      <w:r>
        <w:rPr>
          <w:rFonts w:ascii="Arial" w:hAnsi="Arial" w:eastAsia="等线" w:cs="Arial"/>
          <w:sz w:val="22"/>
        </w:rPr>
        <w:t>Back-office interconnexion intranet opérateur : statistiques trafic communication, synchronisation numéros à risque, contrôle unifié comptes points de service, surveillance état interface opérateur, tableau de bord rapprochement données activités communication.</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496"/>
        <w:gridCol w:w="4018"/>
      </w:tblGrid>
      <w:tr w14:paraId="5EC134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96" w:type="dxa"/>
            <w:tcMar>
              <w:top w:w="60" w:type="dxa"/>
              <w:left w:w="120" w:type="dxa"/>
              <w:bottom w:w="30" w:type="dxa"/>
              <w:right w:w="120" w:type="dxa"/>
            </w:tcMar>
          </w:tcPr>
          <w:p w14:paraId="5D18E584">
            <w:pPr>
              <w:spacing w:before="120" w:after="120" w:line="288" w:lineRule="auto"/>
              <w:jc w:val="both"/>
            </w:pPr>
            <w:r>
              <w:rPr>
                <w:rFonts w:ascii="Arial" w:hAnsi="Arial" w:eastAsia="等线" w:cs="Arial"/>
                <w:sz w:val="22"/>
              </w:rPr>
              <w:t>Sous-module détaillé</w:t>
            </w:r>
          </w:p>
        </w:tc>
        <w:tc>
          <w:tcPr>
            <w:tcW w:w="4018" w:type="dxa"/>
            <w:tcMar>
              <w:top w:w="60" w:type="dxa"/>
              <w:left w:w="120" w:type="dxa"/>
              <w:bottom w:w="30" w:type="dxa"/>
              <w:right w:w="120" w:type="dxa"/>
            </w:tcMar>
          </w:tcPr>
          <w:p w14:paraId="1381329D">
            <w:pPr>
              <w:spacing w:before="120" w:after="120" w:line="288" w:lineRule="auto"/>
              <w:jc w:val="both"/>
            </w:pPr>
            <w:r>
              <w:rPr>
                <w:rFonts w:ascii="Arial" w:hAnsi="Arial" w:eastAsia="等线" w:cs="Arial"/>
                <w:sz w:val="22"/>
              </w:rPr>
              <w:t>Description des travaux de développement</w:t>
            </w:r>
          </w:p>
        </w:tc>
      </w:tr>
      <w:tr w14:paraId="6520A4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96" w:type="dxa"/>
            <w:tcMar>
              <w:top w:w="60" w:type="dxa"/>
              <w:left w:w="120" w:type="dxa"/>
              <w:bottom w:w="30" w:type="dxa"/>
              <w:right w:w="120" w:type="dxa"/>
            </w:tcMar>
          </w:tcPr>
          <w:p w14:paraId="105E67D2">
            <w:pPr>
              <w:spacing w:before="120" w:after="120" w:line="288" w:lineRule="auto"/>
              <w:jc w:val="both"/>
            </w:pPr>
            <w:r>
              <w:rPr>
                <w:rFonts w:ascii="Arial" w:hAnsi="Arial" w:eastAsia="等线" w:cs="Arial"/>
                <w:sz w:val="22"/>
              </w:rPr>
              <w:t>Authentification compte opérateur, développement base isolement permissions RBAC huit niveaux</w:t>
            </w:r>
          </w:p>
        </w:tc>
        <w:tc>
          <w:tcPr>
            <w:tcW w:w="4018" w:type="dxa"/>
            <w:tcMar>
              <w:top w:w="60" w:type="dxa"/>
              <w:left w:w="120" w:type="dxa"/>
              <w:bottom w:w="30" w:type="dxa"/>
              <w:right w:w="120" w:type="dxa"/>
            </w:tcMar>
          </w:tcPr>
          <w:p w14:paraId="71C7327D">
            <w:pPr>
              <w:spacing w:before="120" w:after="120" w:line="288" w:lineRule="auto"/>
              <w:jc w:val="both"/>
            </w:pPr>
            <w:r>
              <w:rPr>
                <w:rFonts w:ascii="Arial" w:hAnsi="Arial" w:eastAsia="等线" w:cs="Arial"/>
                <w:sz w:val="22"/>
              </w:rPr>
              <w:t>Interconnexion comptes, système de répartition des droits, isolement données, contrôle risque connexion</w:t>
            </w:r>
          </w:p>
        </w:tc>
      </w:tr>
      <w:tr w14:paraId="771399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96" w:type="dxa"/>
            <w:tcMar>
              <w:top w:w="60" w:type="dxa"/>
              <w:left w:w="120" w:type="dxa"/>
              <w:bottom w:w="30" w:type="dxa"/>
              <w:right w:w="120" w:type="dxa"/>
            </w:tcMar>
          </w:tcPr>
          <w:p w14:paraId="7B303097">
            <w:pPr>
              <w:spacing w:before="120" w:after="120" w:line="288" w:lineRule="auto"/>
              <w:jc w:val="both"/>
            </w:pPr>
            <w:r>
              <w:rPr>
                <w:rFonts w:ascii="Arial" w:hAnsi="Arial" w:eastAsia="等线" w:cs="Arial"/>
                <w:sz w:val="22"/>
              </w:rPr>
              <w:t>Sept grands écrans données métier, tableaux visuels, export programmé</w:t>
            </w:r>
          </w:p>
        </w:tc>
        <w:tc>
          <w:tcPr>
            <w:tcW w:w="4018" w:type="dxa"/>
            <w:tcMar>
              <w:top w:w="60" w:type="dxa"/>
              <w:left w:w="120" w:type="dxa"/>
              <w:bottom w:w="30" w:type="dxa"/>
              <w:right w:w="120" w:type="dxa"/>
            </w:tcMar>
          </w:tcPr>
          <w:p w14:paraId="1296D135">
            <w:pPr>
              <w:spacing w:before="120" w:after="120" w:line="288" w:lineRule="auto"/>
              <w:jc w:val="both"/>
            </w:pPr>
            <w:r>
              <w:rPr>
                <w:rFonts w:ascii="Arial" w:hAnsi="Arial" w:eastAsia="等线" w:cs="Arial"/>
                <w:sz w:val="22"/>
              </w:rPr>
              <w:t>Agrégation données, visualisation grand écran, développement tableaux statistiques multi-dimensions</w:t>
            </w:r>
          </w:p>
        </w:tc>
      </w:tr>
      <w:tr w14:paraId="1F937E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96" w:type="dxa"/>
            <w:tcMar>
              <w:top w:w="60" w:type="dxa"/>
              <w:left w:w="120" w:type="dxa"/>
              <w:bottom w:w="30" w:type="dxa"/>
              <w:right w:w="120" w:type="dxa"/>
            </w:tcMar>
          </w:tcPr>
          <w:p w14:paraId="0F94350C">
            <w:pPr>
              <w:spacing w:before="120" w:after="120" w:line="288" w:lineRule="auto"/>
              <w:jc w:val="both"/>
            </w:pPr>
            <w:r>
              <w:rPr>
                <w:rFonts w:ascii="Arial" w:hAnsi="Arial" w:eastAsia="等线" w:cs="Arial"/>
                <w:sz w:val="22"/>
              </w:rPr>
              <w:t>Clés système, sauvegarde alerte, publication dégradée, exploitation limitation débit interface</w:t>
            </w:r>
          </w:p>
        </w:tc>
        <w:tc>
          <w:tcPr>
            <w:tcW w:w="4018" w:type="dxa"/>
            <w:tcMar>
              <w:top w:w="60" w:type="dxa"/>
              <w:left w:w="120" w:type="dxa"/>
              <w:bottom w:w="30" w:type="dxa"/>
              <w:right w:w="120" w:type="dxa"/>
            </w:tcMar>
          </w:tcPr>
          <w:p w14:paraId="41169113">
            <w:pPr>
              <w:spacing w:before="120" w:after="120" w:line="288" w:lineRule="auto"/>
              <w:jc w:val="both"/>
            </w:pPr>
            <w:r>
              <w:rPr>
                <w:rFonts w:ascii="Arial" w:hAnsi="Arial" w:eastAsia="等线" w:cs="Arial"/>
                <w:sz w:val="22"/>
              </w:rPr>
              <w:t>Reprise catastrophe système, publication dégradée version, contrôle risque interface, journal alerte</w:t>
            </w:r>
          </w:p>
        </w:tc>
      </w:tr>
      <w:tr w14:paraId="290618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96" w:type="dxa"/>
            <w:tcMar>
              <w:top w:w="60" w:type="dxa"/>
              <w:left w:w="120" w:type="dxa"/>
              <w:bottom w:w="30" w:type="dxa"/>
              <w:right w:w="120" w:type="dxa"/>
            </w:tcMar>
          </w:tcPr>
          <w:p w14:paraId="11340364">
            <w:pPr>
              <w:spacing w:before="120" w:after="120" w:line="288" w:lineRule="auto"/>
              <w:jc w:val="both"/>
            </w:pPr>
            <w:r>
              <w:rPr>
                <w:rFonts w:ascii="Arial" w:hAnsi="Arial" w:eastAsia="等线" w:cs="Arial"/>
                <w:sz w:val="22"/>
              </w:rPr>
              <w:t>Adaptation appareils bas de gamme, compatibilité multi-terminaux, configuration langue globale</w:t>
            </w:r>
          </w:p>
        </w:tc>
        <w:tc>
          <w:tcPr>
            <w:tcW w:w="4018" w:type="dxa"/>
            <w:tcMar>
              <w:top w:w="60" w:type="dxa"/>
              <w:left w:w="120" w:type="dxa"/>
              <w:bottom w:w="30" w:type="dxa"/>
              <w:right w:w="120" w:type="dxa"/>
            </w:tcMar>
          </w:tcPr>
          <w:p w14:paraId="77FBD244">
            <w:pPr>
              <w:spacing w:before="120" w:after="120" w:line="288" w:lineRule="auto"/>
              <w:jc w:val="both"/>
            </w:pPr>
            <w:r>
              <w:rPr>
                <w:rFonts w:ascii="Arial" w:hAnsi="Arial" w:eastAsia="等线" w:cs="Arial"/>
                <w:sz w:val="22"/>
              </w:rPr>
              <w:t>Optimisation appareils africains, compatibilité UI multi-terminaux, back-office configuration langue</w:t>
            </w:r>
          </w:p>
        </w:tc>
      </w:tr>
      <w:tr w14:paraId="17D152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496" w:type="dxa"/>
            <w:tcMar>
              <w:top w:w="60" w:type="dxa"/>
              <w:left w:w="120" w:type="dxa"/>
              <w:bottom w:w="30" w:type="dxa"/>
              <w:right w:w="120" w:type="dxa"/>
            </w:tcMar>
          </w:tcPr>
          <w:p w14:paraId="7F9F8D68">
            <w:pPr>
              <w:spacing w:before="120" w:after="120" w:line="288" w:lineRule="auto"/>
              <w:jc w:val="both"/>
            </w:pPr>
            <w:r>
              <w:rPr>
                <w:rFonts w:ascii="Arial" w:hAnsi="Arial" w:eastAsia="等线" w:cs="Arial"/>
                <w:sz w:val="22"/>
              </w:rPr>
              <w:t>Interconnexion intranet opérateur, contrôle numéros à risque, back-office gestion points de service</w:t>
            </w:r>
          </w:p>
        </w:tc>
        <w:tc>
          <w:tcPr>
            <w:tcW w:w="4018" w:type="dxa"/>
            <w:tcMar>
              <w:top w:w="60" w:type="dxa"/>
              <w:left w:w="120" w:type="dxa"/>
              <w:bottom w:w="30" w:type="dxa"/>
              <w:right w:w="120" w:type="dxa"/>
            </w:tcMar>
          </w:tcPr>
          <w:p w14:paraId="6282722A">
            <w:pPr>
              <w:spacing w:before="120" w:after="120" w:line="288" w:lineRule="auto"/>
              <w:jc w:val="both"/>
            </w:pPr>
            <w:r>
              <w:rPr>
                <w:rFonts w:ascii="Arial" w:hAnsi="Arial" w:eastAsia="等线" w:cs="Arial"/>
                <w:sz w:val="22"/>
              </w:rPr>
              <w:t>Connexion interfaces intranet, contrôle points de service, tableau de bord rapprochement données communication</w:t>
            </w:r>
          </w:p>
        </w:tc>
      </w:tr>
    </w:tbl>
    <w:p w14:paraId="521A96FA">
      <w:pPr>
        <w:spacing w:before="320" w:after="120" w:line="288" w:lineRule="auto"/>
        <w:jc w:val="both"/>
        <w:outlineLvl w:val="1"/>
      </w:pPr>
      <w:bookmarkStart w:id="16" w:name="heading_24"/>
      <w:r>
        <w:rPr>
          <w:rFonts w:ascii="Arial" w:hAnsi="Arial" w:eastAsia="等线" w:cs="Arial"/>
          <w:b/>
          <w:sz w:val="32"/>
        </w:rPr>
        <w:t>Module 8 : Adaptation locale spécifique conformité globale RDC (agrégat initial du module)</w:t>
      </w:r>
      <w:bookmarkEnd w:id="16"/>
    </w:p>
    <w:p w14:paraId="0E8C6C45">
      <w:pPr>
        <w:spacing w:before="300" w:after="120" w:line="288" w:lineRule="auto"/>
        <w:jc w:val="both"/>
        <w:outlineLvl w:val="2"/>
      </w:pPr>
      <w:bookmarkStart w:id="17" w:name="heading_25"/>
      <w:r>
        <w:rPr>
          <w:rFonts w:ascii="Arial" w:hAnsi="Arial" w:eastAsia="等线" w:cs="Arial"/>
          <w:b/>
          <w:sz w:val="30"/>
        </w:rPr>
        <w:t>Liste des fonctions de niveau 3 (ajout adaptation finale conformité réglementaire locale)</w:t>
      </w:r>
      <w:bookmarkEnd w:id="17"/>
    </w:p>
    <w:p w14:paraId="53194A4A">
      <w:pPr>
        <w:numPr>
          <w:ilvl w:val="0"/>
          <w:numId w:val="42"/>
        </w:numPr>
        <w:spacing w:before="120" w:after="120" w:line="288" w:lineRule="auto"/>
        <w:jc w:val="both"/>
      </w:pPr>
      <w:r>
        <w:rPr>
          <w:rFonts w:ascii="Arial" w:hAnsi="Arial" w:eastAsia="等线" w:cs="Arial"/>
          <w:sz w:val="22"/>
        </w:rPr>
        <w:t>Localisation linguistique : traduction intégrale tous terminaux français officiel, traduction lingala oral local, back-office maintenance chinois ; bibliothèque textes visuelle modifiable depuis back-office, remplacement en masse langues en un clic.</w:t>
      </w:r>
    </w:p>
    <w:p w14:paraId="0F753D72">
      <w:pPr>
        <w:numPr>
          <w:ilvl w:val="0"/>
          <w:numId w:val="43"/>
        </w:numPr>
        <w:spacing w:before="120" w:after="120" w:line="288" w:lineRule="auto"/>
        <w:jc w:val="both"/>
      </w:pPr>
      <w:r>
        <w:rPr>
          <w:rFonts w:ascii="Arial" w:hAnsi="Arial" w:eastAsia="等线" w:cs="Arial"/>
          <w:sz w:val="22"/>
        </w:rPr>
        <w:t xml:space="preserve">Localisation fiscalité et fonds : synchronisation taux de change CDF/USD </w:t>
      </w:r>
      <w:r>
        <w:rPr>
          <w:rFonts w:hint="default" w:ascii="Arial" w:hAnsi="Arial" w:eastAsia="等线" w:cs="Arial"/>
          <w:sz w:val="22"/>
          <w:lang w:val="fr-FR"/>
        </w:rPr>
        <w:t xml:space="preserve">et autres devis </w:t>
      </w:r>
      <w:r>
        <w:rPr>
          <w:rFonts w:ascii="Arial" w:hAnsi="Arial" w:eastAsia="等线" w:cs="Arial"/>
          <w:sz w:val="22"/>
        </w:rPr>
        <w:t>temps réel, TVA locale, frais de service prélèvement opérateur, règles de calcul intégrées frais plateforme, génération automatique factures conforme fiscalité locale.</w:t>
      </w:r>
    </w:p>
    <w:p w14:paraId="659F3D54">
      <w:pPr>
        <w:numPr>
          <w:ilvl w:val="0"/>
          <w:numId w:val="44"/>
        </w:numPr>
        <w:spacing w:before="120" w:after="120" w:line="288" w:lineRule="auto"/>
        <w:jc w:val="both"/>
      </w:pPr>
      <w:r>
        <w:rPr>
          <w:rFonts w:ascii="Arial" w:hAnsi="Arial" w:eastAsia="等线" w:cs="Arial"/>
          <w:sz w:val="22"/>
        </w:rPr>
        <w:t>Localisation interfaces communication : connexion passerelles officielles SMS, diffusion, prélèvement forfait des deux principaux opérateurs télécoms RDC, adaptation protocole communication local, enregistrement liste blanche communication transfrontalière.</w:t>
      </w:r>
    </w:p>
    <w:p w14:paraId="4328E7F2">
      <w:pPr>
        <w:numPr>
          <w:ilvl w:val="0"/>
          <w:numId w:val="45"/>
        </w:numPr>
        <w:spacing w:before="120" w:after="120" w:line="288" w:lineRule="auto"/>
        <w:jc w:val="both"/>
      </w:pPr>
      <w:r>
        <w:rPr>
          <w:rFonts w:ascii="Arial" w:hAnsi="Arial" w:eastAsia="等线" w:cs="Arial"/>
          <w:sz w:val="22"/>
        </w:rPr>
        <w:t>Localisation scénarios territoriaux : base de données adresses complète Kinshasa/Matadi, enregistrement global points de service et logistique, calendrier marketing vacances locales, paramétrage préalable règles commerciales locales.</w:t>
      </w:r>
    </w:p>
    <w:p w14:paraId="64486612">
      <w:pPr>
        <w:numPr>
          <w:ilvl w:val="0"/>
          <w:numId w:val="46"/>
        </w:numPr>
        <w:spacing w:before="120" w:after="120" w:line="288" w:lineRule="auto"/>
        <w:jc w:val="both"/>
      </w:pPr>
      <w:r>
        <w:rPr>
          <w:rFonts w:ascii="Arial" w:hAnsi="Arial" w:eastAsia="等线" w:cs="Arial"/>
          <w:sz w:val="22"/>
        </w:rPr>
        <w:t>Localisation performance réseaux faibles : mise en cache hors connexion extrême réseau faible, compression intelligente fichiers médias, limitation flux back-office, reconnexion automatique coupure réseau, optimisation profonde ralentissement appareils anciens, adaptation dégradée consommation énergie et trafic.</w:t>
      </w:r>
    </w:p>
    <w:p w14:paraId="663F3892">
      <w:pPr>
        <w:numPr>
          <w:ilvl w:val="0"/>
          <w:numId w:val="47"/>
        </w:numPr>
        <w:spacing w:before="120" w:after="120" w:line="288" w:lineRule="auto"/>
        <w:jc w:val="both"/>
      </w:pPr>
      <w:r>
        <w:rPr>
          <w:rFonts w:ascii="Arial" w:hAnsi="Arial" w:eastAsia="等线" w:cs="Arial"/>
          <w:sz w:val="22"/>
        </w:rPr>
        <w:t>Localisation conformité réglementaire : adaptation loi confidentialité données télécoms RDC, règlement supervision des fonds financiers, stockage partitionné local des données métier, champs enregistrement conformité activités transfrontalières, génération automatique registres audit contrôle réglementaire.</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941"/>
        <w:gridCol w:w="3546"/>
      </w:tblGrid>
      <w:tr w14:paraId="78130F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41" w:type="dxa"/>
            <w:tcMar>
              <w:top w:w="60" w:type="dxa"/>
              <w:left w:w="120" w:type="dxa"/>
              <w:bottom w:w="30" w:type="dxa"/>
              <w:right w:w="120" w:type="dxa"/>
            </w:tcMar>
          </w:tcPr>
          <w:p w14:paraId="37C0AB72">
            <w:pPr>
              <w:spacing w:before="120" w:after="120" w:line="288" w:lineRule="auto"/>
              <w:jc w:val="both"/>
            </w:pPr>
            <w:r>
              <w:rPr>
                <w:rFonts w:ascii="Arial" w:hAnsi="Arial" w:eastAsia="等线" w:cs="Arial"/>
                <w:sz w:val="22"/>
              </w:rPr>
              <w:t>Sous-module détaillé</w:t>
            </w:r>
          </w:p>
        </w:tc>
        <w:tc>
          <w:tcPr>
            <w:tcW w:w="3546" w:type="dxa"/>
            <w:tcMar>
              <w:top w:w="60" w:type="dxa"/>
              <w:left w:w="120" w:type="dxa"/>
              <w:bottom w:w="30" w:type="dxa"/>
              <w:right w:w="120" w:type="dxa"/>
            </w:tcMar>
          </w:tcPr>
          <w:p w14:paraId="1B06FD57">
            <w:pPr>
              <w:spacing w:before="120" w:after="120" w:line="288" w:lineRule="auto"/>
              <w:jc w:val="both"/>
            </w:pPr>
            <w:r>
              <w:rPr>
                <w:rFonts w:ascii="Arial" w:hAnsi="Arial" w:eastAsia="等线" w:cs="Arial"/>
                <w:sz w:val="22"/>
              </w:rPr>
              <w:t>Description des travaux de développement</w:t>
            </w:r>
          </w:p>
        </w:tc>
      </w:tr>
      <w:tr w14:paraId="047609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41" w:type="dxa"/>
            <w:tcMar>
              <w:top w:w="60" w:type="dxa"/>
              <w:left w:w="120" w:type="dxa"/>
              <w:bottom w:w="30" w:type="dxa"/>
              <w:right w:w="120" w:type="dxa"/>
            </w:tcMar>
          </w:tcPr>
          <w:p w14:paraId="50BB57C9">
            <w:pPr>
              <w:spacing w:before="120" w:after="120" w:line="288" w:lineRule="auto"/>
              <w:jc w:val="both"/>
            </w:pPr>
            <w:r>
              <w:rPr>
                <w:rFonts w:ascii="Arial" w:hAnsi="Arial" w:eastAsia="等线" w:cs="Arial"/>
                <w:sz w:val="22"/>
              </w:rPr>
              <w:t>Traduction intégrale trois langues, développement back-office configuration visuelle bibliothèque textes</w:t>
            </w:r>
          </w:p>
        </w:tc>
        <w:tc>
          <w:tcPr>
            <w:tcW w:w="3546" w:type="dxa"/>
            <w:tcMar>
              <w:top w:w="60" w:type="dxa"/>
              <w:left w:w="120" w:type="dxa"/>
              <w:bottom w:w="30" w:type="dxa"/>
              <w:right w:w="120" w:type="dxa"/>
            </w:tcMar>
          </w:tcPr>
          <w:p w14:paraId="3B43D5F5">
            <w:pPr>
              <w:spacing w:before="120" w:after="120" w:line="288" w:lineRule="auto"/>
              <w:jc w:val="both"/>
            </w:pPr>
            <w:r>
              <w:rPr>
                <w:rFonts w:ascii="Arial" w:hAnsi="Arial" w:eastAsia="等线" w:cs="Arial"/>
                <w:sz w:val="22"/>
              </w:rPr>
              <w:t>Traduction textes tous terminaux, back-office langue, remplacement textes en masse</w:t>
            </w:r>
          </w:p>
        </w:tc>
      </w:tr>
      <w:tr w14:paraId="762A31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41" w:type="dxa"/>
            <w:tcMar>
              <w:top w:w="60" w:type="dxa"/>
              <w:left w:w="120" w:type="dxa"/>
              <w:bottom w:w="30" w:type="dxa"/>
              <w:right w:w="120" w:type="dxa"/>
            </w:tcMar>
          </w:tcPr>
          <w:p w14:paraId="3EE07B82">
            <w:pPr>
              <w:spacing w:before="120" w:after="120" w:line="288" w:lineRule="auto"/>
              <w:jc w:val="both"/>
            </w:pPr>
            <w:r>
              <w:rPr>
                <w:rFonts w:ascii="Arial" w:hAnsi="Arial" w:eastAsia="等线" w:cs="Arial"/>
                <w:sz w:val="22"/>
              </w:rPr>
              <w:t>Adaptation fiscalité double devise locale, frais de service, base factures conformes</w:t>
            </w:r>
          </w:p>
        </w:tc>
        <w:tc>
          <w:tcPr>
            <w:tcW w:w="3546" w:type="dxa"/>
            <w:tcMar>
              <w:top w:w="60" w:type="dxa"/>
              <w:left w:w="120" w:type="dxa"/>
              <w:bottom w:w="30" w:type="dxa"/>
              <w:right w:w="120" w:type="dxa"/>
            </w:tcMar>
          </w:tcPr>
          <w:p w14:paraId="0BFA5446">
            <w:pPr>
              <w:spacing w:before="120" w:after="120" w:line="288" w:lineRule="auto"/>
              <w:jc w:val="both"/>
            </w:pPr>
            <w:r>
              <w:rPr>
                <w:rFonts w:ascii="Arial" w:hAnsi="Arial" w:eastAsia="等线" w:cs="Arial"/>
                <w:sz w:val="22"/>
              </w:rPr>
              <w:t>Règles fiscalité locale, synchronisation taux de change, base factures conformité réglementaire</w:t>
            </w:r>
          </w:p>
        </w:tc>
      </w:tr>
      <w:tr w14:paraId="145112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41" w:type="dxa"/>
            <w:tcMar>
              <w:top w:w="60" w:type="dxa"/>
              <w:left w:w="120" w:type="dxa"/>
              <w:bottom w:w="30" w:type="dxa"/>
              <w:right w:w="120" w:type="dxa"/>
            </w:tcMar>
          </w:tcPr>
          <w:p w14:paraId="7E72DBAA">
            <w:pPr>
              <w:spacing w:before="120" w:after="120" w:line="288" w:lineRule="auto"/>
              <w:jc w:val="both"/>
            </w:pPr>
            <w:r>
              <w:rPr>
                <w:rFonts w:ascii="Arial" w:hAnsi="Arial" w:eastAsia="等线" w:cs="Arial"/>
                <w:sz w:val="22"/>
              </w:rPr>
              <w:t>Connexion trois passerelles opérateur, adaptation enregistrement conformité communication locale</w:t>
            </w:r>
          </w:p>
        </w:tc>
        <w:tc>
          <w:tcPr>
            <w:tcW w:w="3546" w:type="dxa"/>
            <w:tcMar>
              <w:top w:w="60" w:type="dxa"/>
              <w:left w:w="120" w:type="dxa"/>
              <w:bottom w:w="30" w:type="dxa"/>
              <w:right w:w="120" w:type="dxa"/>
            </w:tcMar>
          </w:tcPr>
          <w:p w14:paraId="383A8C85">
            <w:pPr>
              <w:spacing w:before="120" w:after="120" w:line="288" w:lineRule="auto"/>
              <w:jc w:val="both"/>
            </w:pPr>
            <w:r>
              <w:rPr>
                <w:rFonts w:ascii="Arial" w:hAnsi="Arial" w:eastAsia="等线" w:cs="Arial"/>
                <w:sz w:val="22"/>
              </w:rPr>
              <w:t>Réglage inter-système interfaces SMS/diffusion/prélèvement, adaptation enregistrement conformité communication locale</w:t>
            </w:r>
          </w:p>
        </w:tc>
      </w:tr>
      <w:tr w14:paraId="2931AE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41" w:type="dxa"/>
            <w:tcMar>
              <w:top w:w="60" w:type="dxa"/>
              <w:left w:w="120" w:type="dxa"/>
              <w:bottom w:w="30" w:type="dxa"/>
              <w:right w:w="120" w:type="dxa"/>
            </w:tcMar>
          </w:tcPr>
          <w:p w14:paraId="19BE6907">
            <w:pPr>
              <w:spacing w:before="120" w:after="120" w:line="288" w:lineRule="auto"/>
              <w:jc w:val="both"/>
            </w:pPr>
            <w:r>
              <w:rPr>
                <w:rFonts w:ascii="Arial" w:hAnsi="Arial" w:eastAsia="等线" w:cs="Arial"/>
                <w:sz w:val="22"/>
              </w:rPr>
              <w:t>Base de données adresses points de service territoriaux, adaptation scénarios commerciaux vacances locales</w:t>
            </w:r>
          </w:p>
        </w:tc>
        <w:tc>
          <w:tcPr>
            <w:tcW w:w="3546" w:type="dxa"/>
            <w:tcMar>
              <w:top w:w="60" w:type="dxa"/>
              <w:left w:w="120" w:type="dxa"/>
              <w:bottom w:w="30" w:type="dxa"/>
              <w:right w:w="120" w:type="dxa"/>
            </w:tcMar>
          </w:tcPr>
          <w:p w14:paraId="077A4475">
            <w:pPr>
              <w:spacing w:before="120" w:after="120" w:line="288" w:lineRule="auto"/>
              <w:jc w:val="both"/>
            </w:pPr>
            <w:r>
              <w:rPr>
                <w:rFonts w:ascii="Arial" w:hAnsi="Arial" w:eastAsia="等线" w:cs="Arial"/>
                <w:sz w:val="22"/>
              </w:rPr>
              <w:t>Saisie complète points de service, mise en place base adresses, configuration calendrier marketing local</w:t>
            </w:r>
          </w:p>
        </w:tc>
      </w:tr>
      <w:tr w14:paraId="15660F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41" w:type="dxa"/>
            <w:tcMar>
              <w:top w:w="60" w:type="dxa"/>
              <w:left w:w="120" w:type="dxa"/>
              <w:bottom w:w="30" w:type="dxa"/>
              <w:right w:w="120" w:type="dxa"/>
            </w:tcMar>
          </w:tcPr>
          <w:p w14:paraId="73DA975D">
            <w:pPr>
              <w:spacing w:before="120" w:after="120" w:line="288" w:lineRule="auto"/>
              <w:jc w:val="both"/>
            </w:pPr>
            <w:r>
              <w:rPr>
                <w:rFonts w:ascii="Arial" w:hAnsi="Arial" w:eastAsia="等线" w:cs="Arial"/>
                <w:sz w:val="22"/>
              </w:rPr>
              <w:t>Optimisation performance réseaux faibles, compatibilité appareils, optimisation base reconnexion</w:t>
            </w:r>
          </w:p>
        </w:tc>
        <w:tc>
          <w:tcPr>
            <w:tcW w:w="3546" w:type="dxa"/>
            <w:tcMar>
              <w:top w:w="60" w:type="dxa"/>
              <w:left w:w="120" w:type="dxa"/>
              <w:bottom w:w="30" w:type="dxa"/>
              <w:right w:w="120" w:type="dxa"/>
            </w:tcMar>
          </w:tcPr>
          <w:p w14:paraId="234361CB">
            <w:pPr>
              <w:spacing w:before="120" w:after="120" w:line="288" w:lineRule="auto"/>
              <w:jc w:val="both"/>
            </w:pPr>
            <w:r>
              <w:rPr>
                <w:rFonts w:ascii="Arial" w:hAnsi="Arial" w:eastAsia="等线" w:cs="Arial"/>
                <w:sz w:val="22"/>
              </w:rPr>
              <w:t>Itération mécanisme cache, compression médias, réparation spécifique ralentissement appareils anciens</w:t>
            </w:r>
          </w:p>
        </w:tc>
      </w:tr>
      <w:tr w14:paraId="3A2255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941" w:type="dxa"/>
            <w:tcMar>
              <w:top w:w="60" w:type="dxa"/>
              <w:left w:w="120" w:type="dxa"/>
              <w:bottom w:w="30" w:type="dxa"/>
              <w:right w:w="120" w:type="dxa"/>
            </w:tcMar>
          </w:tcPr>
          <w:p w14:paraId="5C8F1A47">
            <w:pPr>
              <w:spacing w:before="120" w:after="120" w:line="288" w:lineRule="auto"/>
              <w:jc w:val="both"/>
            </w:pPr>
            <w:r>
              <w:rPr>
                <w:rFonts w:ascii="Arial" w:hAnsi="Arial" w:eastAsia="等线" w:cs="Arial"/>
                <w:sz w:val="22"/>
              </w:rPr>
              <w:t>Conformité réglementaire locale, stockage partitionné données, développement registres audit</w:t>
            </w:r>
          </w:p>
        </w:tc>
        <w:tc>
          <w:tcPr>
            <w:tcW w:w="3546" w:type="dxa"/>
            <w:tcMar>
              <w:top w:w="60" w:type="dxa"/>
              <w:left w:w="120" w:type="dxa"/>
              <w:bottom w:w="30" w:type="dxa"/>
              <w:right w:w="120" w:type="dxa"/>
            </w:tcMar>
          </w:tcPr>
          <w:p w14:paraId="3BF445AB">
            <w:pPr>
              <w:spacing w:before="120" w:after="120" w:line="288" w:lineRule="auto"/>
              <w:jc w:val="both"/>
            </w:pPr>
            <w:r>
              <w:rPr>
                <w:rFonts w:ascii="Arial" w:hAnsi="Arial" w:eastAsia="等线" w:cs="Arial"/>
                <w:sz w:val="22"/>
              </w:rPr>
              <w:t>Adaptation règles confidentialité RDC, configuration champs conformité, génération registres contrôle réglementaire</w:t>
            </w:r>
          </w:p>
        </w:tc>
      </w:tr>
    </w:tbl>
    <w:p w14:paraId="1A11AC0B">
      <w:pPr>
        <w:spacing w:before="380" w:after="140" w:line="288" w:lineRule="auto"/>
        <w:jc w:val="both"/>
        <w:outlineLvl w:val="0"/>
      </w:pPr>
      <w:bookmarkStart w:id="18" w:name="heading_27"/>
      <w:r>
        <w:rPr>
          <w:rFonts w:ascii="Arial" w:hAnsi="Arial" w:eastAsia="等线" w:cs="Arial"/>
          <w:b/>
          <w:sz w:val="36"/>
        </w:rPr>
        <w:t>III. Agrégat total jours-hommes projet complet + calcul coût précis (Version finale V</w:t>
      </w:r>
      <w:r>
        <w:rPr>
          <w:rFonts w:hint="default" w:ascii="Arial" w:hAnsi="Arial" w:eastAsia="等线" w:cs="Arial"/>
          <w:b/>
          <w:sz w:val="36"/>
          <w:lang w:val="fr-FR"/>
        </w:rPr>
        <w:t>1</w:t>
      </w:r>
      <w:r>
        <w:rPr>
          <w:rFonts w:ascii="Arial" w:hAnsi="Arial" w:eastAsia="等线" w:cs="Arial"/>
          <w:b/>
          <w:sz w:val="36"/>
        </w:rPr>
        <w:t>.0)</w:t>
      </w:r>
      <w:bookmarkEnd w:id="18"/>
    </w:p>
    <w:p w14:paraId="2991714A">
      <w:pPr>
        <w:spacing w:before="320" w:after="120" w:line="288" w:lineRule="auto"/>
        <w:jc w:val="both"/>
        <w:outlineLvl w:val="1"/>
      </w:pPr>
      <w:bookmarkStart w:id="19" w:name="heading_28"/>
      <w:r>
        <w:rPr>
          <w:rFonts w:ascii="Arial" w:hAnsi="Arial" w:eastAsia="等线" w:cs="Arial"/>
          <w:b/>
          <w:sz w:val="32"/>
        </w:rPr>
        <w:t>3.1 Agrégat jours-hommes développement initiaux huit modules</w:t>
      </w:r>
      <w:bookmarkEnd w:id="19"/>
    </w:p>
    <w:p w14:paraId="532CC2DB">
      <w:pPr>
        <w:spacing w:before="120" w:after="120" w:line="288" w:lineRule="auto"/>
        <w:jc w:val="both"/>
      </w:pPr>
      <w:r>
        <w:rPr>
          <w:rFonts w:ascii="Arial" w:hAnsi="Arial" w:eastAsia="等线" w:cs="Arial"/>
          <w:sz w:val="22"/>
        </w:rPr>
        <w:t xml:space="preserve">(IM) + (e-commerce proximité) + (logistique) + (paiements) + (social offre-demande) + (assistant IA) + (socle base) + (adaptation locale) </w:t>
      </w:r>
    </w:p>
    <w:p w14:paraId="20644AA9">
      <w:pPr>
        <w:spacing w:before="120" w:after="120" w:line="288" w:lineRule="auto"/>
        <w:jc w:val="both"/>
      </w:pPr>
      <w:r>
        <w:rPr>
          <w:rFonts w:ascii="Arial" w:hAnsi="Arial" w:eastAsia="等线" w:cs="Arial"/>
          <w:sz w:val="22"/>
        </w:rPr>
        <w:t>Ce projet réutilise des composants publics opérateurs étrangers antérieurs, passerelles de paiement génériques, code base multi-langues, code encapsulé adaptation carte géographique étrangère : déduction conforme des jours-hommes redondants de développement : 176 jours-hommes. Aucune suppression de fonction, aucun abaissement des normes, aucune simplification des interfaces : seul allégement des étapes de développement répétitif.</w:t>
      </w:r>
    </w:p>
    <w:p w14:paraId="49682DC8">
      <w:pPr>
        <w:spacing w:before="120" w:after="120" w:line="288" w:lineRule="auto"/>
        <w:jc w:val="both"/>
      </w:pPr>
      <w:r>
        <w:rPr>
          <w:rFonts w:ascii="Arial" w:hAnsi="Arial" w:eastAsia="等线" w:cs="Arial"/>
          <w:sz w:val="22"/>
        </w:rPr>
        <w:t>Le projet est divisé en 5 phases de travail séquentielles sans chevauchement invalide, compatible avec le calendrier de validation des interfaces des opérateurs télécoms congolais :</w:t>
      </w:r>
    </w:p>
    <w:p w14:paraId="7D3A0906">
      <w:pPr>
        <w:numPr>
          <w:ilvl w:val="0"/>
          <w:numId w:val="48"/>
        </w:numPr>
        <w:spacing w:before="120" w:after="120" w:line="288" w:lineRule="auto"/>
        <w:jc w:val="both"/>
      </w:pPr>
      <w:r>
        <w:rPr>
          <w:rFonts w:ascii="Arial" w:hAnsi="Arial" w:eastAsia="等线" w:cs="Arial"/>
          <w:b/>
          <w:sz w:val="22"/>
        </w:rPr>
        <w:t>Phase 1 : Revue de demande + conception architecture globale</w:t>
      </w:r>
      <w:r>
        <w:rPr>
          <w:rFonts w:ascii="Arial" w:hAnsi="Arial" w:eastAsia="等线" w:cs="Arial"/>
          <w:sz w:val="22"/>
        </w:rPr>
        <w:t>: Confirmation des besoins métiers transfrontaliers, validation des documents d’exigence fonctionnelle, conception architecture serveur haut débit, conception prototype UI multi-terminaux, signature et validation du schéma d’interconnexion avec les opérateurs télécoms locaux.</w:t>
      </w:r>
    </w:p>
    <w:p w14:paraId="2D043C62">
      <w:pPr>
        <w:numPr>
          <w:ilvl w:val="0"/>
          <w:numId w:val="49"/>
        </w:numPr>
        <w:spacing w:before="120" w:after="120" w:line="288" w:lineRule="auto"/>
        <w:jc w:val="both"/>
      </w:pPr>
      <w:r>
        <w:rPr>
          <w:rFonts w:ascii="Arial" w:hAnsi="Arial" w:eastAsia="等线" w:cs="Arial"/>
          <w:b/>
          <w:sz w:val="22"/>
        </w:rPr>
        <w:t xml:space="preserve">Phase 2 : Développement du socle technique + modules de base </w:t>
      </w:r>
      <w:r>
        <w:rPr>
          <w:rFonts w:ascii="Arial" w:hAnsi="Arial" w:eastAsia="等线" w:cs="Arial"/>
          <w:sz w:val="22"/>
        </w:rPr>
        <w:t>: Développement système de compte unifié RBAC, adaptation cadre multi-langues, connexion préliminaire des passerelles opérateur, développement cadre portefeuille double devise, développement cadre messagerie IM de base.</w:t>
      </w:r>
    </w:p>
    <w:p w14:paraId="033139E2">
      <w:pPr>
        <w:numPr>
          <w:ilvl w:val="0"/>
          <w:numId w:val="50"/>
        </w:numPr>
        <w:spacing w:before="120" w:after="120" w:line="288" w:lineRule="auto"/>
        <w:jc w:val="both"/>
      </w:pPr>
      <w:r>
        <w:rPr>
          <w:rFonts w:ascii="Arial" w:hAnsi="Arial" w:eastAsia="等线" w:cs="Arial"/>
          <w:b/>
          <w:sz w:val="22"/>
        </w:rPr>
        <w:t xml:space="preserve">Phase 3 : Développement complet des modules métiers + adaptation locale </w:t>
      </w:r>
      <w:r>
        <w:rPr>
          <w:rFonts w:ascii="Arial" w:hAnsi="Arial" w:eastAsia="等线" w:cs="Arial"/>
          <w:sz w:val="22"/>
        </w:rPr>
        <w:t>: Codage fonctionnel complet des 8 modules métiers, adaptation conformité réglementaire RDC, optimisation réseau faible africain, paramétrage règles fiscales et douanières locales, intégration fonction IA intelligente.</w:t>
      </w:r>
    </w:p>
    <w:p w14:paraId="72765283">
      <w:pPr>
        <w:numPr>
          <w:ilvl w:val="0"/>
          <w:numId w:val="51"/>
        </w:numPr>
        <w:spacing w:before="120" w:after="120" w:line="288" w:lineRule="auto"/>
        <w:jc w:val="both"/>
      </w:pPr>
      <w:r>
        <w:rPr>
          <w:rFonts w:ascii="Arial" w:hAnsi="Arial" w:eastAsia="等线" w:cs="Arial"/>
          <w:b/>
          <w:sz w:val="22"/>
        </w:rPr>
        <w:t xml:space="preserve">Phase 4 : Intégration inter-système + test global + correction de défauts </w:t>
      </w:r>
      <w:r>
        <w:rPr>
          <w:rFonts w:ascii="Arial" w:hAnsi="Arial" w:eastAsia="等线" w:cs="Arial"/>
          <w:sz w:val="22"/>
        </w:rPr>
        <w:t xml:space="preserve"> : Connexion complète de toutes les interfaces métier, test de charge simultané six terminaux, test anti-fraude financière, test scénario panne réseau/coupure courant, correction des bugs fonctionnels et d’adaptation locale.</w:t>
      </w:r>
    </w:p>
    <w:p w14:paraId="5673F97F">
      <w:pPr>
        <w:numPr>
          <w:ilvl w:val="0"/>
          <w:numId w:val="52"/>
        </w:numPr>
        <w:spacing w:before="120" w:after="120" w:line="288" w:lineRule="auto"/>
        <w:jc w:val="both"/>
      </w:pPr>
      <w:r>
        <w:rPr>
          <w:rFonts w:ascii="Arial" w:hAnsi="Arial" w:eastAsia="等线" w:cs="Arial"/>
          <w:b/>
          <w:sz w:val="22"/>
        </w:rPr>
        <w:t>Phase 5 : Déploiement environnement formel + formation + réception officielle</w:t>
      </w:r>
      <w:r>
        <w:rPr>
          <w:rFonts w:ascii="Arial" w:hAnsi="Arial" w:eastAsia="等线" w:cs="Arial"/>
          <w:sz w:val="22"/>
        </w:rPr>
        <w:t xml:space="preserve"> : Déploiement officiel serveur local RDC, formation opérationnelle de l’équipe back-office chinoise, formation exploitation équipe opérateur congolais, livraison documents techniques complets, signature procès-verbal de réception du projet.</w:t>
      </w:r>
      <w:r>
        <w:rPr>
          <w:rFonts w:hint="default" w:ascii="Arial" w:hAnsi="Arial" w:eastAsia="等线" w:cs="Arial"/>
          <w:sz w:val="22"/>
          <w:lang w:val="fr-FR"/>
        </w:rPr>
        <w:t xml:space="preserve"> </w:t>
      </w:r>
    </w:p>
    <w:p w14:paraId="4549616D">
      <w:pPr>
        <w:spacing w:before="320" w:after="120" w:line="288" w:lineRule="auto"/>
        <w:jc w:val="both"/>
        <w:outlineLvl w:val="1"/>
      </w:pPr>
      <w:bookmarkStart w:id="20" w:name="heading_33"/>
      <w:r>
        <w:rPr>
          <w:rFonts w:ascii="Arial" w:hAnsi="Arial" w:eastAsia="等线" w:cs="Arial"/>
          <w:b/>
          <w:sz w:val="32"/>
        </w:rPr>
        <w:t xml:space="preserve">4.1 Périmètre </w:t>
      </w:r>
      <w:bookmarkEnd w:id="20"/>
    </w:p>
    <w:p w14:paraId="6590B70A">
      <w:pPr>
        <w:numPr>
          <w:ilvl w:val="0"/>
          <w:numId w:val="53"/>
        </w:numPr>
        <w:spacing w:before="120" w:after="120" w:line="288" w:lineRule="auto"/>
        <w:jc w:val="both"/>
      </w:pPr>
      <w:r>
        <w:rPr>
          <w:rFonts w:ascii="Arial" w:hAnsi="Arial" w:eastAsia="等线" w:cs="Arial"/>
          <w:sz w:val="22"/>
        </w:rPr>
        <w:t>Développement fonctionnel complet des 8 modules confirmés, toutes fonctions de niveau 3 listées dans le présent document, sans simplification ni suppression de logique métier.</w:t>
      </w:r>
    </w:p>
    <w:p w14:paraId="5F3117AF">
      <w:pPr>
        <w:numPr>
          <w:ilvl w:val="0"/>
          <w:numId w:val="54"/>
        </w:numPr>
        <w:spacing w:before="120" w:after="120" w:line="288" w:lineRule="auto"/>
        <w:jc w:val="both"/>
      </w:pPr>
      <w:r>
        <w:rPr>
          <w:rFonts w:ascii="Arial" w:hAnsi="Arial" w:eastAsia="等线" w:cs="Arial"/>
          <w:sz w:val="22"/>
        </w:rPr>
        <w:t>Interconnexion des trois types de passerelles officielles des deux principaux opérateurs télécoms de la RDC : passerelle SMS, passerelle de diffusion publique, passerelle de prélèvement sur forfait mobile.</w:t>
      </w:r>
    </w:p>
    <w:p w14:paraId="50E20E08">
      <w:pPr>
        <w:numPr>
          <w:ilvl w:val="0"/>
          <w:numId w:val="55"/>
        </w:numPr>
        <w:spacing w:before="120" w:after="120" w:line="288" w:lineRule="auto"/>
        <w:jc w:val="both"/>
      </w:pPr>
      <w:r>
        <w:rPr>
          <w:rFonts w:ascii="Arial" w:hAnsi="Arial" w:eastAsia="等线" w:cs="Arial"/>
          <w:sz w:val="22"/>
        </w:rPr>
        <w:t>Adaptation complète linguistique (français/lingala/chinois), adaptation double devise CDF/USD</w:t>
      </w:r>
      <w:r>
        <w:rPr>
          <w:rFonts w:hint="default" w:ascii="Arial" w:hAnsi="Arial" w:eastAsia="等线" w:cs="Arial"/>
          <w:sz w:val="22"/>
          <w:lang w:val="fr-FR"/>
        </w:rPr>
        <w:t xml:space="preserve"> et autres devises</w:t>
      </w:r>
      <w:r>
        <w:rPr>
          <w:rFonts w:ascii="Arial" w:hAnsi="Arial" w:eastAsia="等线" w:cs="Arial"/>
          <w:sz w:val="22"/>
        </w:rPr>
        <w:t>, adaptation règles fiscales, douanières et de protection des données de la RDC</w:t>
      </w:r>
      <w:r>
        <w:rPr>
          <w:rFonts w:hint="default" w:ascii="Arial" w:hAnsi="Arial" w:eastAsia="等线" w:cs="Arial"/>
          <w:sz w:val="22"/>
          <w:lang w:val="fr-FR"/>
        </w:rPr>
        <w:t xml:space="preserve"> et autrs Pays étranger</w:t>
      </w:r>
      <w:r>
        <w:rPr>
          <w:rFonts w:ascii="Arial" w:hAnsi="Arial" w:eastAsia="等线" w:cs="Arial"/>
          <w:sz w:val="22"/>
        </w:rPr>
        <w:t>.</w:t>
      </w:r>
    </w:p>
    <w:p w14:paraId="1E535ADE">
      <w:pPr>
        <w:numPr>
          <w:ilvl w:val="0"/>
          <w:numId w:val="56"/>
        </w:numPr>
        <w:spacing w:before="120" w:after="120" w:line="288" w:lineRule="auto"/>
        <w:jc w:val="both"/>
      </w:pPr>
      <w:r>
        <w:rPr>
          <w:rFonts w:ascii="Arial" w:hAnsi="Arial" w:eastAsia="等线" w:cs="Arial"/>
          <w:sz w:val="22"/>
        </w:rPr>
        <w:t>Optimisation technique dédiée aux réseaux faibles africains et terminaux Android entrée de gamme, mécanisme de mise en cache hors connexion et reconnexion automatique.</w:t>
      </w:r>
    </w:p>
    <w:p w14:paraId="013D817A">
      <w:pPr>
        <w:numPr>
          <w:ilvl w:val="0"/>
          <w:numId w:val="57"/>
        </w:numPr>
        <w:spacing w:before="120" w:after="120" w:line="288" w:lineRule="auto"/>
        <w:jc w:val="both"/>
      </w:pPr>
      <w:r>
        <w:rPr>
          <w:rFonts w:ascii="Arial" w:hAnsi="Arial" w:eastAsia="等线" w:cs="Arial"/>
          <w:sz w:val="22"/>
        </w:rPr>
        <w:t>Livraison code source complet, documentation d’exploitation, manuel utilisateur multi-langues, manuel maintenance technique chinois.</w:t>
      </w:r>
    </w:p>
    <w:p w14:paraId="35C46FC7">
      <w:pPr>
        <w:numPr>
          <w:ilvl w:val="0"/>
          <w:numId w:val="58"/>
        </w:numPr>
        <w:spacing w:before="120" w:after="120" w:line="288" w:lineRule="auto"/>
        <w:jc w:val="both"/>
      </w:pPr>
      <w:r>
        <w:rPr>
          <w:rFonts w:ascii="Arial" w:hAnsi="Arial" w:eastAsia="等线" w:cs="Arial"/>
          <w:sz w:val="22"/>
        </w:rPr>
        <w:t>Test fonctionnel, test de charge, test de sécurité anti-fraude, test conformité réglementaire tout au long du cycle de développement.</w:t>
      </w:r>
    </w:p>
    <w:p w14:paraId="3C5E66D0">
      <w:pPr>
        <w:numPr>
          <w:ilvl w:val="0"/>
          <w:numId w:val="59"/>
        </w:numPr>
        <w:spacing w:before="120" w:after="120" w:line="288" w:lineRule="auto"/>
        <w:jc w:val="both"/>
      </w:pPr>
      <w:r>
        <w:rPr>
          <w:rFonts w:ascii="Arial" w:hAnsi="Arial" w:eastAsia="等线" w:cs="Arial"/>
          <w:sz w:val="22"/>
        </w:rPr>
        <w:t>Formation opérationnelle basique pour l’équipe de maintenance du client et l’équipe exploitation de l’opérateur télécom étatique.</w:t>
      </w:r>
    </w:p>
    <w:p w14:paraId="13D3DF26">
      <w:pPr>
        <w:spacing w:before="320" w:after="120" w:line="288" w:lineRule="auto"/>
        <w:jc w:val="both"/>
        <w:outlineLvl w:val="1"/>
      </w:pPr>
      <w:bookmarkStart w:id="21" w:name="heading_34"/>
      <w:r>
        <w:rPr>
          <w:rFonts w:ascii="Arial" w:hAnsi="Arial" w:eastAsia="等线" w:cs="Arial"/>
          <w:b/>
          <w:sz w:val="32"/>
        </w:rPr>
        <w:t>4.2 Périmètre exclu du montant du projet</w:t>
      </w:r>
      <w:bookmarkEnd w:id="21"/>
    </w:p>
    <w:p w14:paraId="7A77E44D">
      <w:pPr>
        <w:numPr>
          <w:ilvl w:val="0"/>
          <w:numId w:val="60"/>
        </w:numPr>
        <w:spacing w:before="120" w:after="120" w:line="288" w:lineRule="auto"/>
        <w:jc w:val="both"/>
      </w:pPr>
      <w:r>
        <w:rPr>
          <w:rFonts w:ascii="Arial" w:hAnsi="Arial" w:eastAsia="等线" w:cs="Arial"/>
          <w:sz w:val="22"/>
        </w:rPr>
        <w:t>Frais de location serveur cloud local RDC, frais d’hébergement serveur physique, frais de bande passante réseau longue durée.</w:t>
      </w:r>
    </w:p>
    <w:p w14:paraId="6081C615">
      <w:pPr>
        <w:numPr>
          <w:ilvl w:val="0"/>
          <w:numId w:val="61"/>
        </w:numPr>
        <w:spacing w:before="120" w:after="120" w:line="288" w:lineRule="auto"/>
        <w:jc w:val="both"/>
      </w:pPr>
      <w:r>
        <w:rPr>
          <w:rFonts w:ascii="Arial" w:hAnsi="Arial" w:eastAsia="等线" w:cs="Arial"/>
          <w:sz w:val="22"/>
        </w:rPr>
        <w:t>Frais de licence commerciale officielle des passerelles opérateur, frais de service annuel de canal SMS et de prélèvement mobile facturés directement par les opérateurs congolais.</w:t>
      </w:r>
    </w:p>
    <w:p w14:paraId="65ECE394">
      <w:pPr>
        <w:numPr>
          <w:ilvl w:val="0"/>
          <w:numId w:val="62"/>
        </w:numPr>
        <w:spacing w:before="120" w:after="120" w:line="288" w:lineRule="auto"/>
        <w:jc w:val="both"/>
      </w:pPr>
      <w:r>
        <w:rPr>
          <w:rFonts w:ascii="Arial" w:hAnsi="Arial" w:eastAsia="等线" w:cs="Arial"/>
          <w:sz w:val="22"/>
        </w:rPr>
        <w:t>Travail de personnalisation fonctionnelle hors liste des fonctions de niveau 3 confirmées, nouvelle demande de fonction après validation du devis final V</w:t>
      </w:r>
      <w:r>
        <w:rPr>
          <w:rFonts w:hint="default" w:ascii="Arial" w:hAnsi="Arial" w:eastAsia="等线" w:cs="Arial"/>
          <w:sz w:val="22"/>
          <w:lang w:val="fr-FR"/>
        </w:rPr>
        <w:t>1</w:t>
      </w:r>
      <w:bookmarkStart w:id="28" w:name="_GoBack"/>
      <w:bookmarkEnd w:id="28"/>
      <w:r>
        <w:rPr>
          <w:rFonts w:ascii="Arial" w:hAnsi="Arial" w:eastAsia="等线" w:cs="Arial"/>
          <w:sz w:val="22"/>
        </w:rPr>
        <w:t>.0.</w:t>
      </w:r>
    </w:p>
    <w:p w14:paraId="42DD2FD5">
      <w:pPr>
        <w:numPr>
          <w:ilvl w:val="0"/>
          <w:numId w:val="63"/>
        </w:numPr>
        <w:spacing w:before="120" w:after="120" w:line="288" w:lineRule="auto"/>
        <w:jc w:val="both"/>
      </w:pPr>
      <w:r>
        <w:rPr>
          <w:rFonts w:ascii="Arial" w:hAnsi="Arial" w:eastAsia="等线" w:cs="Arial"/>
          <w:sz w:val="22"/>
        </w:rPr>
        <w:t>Frais de certification douanière commerciale transfrontalière externe, frais d’audit financier tiers indépendant de la RDC.</w:t>
      </w:r>
    </w:p>
    <w:p w14:paraId="5FF917D4">
      <w:pPr>
        <w:numPr>
          <w:ilvl w:val="0"/>
          <w:numId w:val="64"/>
        </w:numPr>
        <w:spacing w:before="120" w:after="120" w:line="288" w:lineRule="auto"/>
        <w:jc w:val="both"/>
      </w:pPr>
      <w:r>
        <w:rPr>
          <w:rFonts w:ascii="Arial" w:hAnsi="Arial" w:eastAsia="等线" w:cs="Arial"/>
          <w:sz w:val="22"/>
        </w:rPr>
        <w:t>Modification majeure de l’architecture technique induite par la mise à jour majeure du protocole officiel des opérateurs télécoms après livraison du projet.</w:t>
      </w:r>
    </w:p>
    <w:p w14:paraId="4374F7C6">
      <w:pPr>
        <w:numPr>
          <w:ilvl w:val="0"/>
          <w:numId w:val="65"/>
        </w:numPr>
        <w:spacing w:before="120" w:after="120" w:line="288" w:lineRule="auto"/>
        <w:jc w:val="both"/>
      </w:pPr>
      <w:r>
        <w:rPr>
          <w:rFonts w:ascii="Arial" w:hAnsi="Arial" w:eastAsia="等线" w:cs="Arial"/>
          <w:sz w:val="22"/>
        </w:rPr>
        <w:t>Travaux de promotion opérationnelle, conception matérielle publicitaire, équipement terminal matériel des points de service hors ligne.</w:t>
      </w:r>
    </w:p>
    <w:p w14:paraId="4A5235AD">
      <w:pPr>
        <w:spacing w:before="380" w:after="140" w:line="288" w:lineRule="auto"/>
        <w:jc w:val="both"/>
        <w:outlineLvl w:val="0"/>
      </w:pPr>
      <w:bookmarkStart w:id="22" w:name="heading_35"/>
      <w:r>
        <w:rPr>
          <w:rFonts w:ascii="Arial" w:hAnsi="Arial" w:eastAsia="等线" w:cs="Arial"/>
          <w:b/>
          <w:sz w:val="36"/>
        </w:rPr>
        <w:t>V. Règles de garantie et service après-livraison</w:t>
      </w:r>
      <w:bookmarkEnd w:id="22"/>
    </w:p>
    <w:p w14:paraId="40A4F6E5">
      <w:pPr>
        <w:spacing w:before="320" w:after="120" w:line="288" w:lineRule="auto"/>
        <w:jc w:val="both"/>
        <w:outlineLvl w:val="1"/>
      </w:pPr>
      <w:bookmarkStart w:id="23" w:name="heading_36"/>
      <w:r>
        <w:rPr>
          <w:rFonts w:ascii="Arial" w:hAnsi="Arial" w:eastAsia="等线" w:cs="Arial"/>
          <w:b/>
          <w:sz w:val="32"/>
        </w:rPr>
        <w:t>5.1 Période de garantie gratuite officielle</w:t>
      </w:r>
      <w:bookmarkEnd w:id="23"/>
    </w:p>
    <w:p w14:paraId="04C08AA0">
      <w:pPr>
        <w:spacing w:before="120" w:after="120" w:line="288" w:lineRule="auto"/>
        <w:jc w:val="both"/>
      </w:pPr>
      <w:r>
        <w:rPr>
          <w:rFonts w:ascii="Arial" w:hAnsi="Arial" w:eastAsia="等线" w:cs="Arial"/>
          <w:sz w:val="22"/>
        </w:rPr>
        <w:t>Durée de garantie gratuite : 6 mois calendaires à compter de la date de signature du procès-verbal de réception du projet. Pendant la période de garantie, l’équipe technique fournit gratuitement : correction des bugs fonctionnels natifs du code, ajustement mineur de compatibilité interface opérateur, maintenance journal d’audit système, assistance technique en ligne 7×12h.</w:t>
      </w:r>
    </w:p>
    <w:p w14:paraId="24F93136">
      <w:pPr>
        <w:spacing w:before="320" w:after="120" w:line="288" w:lineRule="auto"/>
        <w:jc w:val="both"/>
        <w:outlineLvl w:val="1"/>
      </w:pPr>
      <w:bookmarkStart w:id="24" w:name="heading_37"/>
      <w:r>
        <w:rPr>
          <w:rFonts w:ascii="Arial" w:hAnsi="Arial" w:eastAsia="等线" w:cs="Arial"/>
          <w:b/>
          <w:sz w:val="32"/>
        </w:rPr>
        <w:t>5.2 Contenu non couvert par la garantie gratuite</w:t>
      </w:r>
      <w:bookmarkEnd w:id="24"/>
    </w:p>
    <w:p w14:paraId="05002674">
      <w:pPr>
        <w:numPr>
          <w:ilvl w:val="0"/>
          <w:numId w:val="66"/>
        </w:numPr>
        <w:spacing w:before="120" w:after="120" w:line="288" w:lineRule="auto"/>
        <w:jc w:val="both"/>
      </w:pPr>
      <w:r>
        <w:rPr>
          <w:rFonts w:ascii="Arial" w:hAnsi="Arial" w:eastAsia="等线" w:cs="Arial"/>
          <w:sz w:val="22"/>
        </w:rPr>
        <w:t>Panne système causée par modification manuelle du code source par le client sans autorisation de l’équipe de développement.</w:t>
      </w:r>
    </w:p>
    <w:p w14:paraId="0BACF778">
      <w:pPr>
        <w:numPr>
          <w:ilvl w:val="0"/>
          <w:numId w:val="67"/>
        </w:numPr>
        <w:spacing w:before="120" w:after="120" w:line="288" w:lineRule="auto"/>
        <w:jc w:val="both"/>
      </w:pPr>
      <w:r>
        <w:rPr>
          <w:rFonts w:ascii="Arial" w:hAnsi="Arial" w:eastAsia="等线" w:cs="Arial"/>
          <w:sz w:val="22"/>
        </w:rPr>
        <w:t>Anomalie de fonctionnement causée par panne serveur, coupure réseau longue durée, virus externe et mauvaise exploitation humaine.</w:t>
      </w:r>
    </w:p>
    <w:p w14:paraId="63506EFC">
      <w:pPr>
        <w:numPr>
          <w:ilvl w:val="0"/>
          <w:numId w:val="68"/>
        </w:numPr>
        <w:spacing w:before="120" w:after="120" w:line="288" w:lineRule="auto"/>
        <w:jc w:val="both"/>
      </w:pPr>
      <w:r>
        <w:rPr>
          <w:rFonts w:ascii="Arial" w:hAnsi="Arial" w:eastAsia="等线" w:cs="Arial"/>
          <w:sz w:val="22"/>
        </w:rPr>
        <w:t>Ajustement fonctionnel nouveau, modification logique métier, mise à jour majeur d’interface opérateur nécessitant un développement complémentaire.</w:t>
      </w:r>
    </w:p>
    <w:p w14:paraId="3645A94A">
      <w:pPr>
        <w:spacing w:before="320" w:after="120" w:line="288" w:lineRule="auto"/>
        <w:jc w:val="both"/>
        <w:outlineLvl w:val="1"/>
      </w:pPr>
      <w:bookmarkStart w:id="25" w:name="heading_38"/>
      <w:r>
        <w:rPr>
          <w:rFonts w:ascii="Arial" w:hAnsi="Arial" w:eastAsia="等线" w:cs="Arial"/>
          <w:b/>
          <w:sz w:val="32"/>
        </w:rPr>
        <w:t>5.3 Service maintenance hors garantie</w:t>
      </w:r>
      <w:bookmarkEnd w:id="25"/>
    </w:p>
    <w:p w14:paraId="358261C9">
      <w:pPr>
        <w:spacing w:before="120" w:after="120" w:line="288" w:lineRule="auto"/>
        <w:jc w:val="both"/>
      </w:pPr>
      <w:r>
        <w:rPr>
          <w:rFonts w:ascii="Arial" w:hAnsi="Arial" w:eastAsia="等线" w:cs="Arial"/>
          <w:sz w:val="22"/>
        </w:rPr>
        <w:t>Après expiration de la garantie gratuite, les deux parties peuvent signer un contrat de maintenance annuelle séparé ; le tarif journalier de maintenance ingénieur reste fixé à 1 350 CNY/jour/ingénieur, identique au tarif de développement du présent projet.</w:t>
      </w:r>
    </w:p>
    <w:p w14:paraId="452997BE">
      <w:pPr>
        <w:spacing w:before="380" w:after="140" w:line="288" w:lineRule="auto"/>
        <w:jc w:val="both"/>
        <w:outlineLvl w:val="0"/>
      </w:pPr>
      <w:bookmarkStart w:id="26" w:name="heading_39"/>
      <w:r>
        <w:rPr>
          <w:rFonts w:ascii="Arial" w:hAnsi="Arial" w:eastAsia="等线" w:cs="Arial"/>
          <w:b/>
          <w:sz w:val="36"/>
        </w:rPr>
        <w:t>VI. Règles d’ajustement de modification et de variation du projet</w:t>
      </w:r>
      <w:bookmarkEnd w:id="26"/>
    </w:p>
    <w:p w14:paraId="4CD2EB69">
      <w:pPr>
        <w:numPr>
          <w:ilvl w:val="0"/>
          <w:numId w:val="69"/>
        </w:numPr>
        <w:spacing w:before="120" w:after="120" w:line="288" w:lineRule="auto"/>
        <w:jc w:val="both"/>
      </w:pPr>
      <w:r>
        <w:rPr>
          <w:rFonts w:ascii="Arial" w:hAnsi="Arial" w:eastAsia="等线" w:cs="Arial"/>
          <w:sz w:val="22"/>
        </w:rPr>
        <w:t>Modification mineure : Ajustement de texte multi-langues, modification de paramètre de taux de change manuel, ajustement de permissions RBAC existantes, optimisation UI mineure : sans facturation supplémentaire, réalisé gratuitement pendant la phase de développement.</w:t>
      </w:r>
    </w:p>
    <w:p w14:paraId="4C9DD06D">
      <w:pPr>
        <w:numPr>
          <w:ilvl w:val="0"/>
          <w:numId w:val="70"/>
        </w:numPr>
        <w:spacing w:before="120" w:after="120" w:line="288" w:lineRule="auto"/>
        <w:jc w:val="both"/>
      </w:pPr>
      <w:r>
        <w:rPr>
          <w:rFonts w:ascii="Arial" w:hAnsi="Arial" w:eastAsia="等线" w:cs="Arial"/>
          <w:sz w:val="22"/>
        </w:rPr>
        <w:t>Modification majeure : Ajout de fonction de niveau 3, connexion nouvelle passerelle opérateur, modification logique métier boucle complète, adaptation nouvelle réglementation locale complémentaire : les jours-hommes seront évalués séparément, facturés selon le tarif journalier unifié de 1 350 CNY.</w:t>
      </w:r>
    </w:p>
    <w:p w14:paraId="5F321FC6">
      <w:pPr>
        <w:numPr>
          <w:ilvl w:val="0"/>
          <w:numId w:val="71"/>
        </w:numPr>
        <w:spacing w:before="120" w:after="120" w:line="288" w:lineRule="auto"/>
        <w:jc w:val="both"/>
      </w:pPr>
      <w:r>
        <w:rPr>
          <w:rFonts w:ascii="Arial" w:hAnsi="Arial" w:eastAsia="等线" w:cs="Arial"/>
          <w:sz w:val="22"/>
        </w:rPr>
        <w:t>Arrêt et suspension du projet : Si le projet est suspendu à la demande du client pendant le développement, les jours-hommes terminés seront comptabilisés et facturés selon le taux réel d’avancement ; la reprise du projet nécessite une nouvelle confirmation du calendrier de livraison.</w:t>
      </w:r>
    </w:p>
    <w:p w14:paraId="2279879B">
      <w:pPr>
        <w:spacing w:before="380" w:after="140" w:line="288" w:lineRule="auto"/>
        <w:jc w:val="both"/>
        <w:outlineLvl w:val="0"/>
      </w:pPr>
      <w:bookmarkStart w:id="27" w:name="heading_40"/>
      <w:r>
        <w:rPr>
          <w:rFonts w:ascii="Arial" w:hAnsi="Arial" w:eastAsia="等线" w:cs="Arial"/>
          <w:b/>
          <w:sz w:val="36"/>
        </w:rPr>
        <w:t>VII. Clause de confidentialité et propriété intellectuelle</w:t>
      </w:r>
      <w:bookmarkEnd w:id="27"/>
    </w:p>
    <w:p w14:paraId="36622391">
      <w:pPr>
        <w:numPr>
          <w:ilvl w:val="0"/>
          <w:numId w:val="72"/>
        </w:numPr>
        <w:spacing w:before="120" w:after="120" w:line="288" w:lineRule="auto"/>
        <w:jc w:val="both"/>
      </w:pPr>
      <w:r>
        <w:rPr>
          <w:rFonts w:ascii="Arial" w:hAnsi="Arial" w:eastAsia="等线" w:cs="Arial"/>
          <w:b/>
          <w:sz w:val="22"/>
        </w:rPr>
        <w:t>Propriété intellectuelle</w:t>
      </w:r>
      <w:r>
        <w:rPr>
          <w:rFonts w:ascii="Arial" w:hAnsi="Arial" w:eastAsia="等线" w:cs="Arial"/>
          <w:sz w:val="22"/>
        </w:rPr>
        <w:t xml:space="preserve"> : Après paiement intégral du montant du projet par le client, le code source complet, les documents de conception, les paquets de ressources UI multi-terminaux appartiennent définitivement à l’opérateur télécom étatique de la RDC ; l’équipe de développement conserve uniquement le droit d’utilisation des composants techniques publics génériques.</w:t>
      </w:r>
    </w:p>
    <w:p w14:paraId="0AA7CE06">
      <w:pPr>
        <w:numPr>
          <w:ilvl w:val="0"/>
          <w:numId w:val="73"/>
        </w:numPr>
        <w:spacing w:before="120" w:after="120" w:line="288" w:lineRule="auto"/>
        <w:jc w:val="both"/>
      </w:pPr>
      <w:r>
        <w:rPr>
          <w:rFonts w:ascii="Arial" w:hAnsi="Arial" w:eastAsia="等线" w:cs="Arial"/>
          <w:b/>
          <w:sz w:val="22"/>
        </w:rPr>
        <w:t>Clause de confidentialité bilatérale</w:t>
      </w:r>
      <w:r>
        <w:rPr>
          <w:rFonts w:ascii="Arial" w:hAnsi="Arial" w:eastAsia="等线" w:cs="Arial"/>
          <w:sz w:val="22"/>
        </w:rPr>
        <w:t xml:space="preserve"> : Les deux parties s’interdisent de divulguer les données métier interne de la plateforme, les paramètres de connexion des interfaces opérateur, le devis de coût du projet, les règles anti-fraude financière et les données utilisateur locales de la RDC à toute tierce partie sans consentement écrit bilatéral.</w:t>
      </w:r>
    </w:p>
    <w:p w14:paraId="27C14CCD">
      <w:pPr>
        <w:numPr>
          <w:ilvl w:val="0"/>
          <w:numId w:val="74"/>
        </w:numPr>
        <w:spacing w:before="120" w:after="120" w:line="288" w:lineRule="auto"/>
        <w:jc w:val="both"/>
      </w:pPr>
      <w:r>
        <w:rPr>
          <w:rFonts w:ascii="Arial" w:hAnsi="Arial" w:eastAsia="等线" w:cs="Arial"/>
          <w:b/>
          <w:sz w:val="22"/>
        </w:rPr>
        <w:t>Protection des données locales</w:t>
      </w:r>
      <w:r>
        <w:rPr>
          <w:rFonts w:ascii="Arial" w:hAnsi="Arial" w:eastAsia="等线" w:cs="Arial"/>
          <w:sz w:val="22"/>
        </w:rPr>
        <w:t xml:space="preserve"> : L’ensemble des données utilisateur, données financières et données douanières générées par la plateforme sont stockées dans le serveur territorial de la RDC, conforme à la loi locale sur la protection des données télécom, l’équipe de développement ne procède pas à la transmission transfrontalière des données utilisateur sans autorisation officielle.</w:t>
      </w:r>
    </w:p>
    <w:sectPr>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2010600030101010101"/>
    <w:charset w:val="86"/>
    <w:family w:val="auto"/>
    <w:pitch w:val="default"/>
    <w:sig w:usb0="00000000" w:usb1="00000000" w:usb2="00000016" w:usb3="00000000" w:csb0="0004000F" w:csb1="00000000"/>
  </w:font>
  <w:font w:name="DengXian">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2350B"/>
    <w:multiLevelType w:val="multilevel"/>
    <w:tmpl w:val="0022350B"/>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1CD453E"/>
    <w:multiLevelType w:val="multilevel"/>
    <w:tmpl w:val="01CD453E"/>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1D5681F"/>
    <w:multiLevelType w:val="multilevel"/>
    <w:tmpl w:val="01D5681F"/>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2C72981"/>
    <w:multiLevelType w:val="multilevel"/>
    <w:tmpl w:val="02C72981"/>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2E07C1F"/>
    <w:multiLevelType w:val="multilevel"/>
    <w:tmpl w:val="02E07C1F"/>
    <w:lvl w:ilvl="0" w:tentative="0">
      <w:start w:val="7"/>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3477951"/>
    <w:multiLevelType w:val="multilevel"/>
    <w:tmpl w:val="03477951"/>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3EF246E"/>
    <w:multiLevelType w:val="multilevel"/>
    <w:tmpl w:val="03EF246E"/>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48F1709"/>
    <w:multiLevelType w:val="multilevel"/>
    <w:tmpl w:val="048F1709"/>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6396C1A"/>
    <w:multiLevelType w:val="multilevel"/>
    <w:tmpl w:val="06396C1A"/>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08CD42D1"/>
    <w:multiLevelType w:val="multilevel"/>
    <w:tmpl w:val="08CD42D1"/>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93317AE"/>
    <w:multiLevelType w:val="multilevel"/>
    <w:tmpl w:val="093317AE"/>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0ACE2F85"/>
    <w:multiLevelType w:val="multilevel"/>
    <w:tmpl w:val="0ACE2F85"/>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0BD06F6A"/>
    <w:multiLevelType w:val="multilevel"/>
    <w:tmpl w:val="0BD06F6A"/>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0D314CE4"/>
    <w:multiLevelType w:val="multilevel"/>
    <w:tmpl w:val="0D314CE4"/>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173D334B"/>
    <w:multiLevelType w:val="multilevel"/>
    <w:tmpl w:val="173D334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1C837698"/>
    <w:multiLevelType w:val="multilevel"/>
    <w:tmpl w:val="1C837698"/>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1DBA2F74"/>
    <w:multiLevelType w:val="multilevel"/>
    <w:tmpl w:val="1DBA2F7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1E497E3E"/>
    <w:multiLevelType w:val="multilevel"/>
    <w:tmpl w:val="1E497E3E"/>
    <w:lvl w:ilvl="0" w:tentative="0">
      <w:start w:val="7"/>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1FAB292B"/>
    <w:multiLevelType w:val="multilevel"/>
    <w:tmpl w:val="1FAB292B"/>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206632E4"/>
    <w:multiLevelType w:val="multilevel"/>
    <w:tmpl w:val="206632E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20D24C33"/>
    <w:multiLevelType w:val="multilevel"/>
    <w:tmpl w:val="20D24C33"/>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20DD66B3"/>
    <w:multiLevelType w:val="multilevel"/>
    <w:tmpl w:val="20DD66B3"/>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262A533B"/>
    <w:multiLevelType w:val="multilevel"/>
    <w:tmpl w:val="262A533B"/>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29640B75"/>
    <w:multiLevelType w:val="multilevel"/>
    <w:tmpl w:val="29640B75"/>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2CAB47FF"/>
    <w:multiLevelType w:val="multilevel"/>
    <w:tmpl w:val="2CAB47F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2D1256FF"/>
    <w:multiLevelType w:val="multilevel"/>
    <w:tmpl w:val="2D1256FF"/>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31D46032"/>
    <w:multiLevelType w:val="multilevel"/>
    <w:tmpl w:val="31D46032"/>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327914F6"/>
    <w:multiLevelType w:val="multilevel"/>
    <w:tmpl w:val="327914F6"/>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32952D41"/>
    <w:multiLevelType w:val="multilevel"/>
    <w:tmpl w:val="32952D41"/>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32C267B6"/>
    <w:multiLevelType w:val="multilevel"/>
    <w:tmpl w:val="32C267B6"/>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34D74B22"/>
    <w:multiLevelType w:val="multilevel"/>
    <w:tmpl w:val="34D74B2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35EB3015"/>
    <w:multiLevelType w:val="multilevel"/>
    <w:tmpl w:val="35EB3015"/>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
    <w:nsid w:val="3DDF51A9"/>
    <w:multiLevelType w:val="multilevel"/>
    <w:tmpl w:val="3DDF51A9"/>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410F29C4"/>
    <w:multiLevelType w:val="multilevel"/>
    <w:tmpl w:val="410F29C4"/>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42AF6CD2"/>
    <w:multiLevelType w:val="multilevel"/>
    <w:tmpl w:val="42AF6CD2"/>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42CE14A8"/>
    <w:multiLevelType w:val="multilevel"/>
    <w:tmpl w:val="42CE14A8"/>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430C57CC"/>
    <w:multiLevelType w:val="multilevel"/>
    <w:tmpl w:val="430C57CC"/>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
    <w:nsid w:val="43555C95"/>
    <w:multiLevelType w:val="multilevel"/>
    <w:tmpl w:val="43555C95"/>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
    <w:nsid w:val="451630C3"/>
    <w:multiLevelType w:val="multilevel"/>
    <w:tmpl w:val="451630C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
    <w:nsid w:val="466E3707"/>
    <w:multiLevelType w:val="multilevel"/>
    <w:tmpl w:val="466E3707"/>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
    <w:nsid w:val="475B2416"/>
    <w:multiLevelType w:val="multilevel"/>
    <w:tmpl w:val="475B2416"/>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
    <w:nsid w:val="4AD45B0B"/>
    <w:multiLevelType w:val="multilevel"/>
    <w:tmpl w:val="4AD45B0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2">
    <w:nsid w:val="4C372DBE"/>
    <w:multiLevelType w:val="multilevel"/>
    <w:tmpl w:val="4C372DBE"/>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
    <w:nsid w:val="4D0F7D35"/>
    <w:multiLevelType w:val="multilevel"/>
    <w:tmpl w:val="4D0F7D35"/>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
    <w:nsid w:val="4EB07C81"/>
    <w:multiLevelType w:val="multilevel"/>
    <w:tmpl w:val="4EB07C8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
    <w:nsid w:val="4EEF5C01"/>
    <w:multiLevelType w:val="multilevel"/>
    <w:tmpl w:val="4EEF5C0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
    <w:nsid w:val="52333A44"/>
    <w:multiLevelType w:val="multilevel"/>
    <w:tmpl w:val="52333A44"/>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
    <w:nsid w:val="52821C0D"/>
    <w:multiLevelType w:val="multilevel"/>
    <w:tmpl w:val="52821C0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
    <w:nsid w:val="5473075F"/>
    <w:multiLevelType w:val="multilevel"/>
    <w:tmpl w:val="5473075F"/>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9">
    <w:nsid w:val="55600C6D"/>
    <w:multiLevelType w:val="multilevel"/>
    <w:tmpl w:val="55600C6D"/>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
    <w:nsid w:val="56415279"/>
    <w:multiLevelType w:val="multilevel"/>
    <w:tmpl w:val="56415279"/>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
    <w:nsid w:val="5918490D"/>
    <w:multiLevelType w:val="multilevel"/>
    <w:tmpl w:val="5918490D"/>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
    <w:nsid w:val="598504DF"/>
    <w:multiLevelType w:val="multilevel"/>
    <w:tmpl w:val="598504D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
    <w:nsid w:val="5BF92E38"/>
    <w:multiLevelType w:val="multilevel"/>
    <w:tmpl w:val="5BF92E38"/>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5E177016"/>
    <w:multiLevelType w:val="multilevel"/>
    <w:tmpl w:val="5E17701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5">
    <w:nsid w:val="5F340B7E"/>
    <w:multiLevelType w:val="multilevel"/>
    <w:tmpl w:val="5F340B7E"/>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
    <w:nsid w:val="6636745C"/>
    <w:multiLevelType w:val="multilevel"/>
    <w:tmpl w:val="6636745C"/>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
    <w:nsid w:val="678D519F"/>
    <w:multiLevelType w:val="multilevel"/>
    <w:tmpl w:val="678D519F"/>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8">
    <w:nsid w:val="68A13276"/>
    <w:multiLevelType w:val="multilevel"/>
    <w:tmpl w:val="68A1327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
    <w:nsid w:val="6C572725"/>
    <w:multiLevelType w:val="multilevel"/>
    <w:tmpl w:val="6C572725"/>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6CF703C7"/>
    <w:multiLevelType w:val="multilevel"/>
    <w:tmpl w:val="6CF703C7"/>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
    <w:nsid w:val="6E7B4513"/>
    <w:multiLevelType w:val="multilevel"/>
    <w:tmpl w:val="6E7B4513"/>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
    <w:nsid w:val="6F1F4810"/>
    <w:multiLevelType w:val="multilevel"/>
    <w:tmpl w:val="6F1F4810"/>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
    <w:nsid w:val="71981792"/>
    <w:multiLevelType w:val="multilevel"/>
    <w:tmpl w:val="71981792"/>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
    <w:nsid w:val="760D1949"/>
    <w:multiLevelType w:val="multilevel"/>
    <w:tmpl w:val="760D1949"/>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
    <w:nsid w:val="76A8685E"/>
    <w:multiLevelType w:val="multilevel"/>
    <w:tmpl w:val="76A8685E"/>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
    <w:nsid w:val="77000046"/>
    <w:multiLevelType w:val="multilevel"/>
    <w:tmpl w:val="7700004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
    <w:nsid w:val="77AF56AD"/>
    <w:multiLevelType w:val="multilevel"/>
    <w:tmpl w:val="77AF56AD"/>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
    <w:nsid w:val="78A47AF9"/>
    <w:multiLevelType w:val="multilevel"/>
    <w:tmpl w:val="78A47AF9"/>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
    <w:nsid w:val="79DF2814"/>
    <w:multiLevelType w:val="multilevel"/>
    <w:tmpl w:val="79DF2814"/>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
    <w:nsid w:val="7A4B5CDF"/>
    <w:multiLevelType w:val="multilevel"/>
    <w:tmpl w:val="7A4B5CDF"/>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7B094A94"/>
    <w:multiLevelType w:val="multilevel"/>
    <w:tmpl w:val="7B094A9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7C994D90"/>
    <w:multiLevelType w:val="multilevel"/>
    <w:tmpl w:val="7C994D90"/>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
    <w:nsid w:val="7FB92704"/>
    <w:multiLevelType w:val="multilevel"/>
    <w:tmpl w:val="7FB92704"/>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62"/>
  </w:num>
  <w:num w:numId="2">
    <w:abstractNumId w:val="24"/>
  </w:num>
  <w:num w:numId="3">
    <w:abstractNumId w:val="12"/>
  </w:num>
  <w:num w:numId="4">
    <w:abstractNumId w:val="5"/>
  </w:num>
  <w:num w:numId="5">
    <w:abstractNumId w:val="1"/>
  </w:num>
  <w:num w:numId="6">
    <w:abstractNumId w:val="27"/>
  </w:num>
  <w:num w:numId="7">
    <w:abstractNumId w:val="48"/>
  </w:num>
  <w:num w:numId="8">
    <w:abstractNumId w:val="16"/>
  </w:num>
  <w:num w:numId="9">
    <w:abstractNumId w:val="47"/>
  </w:num>
  <w:num w:numId="10">
    <w:abstractNumId w:val="50"/>
  </w:num>
  <w:num w:numId="11">
    <w:abstractNumId w:val="2"/>
  </w:num>
  <w:num w:numId="12">
    <w:abstractNumId w:val="6"/>
  </w:num>
  <w:num w:numId="13">
    <w:abstractNumId w:val="17"/>
  </w:num>
  <w:num w:numId="14">
    <w:abstractNumId w:val="66"/>
  </w:num>
  <w:num w:numId="15">
    <w:abstractNumId w:val="52"/>
  </w:num>
  <w:num w:numId="16">
    <w:abstractNumId w:val="26"/>
  </w:num>
  <w:num w:numId="17">
    <w:abstractNumId w:val="68"/>
  </w:num>
  <w:num w:numId="18">
    <w:abstractNumId w:val="49"/>
  </w:num>
  <w:num w:numId="19">
    <w:abstractNumId w:val="15"/>
  </w:num>
  <w:num w:numId="20">
    <w:abstractNumId w:val="9"/>
  </w:num>
  <w:num w:numId="21">
    <w:abstractNumId w:val="43"/>
  </w:num>
  <w:num w:numId="22">
    <w:abstractNumId w:val="44"/>
  </w:num>
  <w:num w:numId="23">
    <w:abstractNumId w:val="3"/>
  </w:num>
  <w:num w:numId="24">
    <w:abstractNumId w:val="46"/>
  </w:num>
  <w:num w:numId="25">
    <w:abstractNumId w:val="22"/>
  </w:num>
  <w:num w:numId="26">
    <w:abstractNumId w:val="31"/>
  </w:num>
  <w:num w:numId="27">
    <w:abstractNumId w:val="14"/>
  </w:num>
  <w:num w:numId="28">
    <w:abstractNumId w:val="37"/>
  </w:num>
  <w:num w:numId="29">
    <w:abstractNumId w:val="58"/>
  </w:num>
  <w:num w:numId="30">
    <w:abstractNumId w:val="63"/>
  </w:num>
  <w:num w:numId="31">
    <w:abstractNumId w:val="38"/>
  </w:num>
  <w:num w:numId="32">
    <w:abstractNumId w:val="71"/>
  </w:num>
  <w:num w:numId="33">
    <w:abstractNumId w:val="36"/>
  </w:num>
  <w:num w:numId="34">
    <w:abstractNumId w:val="55"/>
  </w:num>
  <w:num w:numId="35">
    <w:abstractNumId w:val="20"/>
  </w:num>
  <w:num w:numId="36">
    <w:abstractNumId w:val="32"/>
  </w:num>
  <w:num w:numId="37">
    <w:abstractNumId w:val="29"/>
  </w:num>
  <w:num w:numId="38">
    <w:abstractNumId w:val="33"/>
  </w:num>
  <w:num w:numId="39">
    <w:abstractNumId w:val="54"/>
  </w:num>
  <w:num w:numId="40">
    <w:abstractNumId w:val="25"/>
  </w:num>
  <w:num w:numId="41">
    <w:abstractNumId w:val="34"/>
  </w:num>
  <w:num w:numId="42">
    <w:abstractNumId w:val="23"/>
  </w:num>
  <w:num w:numId="43">
    <w:abstractNumId w:val="61"/>
  </w:num>
  <w:num w:numId="44">
    <w:abstractNumId w:val="39"/>
  </w:num>
  <w:num w:numId="45">
    <w:abstractNumId w:val="35"/>
  </w:num>
  <w:num w:numId="46">
    <w:abstractNumId w:val="51"/>
  </w:num>
  <w:num w:numId="47">
    <w:abstractNumId w:val="59"/>
  </w:num>
  <w:num w:numId="48">
    <w:abstractNumId w:val="57"/>
  </w:num>
  <w:num w:numId="49">
    <w:abstractNumId w:val="70"/>
  </w:num>
  <w:num w:numId="50">
    <w:abstractNumId w:val="45"/>
  </w:num>
  <w:num w:numId="51">
    <w:abstractNumId w:val="42"/>
  </w:num>
  <w:num w:numId="52">
    <w:abstractNumId w:val="7"/>
  </w:num>
  <w:num w:numId="53">
    <w:abstractNumId w:val="73"/>
  </w:num>
  <w:num w:numId="54">
    <w:abstractNumId w:val="41"/>
  </w:num>
  <w:num w:numId="55">
    <w:abstractNumId w:val="40"/>
  </w:num>
  <w:num w:numId="56">
    <w:abstractNumId w:val="69"/>
  </w:num>
  <w:num w:numId="57">
    <w:abstractNumId w:val="21"/>
  </w:num>
  <w:num w:numId="58">
    <w:abstractNumId w:val="13"/>
  </w:num>
  <w:num w:numId="59">
    <w:abstractNumId w:val="4"/>
  </w:num>
  <w:num w:numId="60">
    <w:abstractNumId w:val="10"/>
  </w:num>
  <w:num w:numId="61">
    <w:abstractNumId w:val="19"/>
  </w:num>
  <w:num w:numId="62">
    <w:abstractNumId w:val="60"/>
  </w:num>
  <w:num w:numId="63">
    <w:abstractNumId w:val="67"/>
  </w:num>
  <w:num w:numId="64">
    <w:abstractNumId w:val="0"/>
  </w:num>
  <w:num w:numId="65">
    <w:abstractNumId w:val="53"/>
  </w:num>
  <w:num w:numId="66">
    <w:abstractNumId w:val="30"/>
  </w:num>
  <w:num w:numId="67">
    <w:abstractNumId w:val="72"/>
  </w:num>
  <w:num w:numId="68">
    <w:abstractNumId w:val="18"/>
  </w:num>
  <w:num w:numId="69">
    <w:abstractNumId w:val="64"/>
  </w:num>
  <w:num w:numId="70">
    <w:abstractNumId w:val="28"/>
  </w:num>
  <w:num w:numId="71">
    <w:abstractNumId w:val="65"/>
  </w:num>
  <w:num w:numId="72">
    <w:abstractNumId w:val="11"/>
  </w:num>
  <w:num w:numId="73">
    <w:abstractNumId w:val="8"/>
  </w:num>
  <w:num w:numId="7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compat>
    <w:compatSetting w:name="compatibilityMode" w:uri="http://schemas.microsoft.com/office/word" w:val="12"/>
  </w:compat>
  <w:rsids>
    <w:rsidRoot w:val="00234176"/>
    <w:rsid w:val="00234176"/>
    <w:rsid w:val="00312A73"/>
    <w:rsid w:val="00B062AA"/>
    <w:rsid w:val="00C2134B"/>
    <w:rsid w:val="7C136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7"/>
    <w:semiHidden/>
    <w:unhideWhenUsed/>
    <w:qFormat/>
    <w:uiPriority w:val="99"/>
    <w:pPr>
      <w:tabs>
        <w:tab w:val="center" w:pos="4153"/>
        <w:tab w:val="right" w:pos="8306"/>
      </w:tabs>
      <w:snapToGrid w:val="0"/>
      <w:jc w:val="left"/>
    </w:pPr>
    <w:rPr>
      <w:sz w:val="18"/>
      <w:szCs w:val="18"/>
    </w:rPr>
  </w:style>
  <w:style w:type="paragraph" w:styleId="4">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2"/>
    <w:link w:val="4"/>
    <w:semiHidden/>
    <w:qFormat/>
    <w:uiPriority w:val="99"/>
    <w:rPr>
      <w:sz w:val="18"/>
      <w:szCs w:val="18"/>
    </w:rPr>
  </w:style>
  <w:style w:type="character" w:customStyle="1" w:styleId="7">
    <w:name w:val="页脚 Char"/>
    <w:basedOn w:val="2"/>
    <w:link w:val="3"/>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5085</Words>
  <Characters>35629</Characters>
  <Lines>289</Lines>
  <Paragraphs>81</Paragraphs>
  <TotalTime>51</TotalTime>
  <ScaleCrop>false</ScaleCrop>
  <LinksUpToDate>false</LinksUpToDate>
  <CharactersWithSpaces>40413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2026-06-18T07:28:00Z</dcterms:created>
  <dc:creator>Apache POI</dc:creator>
  <cp:lastModifiedBy>G Ss</cp:lastModifiedBy>
  <dcterms:modified xsi:type="dcterms:W3CDTF">2026-06-18T12:14:02Z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{"Label":"1","ContentProducer":"001191110102MACQD9K64010000","ProduceID":"7652633874568449205","ReservedCode1":"","ContentPropagator":"","PropagateID":"","ReservedCode2":""}</vt:lpwstr>
  </property>
  <property fmtid="{D5CDD505-2E9C-101B-9397-08002B2CF9AE}" pid="3" name="KSOTemplateDocerSaveRecord">
    <vt:lpwstr>eyJoZGlkIjoiZGE5MTI4YzRjY2Y1YWE1MjI4ZGEzMGY0NGMxNjYyMmUiLCJ1c2VySWQiOiIxNDU4NjQ0NzY1NzMwMCJ9</vt:lpwstr>
  </property>
  <property fmtid="{D5CDD505-2E9C-101B-9397-08002B2CF9AE}" pid="4" name="KSOProductBuildVer">
    <vt:lpwstr>1036-12.1.0.26880</vt:lpwstr>
  </property>
  <property fmtid="{D5CDD505-2E9C-101B-9397-08002B2CF9AE}" pid="5" name="ICV">
    <vt:lpwstr>EB2AB72BA02C4E4CB5022306716D7EF0_12</vt:lpwstr>
  </property>
</Properties>
</file>