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87F5B"/>
          <w:sz w:val="26"/>
        </w:rPr>
        <w:t>TRANSFERT POS</w:t>
      </w:r>
    </w:p>
    <w:p>
      <w:pPr>
        <w:pStyle w:val="Title"/>
        <w:jc w:val="center"/>
      </w:pPr>
      <w:r>
        <w:t>CAHIER DES CHARGES COMPLET</w:t>
      </w:r>
    </w:p>
    <w:p>
      <w:pPr>
        <w:jc w:val="center"/>
      </w:pPr>
      <w:r>
        <w:rPr>
          <w:color w:val="12312B"/>
          <w:sz w:val="30"/>
        </w:rPr>
        <w:t>Logiciel d’enregistrement, d’envoi et de paiement des transferts d’argent entre agences</w:t>
      </w:r>
    </w:p>
    <w:p>
      <w:pPr>
        <w:jc w:val="center"/>
      </w:pPr>
      <w:r>
        <w:rPr>
          <w:i/>
        </w:rPr>
        <w:t>Solution Web • Tablette • Ordinateur • Terminal POS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Élément</w:t>
            </w:r>
          </w:p>
        </w:tc>
        <w:tc>
          <w:tcPr>
            <w:tcW w:type="dxa" w:w="4968"/>
            <w:shd w:fill="087F5B"/>
          </w:tcPr>
          <w:p>
            <w:r>
              <w:rPr>
                <w:b/>
                <w:color w:val="FFFFFF"/>
                <w:sz w:val="18"/>
              </w:rPr>
              <w:t>Valeur</w:t>
            </w:r>
          </w:p>
        </w:tc>
      </w:tr>
      <w:tr>
        <w:tc>
          <w:tcPr>
            <w:tcW w:type="dxa" w:w="4968"/>
          </w:tcPr>
          <w:p>
            <w:r>
              <w:rPr>
                <w:rFonts w:ascii="Aptos" w:hAnsi="Aptos"/>
                <w:sz w:val="17"/>
              </w:rPr>
              <w:t>Version</w:t>
            </w:r>
          </w:p>
        </w:tc>
        <w:tc>
          <w:tcPr>
            <w:tcW w:type="dxa" w:w="4968"/>
          </w:tcPr>
          <w:p>
            <w:r>
              <w:rPr>
                <w:rFonts w:ascii="Aptos" w:hAnsi="Aptos"/>
                <w:sz w:val="17"/>
              </w:rPr>
              <w:t>1.0</w:t>
            </w:r>
          </w:p>
        </w:tc>
      </w:tr>
      <w:tr>
        <w:tc>
          <w:tcPr>
            <w:tcW w:type="dxa" w:w="4968"/>
            <w:shd w:fill="F3F8F6"/>
          </w:tcPr>
          <w:p>
            <w:r>
              <w:rPr>
                <w:rFonts w:ascii="Aptos" w:hAnsi="Aptos"/>
                <w:sz w:val="17"/>
              </w:rPr>
              <w:t>Date</w:t>
            </w:r>
          </w:p>
        </w:tc>
        <w:tc>
          <w:tcPr>
            <w:tcW w:type="dxa" w:w="4968"/>
            <w:shd w:fill="F3F8F6"/>
          </w:tcPr>
          <w:p>
            <w:r>
              <w:rPr>
                <w:rFonts w:ascii="Aptos" w:hAnsi="Aptos"/>
                <w:sz w:val="17"/>
              </w:rPr>
              <w:t>17 juillet 2026</w:t>
            </w:r>
          </w:p>
        </w:tc>
      </w:tr>
      <w:tr>
        <w:tc>
          <w:tcPr>
            <w:tcW w:type="dxa" w:w="4968"/>
          </w:tcPr>
          <w:p>
            <w:r>
              <w:rPr>
                <w:rFonts w:ascii="Aptos" w:hAnsi="Aptos"/>
                <w:sz w:val="17"/>
              </w:rPr>
              <w:t>Périmètre</w:t>
            </w:r>
          </w:p>
        </w:tc>
        <w:tc>
          <w:tcPr>
            <w:tcW w:type="dxa" w:w="4968"/>
          </w:tcPr>
          <w:p>
            <w:r>
              <w:rPr>
                <w:rFonts w:ascii="Aptos" w:hAnsi="Aptos"/>
                <w:sz w:val="17"/>
              </w:rPr>
              <w:t>Gestion multi-agences, envoi, retrait, signatures, reçus et caisse</w:t>
            </w:r>
          </w:p>
        </w:tc>
      </w:tr>
      <w:tr>
        <w:tc>
          <w:tcPr>
            <w:tcW w:type="dxa" w:w="4968"/>
            <w:shd w:fill="F3F8F6"/>
          </w:tcPr>
          <w:p>
            <w:r>
              <w:rPr>
                <w:rFonts w:ascii="Aptos" w:hAnsi="Aptos"/>
                <w:sz w:val="17"/>
              </w:rPr>
              <w:t>Statut</w:t>
            </w:r>
          </w:p>
        </w:tc>
        <w:tc>
          <w:tcPr>
            <w:tcW w:type="dxa" w:w="4968"/>
            <w:shd w:fill="F3F8F6"/>
          </w:tcPr>
          <w:p>
            <w:r>
              <w:rPr>
                <w:rFonts w:ascii="Aptos" w:hAnsi="Aptos"/>
                <w:sz w:val="17"/>
              </w:rPr>
              <w:t>Prêt pour estimation et développement</w:t>
            </w:r>
          </w:p>
        </w:tc>
      </w:tr>
    </w:tbl>
    <w:p/>
    <w:tbl>
      <w:tblPr>
        <w:tblW w:type="auto" w:w="0"/>
        <w:tblLook w:firstColumn="1" w:firstRow="1" w:lastColumn="0" w:lastRow="0" w:noHBand="0" w:noVBand="1" w:val="04A0"/>
      </w:tblPr>
      <w:tblGrid>
        <w:gridCol w:w="9936"/>
      </w:tblGrid>
      <w:tr>
        <w:tc>
          <w:tcPr>
            <w:tcW w:type="dxa" w:w="9936"/>
            <w:shd w:fill="E6F7F1"/>
          </w:tcPr>
          <w:p>
            <w:r/>
            <w:r>
              <w:rPr>
                <w:b/>
                <w:color w:val="087F5B"/>
              </w:rPr>
              <w:t xml:space="preserve">PRINCIPE — </w:t>
            </w:r>
            <w:r>
              <w:t>Chaque transfert est créé dans un bureau d’envoi par un agent identifié, reçoit un code unique, est signé par l’expéditeur, puis payé dans un bureau autorisé après contrôle et signature du bénéficiaire.</w:t>
            </w:r>
          </w:p>
        </w:tc>
      </w:tr>
    </w:tbl>
    <w:p/>
    <w:p>
      <w:r>
        <w:br w:type="page"/>
      </w:r>
    </w:p>
    <w:p>
      <w:pPr>
        <w:pStyle w:val="Heading1"/>
      </w:pPr>
      <w:r>
        <w:t>1. Objet et objectifs</w:t>
      </w:r>
    </w:p>
    <w:p>
      <w:r>
        <w:t>Créer une application centralisée remplaçant le registre ou carnet papier utilisé par les agences de transfert. Elle doit enregistrer, sécuriser, suivre et justifier chaque envoi et chaque paiement, tout en calculant automatiquement les frais et commissions.</w:t>
      </w:r>
    </w:p>
    <w:p>
      <w:pPr>
        <w:pStyle w:val="ListBullet"/>
      </w:pPr>
      <w:r>
        <w:t>Créer une société, ses agences et ses bureaux de représentation.</w:t>
      </w:r>
    </w:p>
    <w:p>
      <w:pPr>
        <w:pStyle w:val="ListBullet"/>
      </w:pPr>
      <w:r>
        <w:t>Attribuer à chaque lieu un code propre et à chaque agent un accès personnel.</w:t>
      </w:r>
    </w:p>
    <w:p>
      <w:pPr>
        <w:pStyle w:val="ListBullet"/>
      </w:pPr>
      <w:r>
        <w:t>Enregistrer les expéditeurs et bénéficiaires avec les contrôles KYC requis.</w:t>
      </w:r>
    </w:p>
    <w:p>
      <w:pPr>
        <w:pStyle w:val="ListBullet"/>
      </w:pPr>
      <w:r>
        <w:t>Calculer automatiquement les frais, par exemple 3 % du montant envoyé.</w:t>
      </w:r>
    </w:p>
    <w:p>
      <w:pPr>
        <w:pStyle w:val="ListBullet"/>
      </w:pPr>
      <w:r>
        <w:t>Générer un code de transfert sécurisé et un reçu imprimable sur POS.</w:t>
      </w:r>
    </w:p>
    <w:p>
      <w:pPr>
        <w:pStyle w:val="ListBullet"/>
      </w:pPr>
      <w:r>
        <w:t>Recueillir les signatures de l’expéditeur et du bénéficiaire.</w:t>
      </w:r>
    </w:p>
    <w:p>
      <w:pPr>
        <w:pStyle w:val="ListBullet"/>
      </w:pPr>
      <w:r>
        <w:t>Gérer les caisses, commissions, rapprochements, rapports et traces d’audit.</w:t>
      </w:r>
    </w:p>
    <w:p>
      <w:pPr>
        <w:pStyle w:val="Heading1"/>
      </w:pPr>
      <w:r>
        <w:t>2. Organisation générale et utilisateurs</w:t>
      </w:r>
    </w:p>
    <w:p>
      <w:r>
        <w:t>Hiérarchie : Plateforme → Société → Agence principale → Bureau/point de service → Agent → Caisse → Transaction.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Rôle</w:t>
            </w:r>
          </w:p>
        </w:tc>
        <w:tc>
          <w:tcPr>
            <w:tcW w:type="dxa" w:w="4968"/>
            <w:shd w:fill="087F5B"/>
          </w:tcPr>
          <w:p>
            <w:r>
              <w:rPr>
                <w:b/>
                <w:color w:val="FFFFFF"/>
                <w:sz w:val="18"/>
              </w:rPr>
              <w:t>Droits principaux</w:t>
            </w:r>
          </w:p>
        </w:tc>
      </w:tr>
      <w:tr>
        <w:tc>
          <w:tcPr>
            <w:tcW w:type="dxa" w:w="4968"/>
          </w:tcPr>
          <w:p>
            <w:r>
              <w:rPr>
                <w:rFonts w:ascii="Aptos" w:hAnsi="Aptos"/>
                <w:sz w:val="17"/>
              </w:rPr>
              <w:t>Super-administrateur</w:t>
            </w:r>
          </w:p>
        </w:tc>
        <w:tc>
          <w:tcPr>
            <w:tcW w:type="dxa" w:w="4968"/>
          </w:tcPr>
          <w:p>
            <w:r>
              <w:rPr>
                <w:rFonts w:ascii="Aptos" w:hAnsi="Aptos"/>
                <w:sz w:val="17"/>
              </w:rPr>
              <w:t>Supervision technique, sécurité, assistance et paramètres globaux.</w:t>
            </w:r>
          </w:p>
        </w:tc>
      </w:tr>
      <w:tr>
        <w:tc>
          <w:tcPr>
            <w:tcW w:type="dxa" w:w="4968"/>
            <w:shd w:fill="F3F8F6"/>
          </w:tcPr>
          <w:p>
            <w:r>
              <w:rPr>
                <w:rFonts w:ascii="Aptos" w:hAnsi="Aptos"/>
                <w:sz w:val="17"/>
              </w:rPr>
              <w:t>Administrateur société</w:t>
            </w:r>
          </w:p>
        </w:tc>
        <w:tc>
          <w:tcPr>
            <w:tcW w:type="dxa" w:w="4968"/>
            <w:shd w:fill="F3F8F6"/>
          </w:tcPr>
          <w:p>
            <w:r>
              <w:rPr>
                <w:rFonts w:ascii="Aptos" w:hAnsi="Aptos"/>
                <w:sz w:val="17"/>
              </w:rPr>
              <w:t>Création des agences, bureaux, tarifs, devises, plafonds et comptes.</w:t>
            </w:r>
          </w:p>
        </w:tc>
      </w:tr>
      <w:tr>
        <w:tc>
          <w:tcPr>
            <w:tcW w:type="dxa" w:w="4968"/>
          </w:tcPr>
          <w:p>
            <w:r>
              <w:rPr>
                <w:rFonts w:ascii="Aptos" w:hAnsi="Aptos"/>
                <w:sz w:val="17"/>
              </w:rPr>
              <w:t>Responsable agence</w:t>
            </w:r>
          </w:p>
        </w:tc>
        <w:tc>
          <w:tcPr>
            <w:tcW w:type="dxa" w:w="4968"/>
          </w:tcPr>
          <w:p>
            <w:r>
              <w:rPr>
                <w:rFonts w:ascii="Aptos" w:hAnsi="Aptos"/>
                <w:sz w:val="17"/>
              </w:rPr>
              <w:t>Gestion des bureaux, agents, caisses, rapports et validations.</w:t>
            </w:r>
          </w:p>
        </w:tc>
      </w:tr>
      <w:tr>
        <w:tc>
          <w:tcPr>
            <w:tcW w:type="dxa" w:w="4968"/>
            <w:shd w:fill="F3F8F6"/>
          </w:tcPr>
          <w:p>
            <w:r>
              <w:rPr>
                <w:rFonts w:ascii="Aptos" w:hAnsi="Aptos"/>
                <w:sz w:val="17"/>
              </w:rPr>
              <w:t>Superviseur de bureau</w:t>
            </w:r>
          </w:p>
        </w:tc>
        <w:tc>
          <w:tcPr>
            <w:tcW w:type="dxa" w:w="4968"/>
            <w:shd w:fill="F3F8F6"/>
          </w:tcPr>
          <w:p>
            <w:r>
              <w:rPr>
                <w:rFonts w:ascii="Aptos" w:hAnsi="Aptos"/>
                <w:sz w:val="17"/>
              </w:rPr>
              <w:t>Ouverture, affectation des caisses, exceptions et clôture.</w:t>
            </w:r>
          </w:p>
        </w:tc>
      </w:tr>
      <w:tr>
        <w:tc>
          <w:tcPr>
            <w:tcW w:type="dxa" w:w="4968"/>
          </w:tcPr>
          <w:p>
            <w:r>
              <w:rPr>
                <w:rFonts w:ascii="Aptos" w:hAnsi="Aptos"/>
                <w:sz w:val="17"/>
              </w:rPr>
              <w:t>Agent d’envoi</w:t>
            </w:r>
          </w:p>
        </w:tc>
        <w:tc>
          <w:tcPr>
            <w:tcW w:type="dxa" w:w="4968"/>
          </w:tcPr>
          <w:p>
            <w:r>
              <w:rPr>
                <w:rFonts w:ascii="Aptos" w:hAnsi="Aptos"/>
                <w:sz w:val="17"/>
              </w:rPr>
              <w:t>Identification, saisie, encaissement, signature et impression.</w:t>
            </w:r>
          </w:p>
        </w:tc>
      </w:tr>
      <w:tr>
        <w:tc>
          <w:tcPr>
            <w:tcW w:type="dxa" w:w="4968"/>
            <w:shd w:fill="F3F8F6"/>
          </w:tcPr>
          <w:p>
            <w:r>
              <w:rPr>
                <w:rFonts w:ascii="Aptos" w:hAnsi="Aptos"/>
                <w:sz w:val="17"/>
              </w:rPr>
              <w:t>Agent de réception</w:t>
            </w:r>
          </w:p>
        </w:tc>
        <w:tc>
          <w:tcPr>
            <w:tcW w:type="dxa" w:w="4968"/>
            <w:shd w:fill="F3F8F6"/>
          </w:tcPr>
          <w:p>
            <w:r>
              <w:rPr>
                <w:rFonts w:ascii="Aptos" w:hAnsi="Aptos"/>
                <w:sz w:val="17"/>
              </w:rPr>
              <w:t>Recherche du code, contrôle, paiement, signature et reçu.</w:t>
            </w:r>
          </w:p>
        </w:tc>
      </w:tr>
      <w:tr>
        <w:tc>
          <w:tcPr>
            <w:tcW w:type="dxa" w:w="4968"/>
          </w:tcPr>
          <w:p>
            <w:r>
              <w:rPr>
                <w:rFonts w:ascii="Aptos" w:hAnsi="Aptos"/>
                <w:sz w:val="17"/>
              </w:rPr>
              <w:t>Comptable/Auditeur</w:t>
            </w:r>
          </w:p>
        </w:tc>
        <w:tc>
          <w:tcPr>
            <w:tcW w:type="dxa" w:w="4968"/>
          </w:tcPr>
          <w:p>
            <w:r>
              <w:rPr>
                <w:rFonts w:ascii="Aptos" w:hAnsi="Aptos"/>
                <w:sz w:val="17"/>
              </w:rPr>
              <w:t>Consultation, rapprochement, export et audit sans modification.</w:t>
            </w:r>
          </w:p>
        </w:tc>
      </w:tr>
    </w:tbl>
    <w:p/>
    <w:p>
      <w:pPr>
        <w:pStyle w:val="Heading1"/>
      </w:pPr>
      <w:r>
        <w:t>3. Création de la société, des agences et bureaux</w:t>
      </w:r>
    </w:p>
    <w:p>
      <w:pPr>
        <w:pStyle w:val="ListBullet"/>
      </w:pPr>
      <w:r>
        <w:t>Société : raison sociale, nom commercial, logo, RCCM/registre, numéro fiscal, pays, adresse, contacts, documents et statut.</w:t>
      </w:r>
    </w:p>
    <w:p>
      <w:pPr>
        <w:pStyle w:val="ListBullet"/>
      </w:pPr>
      <w:r>
        <w:t>Agence : code unique (ex. AG-KIN-001), adresse, responsable, contacts, devise(s), plafond et statut.</w:t>
      </w:r>
    </w:p>
    <w:p>
      <w:pPr>
        <w:pStyle w:val="ListBullet"/>
      </w:pPr>
      <w:r>
        <w:t>Bureau : code propre (ex. BUR-KIN-GMB-003), agence parente, localisation, horaires, caisses, corridors autorisés et responsable.</w:t>
      </w:r>
    </w:p>
    <w:p>
      <w:pPr>
        <w:pStyle w:val="ListBullet"/>
      </w:pPr>
      <w:r>
        <w:t>Chaque agent est affecté à un ou plusieurs bureaux autorisés; chaque changement d’affectation est historisé.</w:t>
      </w:r>
    </w:p>
    <w:p>
      <w:pPr>
        <w:pStyle w:val="ListBullet"/>
      </w:pPr>
      <w:r>
        <w:t>L’ouverture de l’espace de travail exige le code société/bureau, le nom d’utilisateur, le mot de passe et, selon le rôle, un OTP.</w:t>
      </w:r>
    </w:p>
    <w:p>
      <w:pPr>
        <w:pStyle w:val="ListBullet"/>
      </w:pPr>
      <w:r>
        <w:t>Un appareil POS peut être enregistré et lié à un bureau; les connexions inhabituelles déclenchent une alerte.</w:t>
      </w:r>
    </w:p>
    <w:p>
      <w:pPr>
        <w:pStyle w:val="Heading1"/>
      </w:pPr>
      <w:r>
        <w:t>4. Accès, comptes agents et permissions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Contrôle</w:t>
            </w:r>
          </w:p>
        </w:tc>
        <w:tc>
          <w:tcPr>
            <w:tcW w:type="dxa" w:w="4968"/>
            <w:shd w:fill="087F5B"/>
          </w:tcPr>
          <w:p>
            <w:r>
              <w:rPr>
                <w:b/>
                <w:color w:val="FFFFFF"/>
                <w:sz w:val="18"/>
              </w:rPr>
              <w:t>Exigence</w:t>
            </w:r>
          </w:p>
        </w:tc>
      </w:tr>
      <w:tr>
        <w:tc>
          <w:tcPr>
            <w:tcW w:type="dxa" w:w="4968"/>
          </w:tcPr>
          <w:p>
            <w:r>
              <w:rPr>
                <w:rFonts w:ascii="Aptos" w:hAnsi="Aptos"/>
                <w:sz w:val="17"/>
              </w:rPr>
              <w:t>Identifiant</w:t>
            </w:r>
          </w:p>
        </w:tc>
        <w:tc>
          <w:tcPr>
            <w:tcW w:type="dxa" w:w="4968"/>
          </w:tcPr>
          <w:p>
            <w:r>
              <w:rPr>
                <w:rFonts w:ascii="Aptos" w:hAnsi="Aptos"/>
                <w:sz w:val="17"/>
              </w:rPr>
              <w:t>Nom d’utilisateur unique; téléphone/e-mail en option.</w:t>
            </w:r>
          </w:p>
        </w:tc>
      </w:tr>
      <w:tr>
        <w:tc>
          <w:tcPr>
            <w:tcW w:type="dxa" w:w="4968"/>
            <w:shd w:fill="F3F8F6"/>
          </w:tcPr>
          <w:p>
            <w:r>
              <w:rPr>
                <w:rFonts w:ascii="Aptos" w:hAnsi="Aptos"/>
                <w:sz w:val="17"/>
              </w:rPr>
              <w:t>Mot de passe</w:t>
            </w:r>
          </w:p>
        </w:tc>
        <w:tc>
          <w:tcPr>
            <w:tcW w:type="dxa" w:w="4968"/>
            <w:shd w:fill="F3F8F6"/>
          </w:tcPr>
          <w:p>
            <w:r>
              <w:rPr>
                <w:rFonts w:ascii="Aptos" w:hAnsi="Aptos"/>
                <w:sz w:val="17"/>
              </w:rPr>
              <w:t>Au moins 10 caractères, changement initial, blocage après échecs.</w:t>
            </w:r>
          </w:p>
        </w:tc>
      </w:tr>
      <w:tr>
        <w:tc>
          <w:tcPr>
            <w:tcW w:type="dxa" w:w="4968"/>
          </w:tcPr>
          <w:p>
            <w:r>
              <w:rPr>
                <w:rFonts w:ascii="Aptos" w:hAnsi="Aptos"/>
                <w:sz w:val="17"/>
              </w:rPr>
              <w:t>Code du lieu</w:t>
            </w:r>
          </w:p>
        </w:tc>
        <w:tc>
          <w:tcPr>
            <w:tcW w:type="dxa" w:w="4968"/>
          </w:tcPr>
          <w:p>
            <w:r>
              <w:rPr>
                <w:rFonts w:ascii="Aptos" w:hAnsi="Aptos"/>
                <w:sz w:val="17"/>
              </w:rPr>
              <w:t>Demandé à la première connexion et lors d’un changement de bureau.</w:t>
            </w:r>
          </w:p>
        </w:tc>
      </w:tr>
      <w:tr>
        <w:tc>
          <w:tcPr>
            <w:tcW w:type="dxa" w:w="4968"/>
            <w:shd w:fill="F3F8F6"/>
          </w:tcPr>
          <w:p>
            <w:r>
              <w:rPr>
                <w:rFonts w:ascii="Aptos" w:hAnsi="Aptos"/>
                <w:sz w:val="17"/>
              </w:rPr>
              <w:t>Double authentification</w:t>
            </w:r>
          </w:p>
        </w:tc>
        <w:tc>
          <w:tcPr>
            <w:tcW w:type="dxa" w:w="4968"/>
            <w:shd w:fill="F3F8F6"/>
          </w:tcPr>
          <w:p>
            <w:r>
              <w:rPr>
                <w:rFonts w:ascii="Aptos" w:hAnsi="Aptos"/>
                <w:sz w:val="17"/>
              </w:rPr>
              <w:t>Obligatoire pour administrateurs et opérations sensibles.</w:t>
            </w:r>
          </w:p>
        </w:tc>
      </w:tr>
      <w:tr>
        <w:tc>
          <w:tcPr>
            <w:tcW w:type="dxa" w:w="4968"/>
          </w:tcPr>
          <w:p>
            <w:r>
              <w:rPr>
                <w:rFonts w:ascii="Aptos" w:hAnsi="Aptos"/>
                <w:sz w:val="17"/>
              </w:rPr>
              <w:t>Permissions</w:t>
            </w:r>
          </w:p>
        </w:tc>
        <w:tc>
          <w:tcPr>
            <w:tcW w:type="dxa" w:w="4968"/>
          </w:tcPr>
          <w:p>
            <w:r>
              <w:rPr>
                <w:rFonts w:ascii="Aptos" w:hAnsi="Aptos"/>
                <w:sz w:val="17"/>
              </w:rPr>
              <w:t>Par rôle, société, agence, bureau, caisse, plafond et opération.</w:t>
            </w:r>
          </w:p>
        </w:tc>
      </w:tr>
      <w:tr>
        <w:tc>
          <w:tcPr>
            <w:tcW w:type="dxa" w:w="4968"/>
            <w:shd w:fill="F3F8F6"/>
          </w:tcPr>
          <w:p>
            <w:r>
              <w:rPr>
                <w:rFonts w:ascii="Aptos" w:hAnsi="Aptos"/>
                <w:sz w:val="17"/>
              </w:rPr>
              <w:t>Session</w:t>
            </w:r>
          </w:p>
        </w:tc>
        <w:tc>
          <w:tcPr>
            <w:tcW w:type="dxa" w:w="4968"/>
            <w:shd w:fill="F3F8F6"/>
          </w:tcPr>
          <w:p>
            <w:r>
              <w:rPr>
                <w:rFonts w:ascii="Aptos" w:hAnsi="Aptos"/>
                <w:sz w:val="17"/>
              </w:rPr>
              <w:t>Expiration automatique, verrouillage et journal des connexions.</w:t>
            </w:r>
          </w:p>
        </w:tc>
      </w:tr>
      <w:tr>
        <w:tc>
          <w:tcPr>
            <w:tcW w:type="dxa" w:w="4968"/>
          </w:tcPr>
          <w:p>
            <w:r>
              <w:rPr>
                <w:rFonts w:ascii="Aptos" w:hAnsi="Aptos"/>
                <w:sz w:val="17"/>
              </w:rPr>
              <w:t>Désactivation</w:t>
            </w:r>
          </w:p>
        </w:tc>
        <w:tc>
          <w:tcPr>
            <w:tcW w:type="dxa" w:w="4968"/>
          </w:tcPr>
          <w:p>
            <w:r>
              <w:rPr>
                <w:rFonts w:ascii="Aptos" w:hAnsi="Aptos"/>
                <w:sz w:val="17"/>
              </w:rPr>
              <w:t>Un agent sortant est bloqué sans supprimer son historique.</w:t>
            </w:r>
          </w:p>
        </w:tc>
      </w:tr>
    </w:tbl>
    <w:p/>
    <w:p>
      <w:pPr>
        <w:pStyle w:val="Heading1"/>
      </w:pPr>
      <w:r>
        <w:t>5. Frais d’envoi et commissions</w:t>
      </w:r>
    </w:p>
    <w:p>
      <w:pPr>
        <w:pStyle w:val="ListBullet"/>
      </w:pPr>
      <w:r>
        <w:t>Pourcentage fixe : exemple 3 % du montant envoyé.</w:t>
      </w:r>
    </w:p>
    <w:p>
      <w:pPr>
        <w:pStyle w:val="ListBullet"/>
      </w:pPr>
      <w:r>
        <w:t>Montant fixe, formule mixte ou tranches de montants.</w:t>
      </w:r>
    </w:p>
    <w:p>
      <w:pPr>
        <w:pStyle w:val="ListBullet"/>
      </w:pPr>
      <w:r>
        <w:t>Tarifs par corridor, bureau, devise, catégorie de client ou période.</w:t>
      </w:r>
    </w:p>
    <w:p>
      <w:pPr>
        <w:pStyle w:val="ListBullet"/>
      </w:pPr>
      <w:r>
        <w:t>Minimum et maximum de frais; remise uniquement avec permission et motif.</w:t>
      </w:r>
    </w:p>
    <w:p>
      <w:pPr>
        <w:pStyle w:val="ListBullet"/>
      </w:pPr>
      <w:r>
        <w:t>Répartition configurable entre siège, bureau d’envoi, bureau de réception, agent ou partenaire.</w:t>
      </w:r>
    </w:p>
    <w:p>
      <w:pPr>
        <w:pStyle w:val="ListBullet"/>
      </w:pPr>
      <w:r>
        <w:t>Le taux et sa version sont figés dans la transaction; une modification future ne change jamais l’historique.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fill="087F5B"/>
          </w:tcPr>
          <w:p>
            <w:r>
              <w:rPr>
                <w:b/>
                <w:color w:val="FFFFFF"/>
                <w:sz w:val="18"/>
              </w:rPr>
              <w:t>Élément</w:t>
            </w:r>
          </w:p>
        </w:tc>
        <w:tc>
          <w:tcPr>
            <w:tcW w:type="dxa" w:w="3312"/>
            <w:shd w:fill="087F5B"/>
          </w:tcPr>
          <w:p>
            <w:r>
              <w:rPr>
                <w:b/>
                <w:color w:val="FFFFFF"/>
                <w:sz w:val="18"/>
              </w:rPr>
              <w:t>Calcul</w:t>
            </w:r>
          </w:p>
        </w:tc>
        <w:tc>
          <w:tcPr>
            <w:tcW w:type="dxa" w:w="3312"/>
            <w:shd w:fill="087F5B"/>
          </w:tcPr>
          <w:p>
            <w:r>
              <w:rPr>
                <w:b/>
                <w:color w:val="FFFFFF"/>
                <w:sz w:val="18"/>
              </w:rPr>
              <w:t>Exemple</w:t>
            </w:r>
          </w:p>
        </w:tc>
      </w:tr>
      <w:tr>
        <w:tc>
          <w:tcPr>
            <w:tcW w:type="dxa" w:w="3312"/>
          </w:tcPr>
          <w:p>
            <w:r>
              <w:rPr>
                <w:rFonts w:ascii="Aptos" w:hAnsi="Aptos"/>
                <w:sz w:val="17"/>
              </w:rPr>
              <w:t>Montant envoyé</w:t>
            </w:r>
          </w:p>
        </w:tc>
        <w:tc>
          <w:tcPr>
            <w:tcW w:type="dxa" w:w="3312"/>
          </w:tcPr>
          <w:p>
            <w:r>
              <w:rPr>
                <w:rFonts w:ascii="Aptos" w:hAnsi="Aptos"/>
                <w:sz w:val="17"/>
              </w:rPr>
              <w:t>Saisi</w:t>
            </w:r>
          </w:p>
        </w:tc>
        <w:tc>
          <w:tcPr>
            <w:tcW w:type="dxa" w:w="3312"/>
          </w:tcPr>
          <w:p>
            <w:r>
              <w:rPr>
                <w:rFonts w:ascii="Aptos" w:hAnsi="Aptos"/>
                <w:sz w:val="17"/>
              </w:rPr>
              <w:t>100 USD</w:t>
            </w:r>
          </w:p>
        </w:tc>
      </w:tr>
      <w:tr>
        <w:tc>
          <w:tcPr>
            <w:tcW w:type="dxa" w:w="3312"/>
            <w:shd w:fill="F3F8F6"/>
          </w:tcPr>
          <w:p>
            <w:r>
              <w:rPr>
                <w:rFonts w:ascii="Aptos" w:hAnsi="Aptos"/>
                <w:sz w:val="17"/>
              </w:rPr>
              <w:t>Frais</w:t>
            </w:r>
          </w:p>
        </w:tc>
        <w:tc>
          <w:tcPr>
            <w:tcW w:type="dxa" w:w="3312"/>
            <w:shd w:fill="F3F8F6"/>
          </w:tcPr>
          <w:p>
            <w:r>
              <w:rPr>
                <w:rFonts w:ascii="Aptos" w:hAnsi="Aptos"/>
                <w:sz w:val="17"/>
              </w:rPr>
              <w:t>100 × 3 %</w:t>
            </w:r>
          </w:p>
        </w:tc>
        <w:tc>
          <w:tcPr>
            <w:tcW w:type="dxa" w:w="3312"/>
            <w:shd w:fill="F3F8F6"/>
          </w:tcPr>
          <w:p>
            <w:r>
              <w:rPr>
                <w:rFonts w:ascii="Aptos" w:hAnsi="Aptos"/>
                <w:sz w:val="17"/>
              </w:rPr>
              <w:t>3 USD</w:t>
            </w:r>
          </w:p>
        </w:tc>
      </w:tr>
      <w:tr>
        <w:tc>
          <w:tcPr>
            <w:tcW w:type="dxa" w:w="3312"/>
          </w:tcPr>
          <w:p>
            <w:r>
              <w:rPr>
                <w:rFonts w:ascii="Aptos" w:hAnsi="Aptos"/>
                <w:sz w:val="17"/>
              </w:rPr>
              <w:t>Total encaissé</w:t>
            </w:r>
          </w:p>
        </w:tc>
        <w:tc>
          <w:tcPr>
            <w:tcW w:type="dxa" w:w="3312"/>
          </w:tcPr>
          <w:p>
            <w:r>
              <w:rPr>
                <w:rFonts w:ascii="Aptos" w:hAnsi="Aptos"/>
                <w:sz w:val="17"/>
              </w:rPr>
              <w:t>100 + 3</w:t>
            </w:r>
          </w:p>
        </w:tc>
        <w:tc>
          <w:tcPr>
            <w:tcW w:type="dxa" w:w="3312"/>
          </w:tcPr>
          <w:p>
            <w:r>
              <w:rPr>
                <w:rFonts w:ascii="Aptos" w:hAnsi="Aptos"/>
                <w:sz w:val="17"/>
              </w:rPr>
              <w:t>103 USD</w:t>
            </w:r>
          </w:p>
        </w:tc>
      </w:tr>
      <w:tr>
        <w:tc>
          <w:tcPr>
            <w:tcW w:type="dxa" w:w="3312"/>
            <w:shd w:fill="F3F8F6"/>
          </w:tcPr>
          <w:p>
            <w:r>
              <w:rPr>
                <w:rFonts w:ascii="Aptos" w:hAnsi="Aptos"/>
                <w:sz w:val="17"/>
              </w:rPr>
              <w:t>Montant reçu</w:t>
            </w:r>
          </w:p>
        </w:tc>
        <w:tc>
          <w:tcPr>
            <w:tcW w:type="dxa" w:w="3312"/>
            <w:shd w:fill="F3F8F6"/>
          </w:tcPr>
          <w:p>
            <w:r>
              <w:rPr>
                <w:rFonts w:ascii="Aptos" w:hAnsi="Aptos"/>
                <w:sz w:val="17"/>
              </w:rPr>
              <w:t>Principal</w:t>
            </w:r>
          </w:p>
        </w:tc>
        <w:tc>
          <w:tcPr>
            <w:tcW w:type="dxa" w:w="3312"/>
            <w:shd w:fill="F3F8F6"/>
          </w:tcPr>
          <w:p>
            <w:r>
              <w:rPr>
                <w:rFonts w:ascii="Aptos" w:hAnsi="Aptos"/>
                <w:sz w:val="17"/>
              </w:rPr>
              <w:t>100 USD</w:t>
            </w:r>
          </w:p>
        </w:tc>
      </w:tr>
    </w:tbl>
    <w:p/>
    <w:tbl>
      <w:tblPr>
        <w:tblW w:type="auto" w:w="0"/>
        <w:tblLook w:firstColumn="1" w:firstRow="1" w:lastColumn="0" w:lastRow="0" w:noHBand="0" w:noVBand="1" w:val="04A0"/>
      </w:tblPr>
      <w:tblGrid>
        <w:gridCol w:w="9936"/>
      </w:tblGrid>
      <w:tr>
        <w:tc>
          <w:tcPr>
            <w:tcW w:type="dxa" w:w="9936"/>
            <w:shd w:fill="E6F7F1"/>
          </w:tcPr>
          <w:p>
            <w:r/>
            <w:r>
              <w:rPr>
                <w:b/>
                <w:color w:val="087F5B"/>
              </w:rPr>
              <w:t xml:space="preserve">EXEMPLE DE RÉPARTITION — </w:t>
            </w:r>
            <w:r>
              <w:t>Sur 3 USD de frais : 1,50 USD pour le siège, 0,90 USD pour le bureau d’envoi et 0,60 USD pour le bureau de réception. La règle reste configurable.</w:t>
            </w:r>
          </w:p>
        </w:tc>
      </w:tr>
    </w:tbl>
    <w:p/>
    <w:p>
      <w:pPr>
        <w:pStyle w:val="Heading1"/>
      </w:pPr>
      <w:r>
        <w:t>6. Processus d’envoi</w:t>
      </w:r>
    </w:p>
    <w:p>
      <w:pPr>
        <w:pStyle w:val="ListNumber"/>
      </w:pPr>
      <w:r>
        <w:t>L’agent se connecte dans le bureau autorisé et ouvre sa caisse.</w:t>
      </w:r>
    </w:p>
    <w:p>
      <w:pPr>
        <w:pStyle w:val="ListNumber"/>
      </w:pPr>
      <w:r>
        <w:t>Il choisit la ville ou le bureau de paiement et vérifie le corridor.</w:t>
      </w:r>
    </w:p>
    <w:p>
      <w:pPr>
        <w:pStyle w:val="ListNumber"/>
      </w:pPr>
      <w:r>
        <w:t>Il enregistre l’expéditeur : nom, téléphone, adresse, pièce, numéro, expiration et preuve selon le seuil.</w:t>
      </w:r>
    </w:p>
    <w:p>
      <w:pPr>
        <w:pStyle w:val="ListNumber"/>
      </w:pPr>
      <w:r>
        <w:t>Il enregistre le bénéficiaire : nom conforme à la pièce, téléphone, lieu et relation avec l’expéditeur.</w:t>
      </w:r>
    </w:p>
    <w:p>
      <w:pPr>
        <w:pStyle w:val="ListNumber"/>
      </w:pPr>
      <w:r>
        <w:t>Il saisit le montant, la devise et le motif; le système calcule frais et total.</w:t>
      </w:r>
    </w:p>
    <w:p>
      <w:pPr>
        <w:pStyle w:val="ListNumber"/>
      </w:pPr>
      <w:r>
        <w:t>Le système affiche un résumé complet avant confirmation.</w:t>
      </w:r>
    </w:p>
    <w:p>
      <w:pPr>
        <w:pStyle w:val="ListNumber"/>
      </w:pPr>
      <w:r>
        <w:t>L’expéditeur lit la déclaration et signe sur écran, tablette ou pavé de signature.</w:t>
      </w:r>
    </w:p>
    <w:p>
      <w:pPr>
        <w:pStyle w:val="ListNumber"/>
      </w:pPr>
      <w:r>
        <w:t>L’agent confirme l’encaissement; le système génère un identifiant interne et un code client sécurisé.</w:t>
      </w:r>
    </w:p>
    <w:p>
      <w:pPr>
        <w:pStyle w:val="ListNumber"/>
      </w:pPr>
      <w:r>
        <w:t>Le reçu POS est imprimé ou envoyé par canal autorisé.</w:t>
      </w:r>
    </w:p>
    <w:p>
      <w:pPr>
        <w:pStyle w:val="ListNumber"/>
      </w:pPr>
      <w:r>
        <w:t>La transaction devient « Disponible au paiement » et le bureau destinataire est notifié.</w:t>
      </w:r>
    </w:p>
    <w:p>
      <w:pPr>
        <w:pStyle w:val="Heading1"/>
      </w:pPr>
      <w:r>
        <w:t>7. Code de transfert</w:t>
      </w:r>
    </w:p>
    <w:p>
      <w:pPr>
        <w:pStyle w:val="ListBullet"/>
      </w:pPr>
      <w:r>
        <w:t>Code alphanumérique non prévisible de 10 à 12 caractères; ne pas utiliser un simple numéro séquentiel.</w:t>
      </w:r>
    </w:p>
    <w:p>
      <w:pPr>
        <w:pStyle w:val="ListBullet"/>
      </w:pPr>
      <w:r>
        <w:t>Identifiant technique interne distinct du code communiqué au client.</w:t>
      </w:r>
    </w:p>
    <w:p>
      <w:pPr>
        <w:pStyle w:val="ListBullet"/>
      </w:pPr>
      <w:r>
        <w:t>Code utilisable une seule fois, avec date d’expiration configurable.</w:t>
      </w:r>
    </w:p>
    <w:p>
      <w:pPr>
        <w:pStyle w:val="ListBullet"/>
      </w:pPr>
      <w:r>
        <w:t>Recherche combinée par code et information bénéficiaire; pièce d’identité requise selon règles KYC.</w:t>
      </w:r>
    </w:p>
    <w:p>
      <w:pPr>
        <w:pStyle w:val="ListBullet"/>
      </w:pPr>
      <w:r>
        <w:t>Nombre maximal d’essais, blocage temporaire et alerte après tentatives répétées.</w:t>
      </w:r>
    </w:p>
    <w:p>
      <w:pPr>
        <w:pStyle w:val="ListBullet"/>
      </w:pPr>
      <w:r>
        <w:t>QR optionnel contenant une référence signée, sans données personnelles en clair.</w:t>
      </w:r>
    </w:p>
    <w:p>
      <w:pPr>
        <w:pStyle w:val="Heading1"/>
      </w:pPr>
      <w:r>
        <w:t>8. Processus de réception et paiement</w:t>
      </w:r>
    </w:p>
    <w:p>
      <w:pPr>
        <w:pStyle w:val="ListNumber"/>
      </w:pPr>
      <w:r>
        <w:t>Le bénéficiaire présente son code et une pièce d’identité valide.</w:t>
      </w:r>
    </w:p>
    <w:p>
      <w:pPr>
        <w:pStyle w:val="ListNumber"/>
      </w:pPr>
      <w:r>
        <w:t>L’agent ouvre sa caisse et recherche le transfert.</w:t>
      </w:r>
    </w:p>
    <w:p>
      <w:pPr>
        <w:pStyle w:val="ListNumber"/>
      </w:pPr>
      <w:r>
        <w:t>Le système vérifie statut, montant, devise, bureau autorisé, expiration et alertes.</w:t>
      </w:r>
    </w:p>
    <w:p>
      <w:pPr>
        <w:pStyle w:val="ListNumber"/>
      </w:pPr>
      <w:r>
        <w:t>L’agent compare l’identité avec les données d’origine; une différence importante bloque le paiement.</w:t>
      </w:r>
    </w:p>
    <w:p>
      <w:pPr>
        <w:pStyle w:val="ListNumber"/>
      </w:pPr>
      <w:r>
        <w:t>Le bénéficiaire confirme le montant et signe la déclaration de réception.</w:t>
      </w:r>
    </w:p>
    <w:p>
      <w:pPr>
        <w:pStyle w:val="ListNumber"/>
      </w:pPr>
      <w:r>
        <w:t>Pour un montant élevé, un superviseur effectue une seconde validation.</w:t>
      </w:r>
    </w:p>
    <w:p>
      <w:pPr>
        <w:pStyle w:val="ListNumber"/>
      </w:pPr>
      <w:r>
        <w:t>L’agent remet les fonds puis confirme le paiement effectif.</w:t>
      </w:r>
    </w:p>
    <w:p>
      <w:pPr>
        <w:pStyle w:val="ListNumber"/>
      </w:pPr>
      <w:r>
        <w:t>Le système conserve agent, bureau, caisse, date, identité contrôlée, signature et justificatifs.</w:t>
      </w:r>
    </w:p>
    <w:p>
      <w:pPr>
        <w:pStyle w:val="ListNumber"/>
      </w:pPr>
      <w:r>
        <w:t>Le reçu de paiement est imprimé; la transaction devient « Payée ».</w:t>
      </w:r>
    </w:p>
    <w:p>
      <w:pPr>
        <w:pStyle w:val="ListNumber"/>
      </w:pPr>
      <w:r>
        <w:t>L’agence d’envoi et l’expéditeur reçoivent une notification si configurée.</w:t>
      </w:r>
    </w:p>
    <w:p>
      <w:pPr>
        <w:pStyle w:val="Heading1"/>
      </w:pPr>
      <w:r>
        <w:t>9. Signatures et conservation des preuves</w:t>
      </w:r>
    </w:p>
    <w:p>
      <w:pPr>
        <w:pStyle w:val="Heading2"/>
      </w:pPr>
      <w:r>
        <w:t>9.1 Expéditeur</w:t>
      </w:r>
    </w:p>
    <w:p>
      <w:pPr>
        <w:pStyle w:val="ListBullet"/>
      </w:pPr>
      <w:r>
        <w:t>Déclaration : « Je confirme l’exactitude des informations et autorise l’envoi du montant indiqué. »</w:t>
      </w:r>
    </w:p>
    <w:p>
      <w:pPr>
        <w:pStyle w:val="ListBullet"/>
      </w:pPr>
      <w:r>
        <w:t>Signature manuscrite numérique liée à la transaction, avec date, heure, appareil, agent et bureau.</w:t>
      </w:r>
    </w:p>
    <w:p>
      <w:pPr>
        <w:pStyle w:val="ListBullet"/>
      </w:pPr>
      <w:r>
        <w:t>Empreinte numérique du reçu signé pour détecter toute modification.</w:t>
      </w:r>
    </w:p>
    <w:p>
      <w:pPr>
        <w:pStyle w:val="Heading2"/>
      </w:pPr>
      <w:r>
        <w:t>9.2 Bénéficiaire</w:t>
      </w:r>
    </w:p>
    <w:p>
      <w:pPr>
        <w:pStyle w:val="ListBullet"/>
      </w:pPr>
      <w:r>
        <w:t>Déclaration : « Je confirme avoir reçu intégralement le montant indiqué. »</w:t>
      </w:r>
    </w:p>
    <w:p>
      <w:pPr>
        <w:pStyle w:val="ListBullet"/>
      </w:pPr>
      <w:r>
        <w:t>Signature recueillie après contrôle d’identité et juste avant la confirmation finale.</w:t>
      </w:r>
    </w:p>
    <w:p>
      <w:pPr>
        <w:pStyle w:val="ListBullet"/>
      </w:pPr>
      <w:r>
        <w:t>Signature et preuve non supprimables; une correction crée une nouvelle version auditée.</w:t>
      </w:r>
    </w:p>
    <w:p>
      <w:pPr>
        <w:pStyle w:val="ListBullet"/>
      </w:pPr>
      <w:r>
        <w:t>Chiffrement, accès limité et durée de conservation conforme à la réglementation.</w:t>
      </w:r>
    </w:p>
    <w:p>
      <w:pPr>
        <w:pStyle w:val="Heading2"/>
      </w:pPr>
      <w:r>
        <w:t>9.3 Cas particulier</w:t>
      </w:r>
    </w:p>
    <w:p>
      <w:r>
        <w:t>Pour une personne ne pouvant pas signer, prévoir une procédure supervisée adaptée au droit local : motif, témoin identifié, mode alternatif autorisé et validation du responsable. Cette fonction reste désactivée par défaut.</w:t>
      </w:r>
    </w:p>
    <w:p>
      <w:pPr>
        <w:pStyle w:val="Heading1"/>
      </w:pPr>
      <w:r>
        <w:t>10. Reçus POS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Reçu d’envoi</w:t>
            </w:r>
          </w:p>
        </w:tc>
        <w:tc>
          <w:tcPr>
            <w:tcW w:type="dxa" w:w="4968"/>
            <w:shd w:fill="087F5B"/>
          </w:tcPr>
          <w:p>
            <w:r>
              <w:rPr>
                <w:b/>
                <w:color w:val="FFFFFF"/>
                <w:sz w:val="18"/>
              </w:rPr>
              <w:t>Reçu de paiement</w:t>
            </w:r>
          </w:p>
        </w:tc>
      </w:tr>
      <w:tr>
        <w:tc>
          <w:tcPr>
            <w:tcW w:type="dxa" w:w="4968"/>
          </w:tcPr>
          <w:p>
            <w:r>
              <w:rPr>
                <w:rFonts w:ascii="Aptos" w:hAnsi="Aptos"/>
                <w:sz w:val="17"/>
              </w:rPr>
              <w:t>Société, agence/bureau, contacts</w:t>
            </w:r>
          </w:p>
        </w:tc>
        <w:tc>
          <w:tcPr>
            <w:tcW w:type="dxa" w:w="4968"/>
          </w:tcPr>
          <w:p>
            <w:r>
              <w:rPr>
                <w:rFonts w:ascii="Aptos" w:hAnsi="Aptos"/>
                <w:sz w:val="17"/>
              </w:rPr>
              <w:t>Société et bureau payeur</w:t>
            </w:r>
          </w:p>
        </w:tc>
      </w:tr>
      <w:tr>
        <w:tc>
          <w:tcPr>
            <w:tcW w:type="dxa" w:w="4968"/>
            <w:shd w:fill="F3F8F6"/>
          </w:tcPr>
          <w:p>
            <w:r>
              <w:rPr>
                <w:rFonts w:ascii="Aptos" w:hAnsi="Aptos"/>
                <w:sz w:val="17"/>
              </w:rPr>
              <w:t>Référence et code client</w:t>
            </w:r>
          </w:p>
        </w:tc>
        <w:tc>
          <w:tcPr>
            <w:tcW w:type="dxa" w:w="4968"/>
            <w:shd w:fill="F3F8F6"/>
          </w:tcPr>
          <w:p>
            <w:r>
              <w:rPr>
                <w:rFonts w:ascii="Aptos" w:hAnsi="Aptos"/>
                <w:sz w:val="17"/>
              </w:rPr>
              <w:t>Référence et code masqué</w:t>
            </w:r>
          </w:p>
        </w:tc>
      </w:tr>
      <w:tr>
        <w:tc>
          <w:tcPr>
            <w:tcW w:type="dxa" w:w="4968"/>
          </w:tcPr>
          <w:p>
            <w:r>
              <w:rPr>
                <w:rFonts w:ascii="Aptos" w:hAnsi="Aptos"/>
                <w:sz w:val="17"/>
              </w:rPr>
              <w:t>Expéditeur/bénéficiaire masqués</w:t>
            </w:r>
          </w:p>
        </w:tc>
        <w:tc>
          <w:tcPr>
            <w:tcW w:type="dxa" w:w="4968"/>
          </w:tcPr>
          <w:p>
            <w:r>
              <w:rPr>
                <w:rFonts w:ascii="Aptos" w:hAnsi="Aptos"/>
                <w:sz w:val="17"/>
              </w:rPr>
              <w:t>Identités partiellement masquées</w:t>
            </w:r>
          </w:p>
        </w:tc>
      </w:tr>
      <w:tr>
        <w:tc>
          <w:tcPr>
            <w:tcW w:type="dxa" w:w="4968"/>
            <w:shd w:fill="F3F8F6"/>
          </w:tcPr>
          <w:p>
            <w:r>
              <w:rPr>
                <w:rFonts w:ascii="Aptos" w:hAnsi="Aptos"/>
                <w:sz w:val="17"/>
              </w:rPr>
              <w:t>Montant, frais %, frais, total</w:t>
            </w:r>
          </w:p>
        </w:tc>
        <w:tc>
          <w:tcPr>
            <w:tcW w:type="dxa" w:w="4968"/>
            <w:shd w:fill="F3F8F6"/>
          </w:tcPr>
          <w:p>
            <w:r>
              <w:rPr>
                <w:rFonts w:ascii="Aptos" w:hAnsi="Aptos"/>
                <w:sz w:val="17"/>
              </w:rPr>
              <w:t>Montant et devise remis</w:t>
            </w:r>
          </w:p>
        </w:tc>
      </w:tr>
      <w:tr>
        <w:tc>
          <w:tcPr>
            <w:tcW w:type="dxa" w:w="4968"/>
          </w:tcPr>
          <w:p>
            <w:r>
              <w:rPr>
                <w:rFonts w:ascii="Aptos" w:hAnsi="Aptos"/>
                <w:sz w:val="17"/>
              </w:rPr>
              <w:t>Lieu, expiration et statut</w:t>
            </w:r>
          </w:p>
        </w:tc>
        <w:tc>
          <w:tcPr>
            <w:tcW w:type="dxa" w:w="4968"/>
          </w:tcPr>
          <w:p>
            <w:r>
              <w:rPr>
                <w:rFonts w:ascii="Aptos" w:hAnsi="Aptos"/>
                <w:sz w:val="17"/>
              </w:rPr>
              <w:t>Date, agent, caisse et statut payé</w:t>
            </w:r>
          </w:p>
        </w:tc>
      </w:tr>
      <w:tr>
        <w:tc>
          <w:tcPr>
            <w:tcW w:type="dxa" w:w="4968"/>
            <w:shd w:fill="F3F8F6"/>
          </w:tcPr>
          <w:p>
            <w:r>
              <w:rPr>
                <w:rFonts w:ascii="Aptos" w:hAnsi="Aptos"/>
                <w:sz w:val="17"/>
              </w:rPr>
              <w:t>Signature/mention numérique</w:t>
            </w:r>
          </w:p>
        </w:tc>
        <w:tc>
          <w:tcPr>
            <w:tcW w:type="dxa" w:w="4968"/>
            <w:shd w:fill="F3F8F6"/>
          </w:tcPr>
          <w:p>
            <w:r>
              <w:rPr>
                <w:rFonts w:ascii="Aptos" w:hAnsi="Aptos"/>
                <w:sz w:val="17"/>
              </w:rPr>
              <w:t>Signature/mention numérique</w:t>
            </w:r>
          </w:p>
        </w:tc>
      </w:tr>
      <w:tr>
        <w:tc>
          <w:tcPr>
            <w:tcW w:type="dxa" w:w="4968"/>
          </w:tcPr>
          <w:p>
            <w:r>
              <w:rPr>
                <w:rFonts w:ascii="Aptos" w:hAnsi="Aptos"/>
                <w:sz w:val="17"/>
              </w:rPr>
              <w:t>QR, conditions et assistance</w:t>
            </w:r>
          </w:p>
        </w:tc>
        <w:tc>
          <w:tcPr>
            <w:tcW w:type="dxa" w:w="4968"/>
          </w:tcPr>
          <w:p>
            <w:r>
              <w:rPr>
                <w:rFonts w:ascii="Aptos" w:hAnsi="Aptos"/>
                <w:sz w:val="17"/>
              </w:rPr>
              <w:t>QR de vérification et assistance</w:t>
            </w:r>
          </w:p>
        </w:tc>
      </w:tr>
    </w:tbl>
    <w:p/>
    <w:p>
      <w:pPr>
        <w:pStyle w:val="ListBullet"/>
      </w:pPr>
      <w:r>
        <w:t>Formats 58 mm, 80 mm et A4/PDF.</w:t>
      </w:r>
    </w:p>
    <w:p>
      <w:pPr>
        <w:pStyle w:val="ListBullet"/>
      </w:pPr>
      <w:r>
        <w:t>Duplicata marqué « DUPLICATA », avec date, agent et motif.</w:t>
      </w:r>
    </w:p>
    <w:p>
      <w:pPr>
        <w:pStyle w:val="ListBullet"/>
      </w:pPr>
      <w:r>
        <w:t>Numéro séquentiel du reçu en plus de l’identifiant technique.</w:t>
      </w:r>
    </w:p>
    <w:p>
      <w:pPr>
        <w:pStyle w:val="ListBullet"/>
      </w:pPr>
      <w:r>
        <w:t>Le code secret ne doit pas apparaître en clair sur les rapports ou le reçu de paiement.</w:t>
      </w:r>
    </w:p>
    <w:p>
      <w:pPr>
        <w:pStyle w:val="Heading1"/>
      </w:pPr>
      <w:r>
        <w:t>11. Statuts du transfert</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Statut</w:t>
            </w:r>
          </w:p>
        </w:tc>
        <w:tc>
          <w:tcPr>
            <w:tcW w:type="dxa" w:w="4968"/>
            <w:shd w:fill="087F5B"/>
          </w:tcPr>
          <w:p>
            <w:r>
              <w:rPr>
                <w:b/>
                <w:color w:val="FFFFFF"/>
                <w:sz w:val="18"/>
              </w:rPr>
              <w:t>Définition</w:t>
            </w:r>
          </w:p>
        </w:tc>
      </w:tr>
      <w:tr>
        <w:tc>
          <w:tcPr>
            <w:tcW w:type="dxa" w:w="4968"/>
          </w:tcPr>
          <w:p>
            <w:r>
              <w:rPr>
                <w:rFonts w:ascii="Aptos" w:hAnsi="Aptos"/>
                <w:sz w:val="17"/>
              </w:rPr>
              <w:t>Brouillon</w:t>
            </w:r>
          </w:p>
        </w:tc>
        <w:tc>
          <w:tcPr>
            <w:tcW w:type="dxa" w:w="4968"/>
          </w:tcPr>
          <w:p>
            <w:r>
              <w:rPr>
                <w:rFonts w:ascii="Aptos" w:hAnsi="Aptos"/>
                <w:sz w:val="17"/>
              </w:rPr>
              <w:t>Saisie non confirmée.</w:t>
            </w:r>
          </w:p>
        </w:tc>
      </w:tr>
      <w:tr>
        <w:tc>
          <w:tcPr>
            <w:tcW w:type="dxa" w:w="4968"/>
            <w:shd w:fill="F3F8F6"/>
          </w:tcPr>
          <w:p>
            <w:r>
              <w:rPr>
                <w:rFonts w:ascii="Aptos" w:hAnsi="Aptos"/>
                <w:sz w:val="17"/>
              </w:rPr>
              <w:t>En attente d’encaissement</w:t>
            </w:r>
          </w:p>
        </w:tc>
        <w:tc>
          <w:tcPr>
            <w:tcW w:type="dxa" w:w="4968"/>
            <w:shd w:fill="F3F8F6"/>
          </w:tcPr>
          <w:p>
            <w:r>
              <w:rPr>
                <w:rFonts w:ascii="Aptos" w:hAnsi="Aptos"/>
                <w:sz w:val="17"/>
              </w:rPr>
              <w:t>Données validées, argent non confirmé.</w:t>
            </w:r>
          </w:p>
        </w:tc>
      </w:tr>
      <w:tr>
        <w:tc>
          <w:tcPr>
            <w:tcW w:type="dxa" w:w="4968"/>
          </w:tcPr>
          <w:p>
            <w:r>
              <w:rPr>
                <w:rFonts w:ascii="Aptos" w:hAnsi="Aptos"/>
                <w:sz w:val="17"/>
              </w:rPr>
              <w:t>Disponible au paiement</w:t>
            </w:r>
          </w:p>
        </w:tc>
        <w:tc>
          <w:tcPr>
            <w:tcW w:type="dxa" w:w="4968"/>
          </w:tcPr>
          <w:p>
            <w:r>
              <w:rPr>
                <w:rFonts w:ascii="Aptos" w:hAnsi="Aptos"/>
                <w:sz w:val="17"/>
              </w:rPr>
              <w:t>Code actif et fonds encaissés.</w:t>
            </w:r>
          </w:p>
        </w:tc>
      </w:tr>
      <w:tr>
        <w:tc>
          <w:tcPr>
            <w:tcW w:type="dxa" w:w="4968"/>
            <w:shd w:fill="F3F8F6"/>
          </w:tcPr>
          <w:p>
            <w:r>
              <w:rPr>
                <w:rFonts w:ascii="Aptos" w:hAnsi="Aptos"/>
                <w:sz w:val="17"/>
              </w:rPr>
              <w:t>En vérification</w:t>
            </w:r>
          </w:p>
        </w:tc>
        <w:tc>
          <w:tcPr>
            <w:tcW w:type="dxa" w:w="4968"/>
            <w:shd w:fill="F3F8F6"/>
          </w:tcPr>
          <w:p>
            <w:r>
              <w:rPr>
                <w:rFonts w:ascii="Aptos" w:hAnsi="Aptos"/>
                <w:sz w:val="17"/>
              </w:rPr>
              <w:t>Contrôle renforcé requis.</w:t>
            </w:r>
          </w:p>
        </w:tc>
      </w:tr>
      <w:tr>
        <w:tc>
          <w:tcPr>
            <w:tcW w:type="dxa" w:w="4968"/>
          </w:tcPr>
          <w:p>
            <w:r>
              <w:rPr>
                <w:rFonts w:ascii="Aptos" w:hAnsi="Aptos"/>
                <w:sz w:val="17"/>
              </w:rPr>
              <w:t>Bloquée</w:t>
            </w:r>
          </w:p>
        </w:tc>
        <w:tc>
          <w:tcPr>
            <w:tcW w:type="dxa" w:w="4968"/>
          </w:tcPr>
          <w:p>
            <w:r>
              <w:rPr>
                <w:rFonts w:ascii="Aptos" w:hAnsi="Aptos"/>
                <w:sz w:val="17"/>
              </w:rPr>
              <w:t>Litige, anomalie, plafond ou tentatives excessives.</w:t>
            </w:r>
          </w:p>
        </w:tc>
      </w:tr>
      <w:tr>
        <w:tc>
          <w:tcPr>
            <w:tcW w:type="dxa" w:w="4968"/>
            <w:shd w:fill="F3F8F6"/>
          </w:tcPr>
          <w:p>
            <w:r>
              <w:rPr>
                <w:rFonts w:ascii="Aptos" w:hAnsi="Aptos"/>
                <w:sz w:val="17"/>
              </w:rPr>
              <w:t>Payée</w:t>
            </w:r>
          </w:p>
        </w:tc>
        <w:tc>
          <w:tcPr>
            <w:tcW w:type="dxa" w:w="4968"/>
            <w:shd w:fill="F3F8F6"/>
          </w:tcPr>
          <w:p>
            <w:r>
              <w:rPr>
                <w:rFonts w:ascii="Aptos" w:hAnsi="Aptos"/>
                <w:sz w:val="17"/>
              </w:rPr>
              <w:t>Fonds remis et signature obtenue.</w:t>
            </w:r>
          </w:p>
        </w:tc>
      </w:tr>
      <w:tr>
        <w:tc>
          <w:tcPr>
            <w:tcW w:type="dxa" w:w="4968"/>
          </w:tcPr>
          <w:p>
            <w:r>
              <w:rPr>
                <w:rFonts w:ascii="Aptos" w:hAnsi="Aptos"/>
                <w:sz w:val="17"/>
              </w:rPr>
              <w:t>Annulée</w:t>
            </w:r>
          </w:p>
        </w:tc>
        <w:tc>
          <w:tcPr>
            <w:tcW w:type="dxa" w:w="4968"/>
          </w:tcPr>
          <w:p>
            <w:r>
              <w:rPr>
                <w:rFonts w:ascii="Aptos" w:hAnsi="Aptos"/>
                <w:sz w:val="17"/>
              </w:rPr>
              <w:t>Annulation autorisée avant paiement.</w:t>
            </w:r>
          </w:p>
        </w:tc>
      </w:tr>
      <w:tr>
        <w:tc>
          <w:tcPr>
            <w:tcW w:type="dxa" w:w="4968"/>
            <w:shd w:fill="F3F8F6"/>
          </w:tcPr>
          <w:p>
            <w:r>
              <w:rPr>
                <w:rFonts w:ascii="Aptos" w:hAnsi="Aptos"/>
                <w:sz w:val="17"/>
              </w:rPr>
              <w:t>Expirée</w:t>
            </w:r>
          </w:p>
        </w:tc>
        <w:tc>
          <w:tcPr>
            <w:tcW w:type="dxa" w:w="4968"/>
            <w:shd w:fill="F3F8F6"/>
          </w:tcPr>
          <w:p>
            <w:r>
              <w:rPr>
                <w:rFonts w:ascii="Aptos" w:hAnsi="Aptos"/>
                <w:sz w:val="17"/>
              </w:rPr>
              <w:t>Délai dépassé.</w:t>
            </w:r>
          </w:p>
        </w:tc>
      </w:tr>
      <w:tr>
        <w:tc>
          <w:tcPr>
            <w:tcW w:type="dxa" w:w="4968"/>
          </w:tcPr>
          <w:p>
            <w:r>
              <w:rPr>
                <w:rFonts w:ascii="Aptos" w:hAnsi="Aptos"/>
                <w:sz w:val="17"/>
              </w:rPr>
              <w:t>Remboursée</w:t>
            </w:r>
          </w:p>
        </w:tc>
        <w:tc>
          <w:tcPr>
            <w:tcW w:type="dxa" w:w="4968"/>
          </w:tcPr>
          <w:p>
            <w:r>
              <w:rPr>
                <w:rFonts w:ascii="Aptos" w:hAnsi="Aptos"/>
                <w:sz w:val="17"/>
              </w:rPr>
              <w:t>Fonds rendus selon politique.</w:t>
            </w:r>
          </w:p>
        </w:tc>
      </w:tr>
    </w:tbl>
    <w:p/>
    <w:p>
      <w:pPr>
        <w:pStyle w:val="Heading1"/>
      </w:pPr>
      <w:r>
        <w:t>12. Caisse et rapprochement</w:t>
      </w:r>
    </w:p>
    <w:p>
      <w:pPr>
        <w:pStyle w:val="ListBullet"/>
      </w:pPr>
      <w:r>
        <w:t>Ouverture par agent, bureau, devise, solde initial et heure.</w:t>
      </w:r>
    </w:p>
    <w:p>
      <w:pPr>
        <w:pStyle w:val="ListBullet"/>
      </w:pPr>
      <w:r>
        <w:t>Un envoi augmente les espèces encaissées; un retrait réduit la caisse disponible.</w:t>
      </w:r>
    </w:p>
    <w:p>
      <w:pPr>
        <w:pStyle w:val="ListBullet"/>
      </w:pPr>
      <w:r>
        <w:t>Approvisionnement, transfert de caisse et correction soumis à permission et audit.</w:t>
      </w:r>
    </w:p>
    <w:p>
      <w:pPr>
        <w:pStyle w:val="ListBullet"/>
      </w:pPr>
      <w:r>
        <w:t>Clôture : solde théorique, comptage réel, écart, motif, signature agent et validation superviseur.</w:t>
      </w:r>
    </w:p>
    <w:p>
      <w:pPr>
        <w:pStyle w:val="ListBullet"/>
      </w:pPr>
      <w:r>
        <w:t>Rapprochement inter-agences : principal envoyé/payé, commissions, dettes/créances et règlements.</w:t>
      </w:r>
    </w:p>
    <w:p>
      <w:pPr>
        <w:pStyle w:val="ListBullet"/>
      </w:pPr>
      <w:r>
        <w:t>Alerte de liquidité faible; caisses séparées par devise.</w:t>
      </w:r>
    </w:p>
    <w:p>
      <w:pPr>
        <w:pStyle w:val="Heading1"/>
      </w:pPr>
      <w:r>
        <w:t>13. Tableaux de bord et rapports</w:t>
      </w:r>
    </w:p>
    <w:p>
      <w:pPr>
        <w:pStyle w:val="ListBullet"/>
      </w:pPr>
      <w:r>
        <w:t>Envois et paiements par date, agence, bureau, agent, devise et corridor.</w:t>
      </w:r>
    </w:p>
    <w:p>
      <w:pPr>
        <w:pStyle w:val="ListBullet"/>
      </w:pPr>
      <w:r>
        <w:t>Frais collectés, remises, commissions et revenu net.</w:t>
      </w:r>
    </w:p>
    <w:p>
      <w:pPr>
        <w:pStyle w:val="ListBullet"/>
      </w:pPr>
      <w:r>
        <w:t>Transferts disponibles, expirés, bloqués, annulés, remboursés et non réclamés.</w:t>
      </w:r>
    </w:p>
    <w:p>
      <w:pPr>
        <w:pStyle w:val="ListBullet"/>
      </w:pPr>
      <w:r>
        <w:t>Situation des caisses, écarts, liquidité et rapprochement.</w:t>
      </w:r>
    </w:p>
    <w:p>
      <w:pPr>
        <w:pStyle w:val="ListBullet"/>
      </w:pPr>
      <w:r>
        <w:t>Rapports KYC/AML : fréquence, fractionnement, seuils et alertes.</w:t>
      </w:r>
    </w:p>
    <w:p>
      <w:pPr>
        <w:pStyle w:val="ListBullet"/>
      </w:pPr>
      <w:r>
        <w:t>Exports PDF/Excel/CSV journalisés; rapport journalier signé par le chef de bureau.</w:t>
      </w:r>
    </w:p>
    <w:p>
      <w:pPr>
        <w:pStyle w:val="Heading1"/>
      </w:pPr>
      <w:r>
        <w:t>14. Sécurité et conformité</w:t>
      </w:r>
    </w:p>
    <w:p>
      <w:pPr>
        <w:pStyle w:val="ListBullet"/>
      </w:pPr>
      <w:r>
        <w:t>Chiffrement TLS en transit et chiffrement des données sensibles au repos.</w:t>
      </w:r>
    </w:p>
    <w:p>
      <w:pPr>
        <w:pStyle w:val="ListBullet"/>
      </w:pPr>
      <w:r>
        <w:t>Mots de passe hachés; aucune conservation en clair.</w:t>
      </w:r>
    </w:p>
    <w:p>
      <w:pPr>
        <w:pStyle w:val="ListBullet"/>
      </w:pPr>
      <w:r>
        <w:t>Séparation stricte des sociétés et filtrage par agence/bureau.</w:t>
      </w:r>
    </w:p>
    <w:p>
      <w:pPr>
        <w:pStyle w:val="ListBullet"/>
      </w:pPr>
      <w:r>
        <w:t>Contrôle d’accès par rôle et principe du moindre privilège.</w:t>
      </w:r>
    </w:p>
    <w:p>
      <w:pPr>
        <w:pStyle w:val="ListBullet"/>
      </w:pPr>
      <w:r>
        <w:t>Double validation pour gros montants, remboursements, annulations, changements et déblocages.</w:t>
      </w:r>
    </w:p>
    <w:p>
      <w:pPr>
        <w:pStyle w:val="ListBullet"/>
      </w:pPr>
      <w:r>
        <w:t>Journal d’audit immuable : auteur, action, objet, avant/après, date, appareil, motif et approbateur.</w:t>
      </w:r>
    </w:p>
    <w:p>
      <w:pPr>
        <w:pStyle w:val="ListBullet"/>
      </w:pPr>
      <w:r>
        <w:t>Masquage des données personnelles dans les listes et exports ordinaires.</w:t>
      </w:r>
    </w:p>
    <w:p>
      <w:pPr>
        <w:pStyle w:val="ListBullet"/>
      </w:pPr>
      <w:r>
        <w:t>Sauvegardes chiffrées, restauration testée, surveillance et plan de continuité.</w:t>
      </w:r>
    </w:p>
    <w:p>
      <w:pPr>
        <w:pStyle w:val="ListBullet"/>
      </w:pPr>
      <w:r>
        <w:t>KYC/AML/CFT, plafonds et conservation configurés selon le pays et la licence.</w:t>
      </w:r>
    </w:p>
    <w:p>
      <w:pPr>
        <w:pStyle w:val="ListBullet"/>
      </w:pPr>
      <w:r>
        <w:t>Aucune suppression physique d’une transaction financière.</w:t>
      </w:r>
    </w:p>
    <w:tbl>
      <w:tblPr>
        <w:tblW w:type="auto" w:w="0"/>
        <w:tblLook w:firstColumn="1" w:firstRow="1" w:lastColumn="0" w:lastRow="0" w:noHBand="0" w:noVBand="1" w:val="04A0"/>
      </w:tblPr>
      <w:tblGrid>
        <w:gridCol w:w="9936"/>
      </w:tblGrid>
      <w:tr>
        <w:tc>
          <w:tcPr>
            <w:tcW w:type="dxa" w:w="9936"/>
            <w:shd w:fill="E6F7F1"/>
          </w:tcPr>
          <w:p>
            <w:r/>
            <w:r>
              <w:rPr>
                <w:b/>
                <w:color w:val="087F5B"/>
              </w:rPr>
              <w:t xml:space="preserve">CONFORMITÉ — </w:t>
            </w:r>
            <w:r>
              <w:t>Avant lancement, les flux, reçus, signatures, règles KYC/AML et conservation doivent être validés par un juriste et l’autorité financière compétente du pays.</w:t>
            </w:r>
          </w:p>
        </w:tc>
      </w:tr>
    </w:tbl>
    <w:p/>
    <w:p>
      <w:pPr>
        <w:pStyle w:val="Heading1"/>
      </w:pPr>
      <w:r>
        <w:t>15. Règles métier critiques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ID</w:t>
            </w:r>
          </w:p>
        </w:tc>
        <w:tc>
          <w:tcPr>
            <w:tcW w:type="dxa" w:w="4968"/>
            <w:shd w:fill="087F5B"/>
          </w:tcPr>
          <w:p>
            <w:r>
              <w:rPr>
                <w:b/>
                <w:color w:val="FFFFFF"/>
                <w:sz w:val="18"/>
              </w:rPr>
              <w:t>Règle</w:t>
            </w:r>
          </w:p>
        </w:tc>
      </w:tr>
      <w:tr>
        <w:tc>
          <w:tcPr>
            <w:tcW w:type="dxa" w:w="4968"/>
          </w:tcPr>
          <w:p>
            <w:r>
              <w:rPr>
                <w:rFonts w:ascii="Aptos" w:hAnsi="Aptos"/>
                <w:sz w:val="17"/>
              </w:rPr>
              <w:t>RM-01</w:t>
            </w:r>
          </w:p>
        </w:tc>
        <w:tc>
          <w:tcPr>
            <w:tcW w:type="dxa" w:w="4968"/>
          </w:tcPr>
          <w:p>
            <w:r>
              <w:rPr>
                <w:rFonts w:ascii="Aptos" w:hAnsi="Aptos"/>
                <w:sz w:val="17"/>
              </w:rPr>
              <w:t>Un transfert payé ne peut jamais être payé une seconde fois.</w:t>
            </w:r>
          </w:p>
        </w:tc>
      </w:tr>
      <w:tr>
        <w:tc>
          <w:tcPr>
            <w:tcW w:type="dxa" w:w="4968"/>
            <w:shd w:fill="F3F8F6"/>
          </w:tcPr>
          <w:p>
            <w:r>
              <w:rPr>
                <w:rFonts w:ascii="Aptos" w:hAnsi="Aptos"/>
                <w:sz w:val="17"/>
              </w:rPr>
              <w:t>RM-02</w:t>
            </w:r>
          </w:p>
        </w:tc>
        <w:tc>
          <w:tcPr>
            <w:tcW w:type="dxa" w:w="4968"/>
            <w:shd w:fill="F3F8F6"/>
          </w:tcPr>
          <w:p>
            <w:r>
              <w:rPr>
                <w:rFonts w:ascii="Aptos" w:hAnsi="Aptos"/>
                <w:sz w:val="17"/>
              </w:rPr>
              <w:t>Seul un agent avec caisse ouverte peut encaisser ou payer.</w:t>
            </w:r>
          </w:p>
        </w:tc>
      </w:tr>
      <w:tr>
        <w:tc>
          <w:tcPr>
            <w:tcW w:type="dxa" w:w="4968"/>
          </w:tcPr>
          <w:p>
            <w:r>
              <w:rPr>
                <w:rFonts w:ascii="Aptos" w:hAnsi="Aptos"/>
                <w:sz w:val="17"/>
              </w:rPr>
              <w:t>RM-03</w:t>
            </w:r>
          </w:p>
        </w:tc>
        <w:tc>
          <w:tcPr>
            <w:tcW w:type="dxa" w:w="4968"/>
          </w:tcPr>
          <w:p>
            <w:r>
              <w:rPr>
                <w:rFonts w:ascii="Aptos" w:hAnsi="Aptos"/>
                <w:sz w:val="17"/>
              </w:rPr>
              <w:t>Le frais affiché avant signature doit être identique au frais enregistré et imprimé.</w:t>
            </w:r>
          </w:p>
        </w:tc>
      </w:tr>
      <w:tr>
        <w:tc>
          <w:tcPr>
            <w:tcW w:type="dxa" w:w="4968"/>
            <w:shd w:fill="F3F8F6"/>
          </w:tcPr>
          <w:p>
            <w:r>
              <w:rPr>
                <w:rFonts w:ascii="Aptos" w:hAnsi="Aptos"/>
                <w:sz w:val="17"/>
              </w:rPr>
              <w:t>RM-04</w:t>
            </w:r>
          </w:p>
        </w:tc>
        <w:tc>
          <w:tcPr>
            <w:tcW w:type="dxa" w:w="4968"/>
            <w:shd w:fill="F3F8F6"/>
          </w:tcPr>
          <w:p>
            <w:r>
              <w:rPr>
                <w:rFonts w:ascii="Aptos" w:hAnsi="Aptos"/>
                <w:sz w:val="17"/>
              </w:rPr>
              <w:t>Toute modification du bénéficiaire après confirmation exige justification et validation.</w:t>
            </w:r>
          </w:p>
        </w:tc>
      </w:tr>
      <w:tr>
        <w:tc>
          <w:tcPr>
            <w:tcW w:type="dxa" w:w="4968"/>
          </w:tcPr>
          <w:p>
            <w:r>
              <w:rPr>
                <w:rFonts w:ascii="Aptos" w:hAnsi="Aptos"/>
                <w:sz w:val="17"/>
              </w:rPr>
              <w:t>RM-05</w:t>
            </w:r>
          </w:p>
        </w:tc>
        <w:tc>
          <w:tcPr>
            <w:tcW w:type="dxa" w:w="4968"/>
          </w:tcPr>
          <w:p>
            <w:r>
              <w:rPr>
                <w:rFonts w:ascii="Aptos" w:hAnsi="Aptos"/>
                <w:sz w:val="17"/>
              </w:rPr>
              <w:t>Une annulation est impossible après paiement.</w:t>
            </w:r>
          </w:p>
        </w:tc>
      </w:tr>
      <w:tr>
        <w:tc>
          <w:tcPr>
            <w:tcW w:type="dxa" w:w="4968"/>
            <w:shd w:fill="F3F8F6"/>
          </w:tcPr>
          <w:p>
            <w:r>
              <w:rPr>
                <w:rFonts w:ascii="Aptos" w:hAnsi="Aptos"/>
                <w:sz w:val="17"/>
              </w:rPr>
              <w:t>RM-06</w:t>
            </w:r>
          </w:p>
        </w:tc>
        <w:tc>
          <w:tcPr>
            <w:tcW w:type="dxa" w:w="4968"/>
            <w:shd w:fill="F3F8F6"/>
          </w:tcPr>
          <w:p>
            <w:r>
              <w:rPr>
                <w:rFonts w:ascii="Aptos" w:hAnsi="Aptos"/>
                <w:sz w:val="17"/>
              </w:rPr>
              <w:t>Un dépassement de plafond impose un KYC ou une approbation supérieure.</w:t>
            </w:r>
          </w:p>
        </w:tc>
      </w:tr>
      <w:tr>
        <w:tc>
          <w:tcPr>
            <w:tcW w:type="dxa" w:w="4968"/>
          </w:tcPr>
          <w:p>
            <w:r>
              <w:rPr>
                <w:rFonts w:ascii="Aptos" w:hAnsi="Aptos"/>
                <w:sz w:val="17"/>
              </w:rPr>
              <w:t>RM-07</w:t>
            </w:r>
          </w:p>
        </w:tc>
        <w:tc>
          <w:tcPr>
            <w:tcW w:type="dxa" w:w="4968"/>
          </w:tcPr>
          <w:p>
            <w:r>
              <w:rPr>
                <w:rFonts w:ascii="Aptos" w:hAnsi="Aptos"/>
                <w:sz w:val="17"/>
              </w:rPr>
              <w:t>Le bureau payeur doit être autorisé et disposer de liquidité.</w:t>
            </w:r>
          </w:p>
        </w:tc>
      </w:tr>
      <w:tr>
        <w:tc>
          <w:tcPr>
            <w:tcW w:type="dxa" w:w="4968"/>
            <w:shd w:fill="F3F8F6"/>
          </w:tcPr>
          <w:p>
            <w:r>
              <w:rPr>
                <w:rFonts w:ascii="Aptos" w:hAnsi="Aptos"/>
                <w:sz w:val="17"/>
              </w:rPr>
              <w:t>RM-08</w:t>
            </w:r>
          </w:p>
        </w:tc>
        <w:tc>
          <w:tcPr>
            <w:tcW w:type="dxa" w:w="4968"/>
            <w:shd w:fill="F3F8F6"/>
          </w:tcPr>
          <w:p>
            <w:r>
              <w:rPr>
                <w:rFonts w:ascii="Aptos" w:hAnsi="Aptos"/>
                <w:sz w:val="17"/>
              </w:rPr>
              <w:t>Chaque signature est liée à la version exacte des données.</w:t>
            </w:r>
          </w:p>
        </w:tc>
      </w:tr>
      <w:tr>
        <w:tc>
          <w:tcPr>
            <w:tcW w:type="dxa" w:w="4968"/>
          </w:tcPr>
          <w:p>
            <w:r>
              <w:rPr>
                <w:rFonts w:ascii="Aptos" w:hAnsi="Aptos"/>
                <w:sz w:val="17"/>
              </w:rPr>
              <w:t>RM-09</w:t>
            </w:r>
          </w:p>
        </w:tc>
        <w:tc>
          <w:tcPr>
            <w:tcW w:type="dxa" w:w="4968"/>
          </w:tcPr>
          <w:p>
            <w:r>
              <w:rPr>
                <w:rFonts w:ascii="Aptos" w:hAnsi="Aptos"/>
                <w:sz w:val="17"/>
              </w:rPr>
              <w:t>Réimpressions, exports, déblocages et corrections sont audités.</w:t>
            </w:r>
          </w:p>
        </w:tc>
      </w:tr>
      <w:tr>
        <w:tc>
          <w:tcPr>
            <w:tcW w:type="dxa" w:w="4968"/>
            <w:shd w:fill="F3F8F6"/>
          </w:tcPr>
          <w:p>
            <w:r>
              <w:rPr>
                <w:rFonts w:ascii="Aptos" w:hAnsi="Aptos"/>
                <w:sz w:val="17"/>
              </w:rPr>
              <w:t>RM-10</w:t>
            </w:r>
          </w:p>
        </w:tc>
        <w:tc>
          <w:tcPr>
            <w:tcW w:type="dxa" w:w="4968"/>
            <w:shd w:fill="F3F8F6"/>
          </w:tcPr>
          <w:p>
            <w:r>
              <w:rPr>
                <w:rFonts w:ascii="Aptos" w:hAnsi="Aptos"/>
                <w:sz w:val="17"/>
              </w:rPr>
              <w:t>Une double validation ne peut pas être faite deux fois par la même personne.</w:t>
            </w:r>
          </w:p>
        </w:tc>
      </w:tr>
      <w:tr>
        <w:tc>
          <w:tcPr>
            <w:tcW w:type="dxa" w:w="4968"/>
          </w:tcPr>
          <w:p>
            <w:r>
              <w:rPr>
                <w:rFonts w:ascii="Aptos" w:hAnsi="Aptos"/>
                <w:sz w:val="17"/>
              </w:rPr>
              <w:t>RM-11</w:t>
            </w:r>
          </w:p>
        </w:tc>
        <w:tc>
          <w:tcPr>
            <w:tcW w:type="dxa" w:w="4968"/>
          </w:tcPr>
          <w:p>
            <w:r>
              <w:rPr>
                <w:rFonts w:ascii="Aptos" w:hAnsi="Aptos"/>
                <w:sz w:val="17"/>
              </w:rPr>
              <w:t>Les commissions reposent sur le tarif figé dans la transaction.</w:t>
            </w:r>
          </w:p>
        </w:tc>
      </w:tr>
      <w:tr>
        <w:tc>
          <w:tcPr>
            <w:tcW w:type="dxa" w:w="4968"/>
            <w:shd w:fill="F3F8F6"/>
          </w:tcPr>
          <w:p>
            <w:r>
              <w:rPr>
                <w:rFonts w:ascii="Aptos" w:hAnsi="Aptos"/>
                <w:sz w:val="17"/>
              </w:rPr>
              <w:t>RM-12</w:t>
            </w:r>
          </w:p>
        </w:tc>
        <w:tc>
          <w:tcPr>
            <w:tcW w:type="dxa" w:w="4968"/>
            <w:shd w:fill="F3F8F6"/>
          </w:tcPr>
          <w:p>
            <w:r>
              <w:rPr>
                <w:rFonts w:ascii="Aptos" w:hAnsi="Aptos"/>
                <w:sz w:val="17"/>
              </w:rPr>
              <w:t>Les heures sont stockées en UTC et affichées dans le fuseau local.</w:t>
            </w:r>
          </w:p>
        </w:tc>
      </w:tr>
    </w:tbl>
    <w:p/>
    <w:p>
      <w:pPr>
        <w:pStyle w:val="Heading1"/>
      </w:pPr>
      <w:r>
        <w:t>16. Écrans attendus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Écran</w:t>
            </w:r>
          </w:p>
        </w:tc>
        <w:tc>
          <w:tcPr>
            <w:tcW w:type="dxa" w:w="4968"/>
            <w:shd w:fill="087F5B"/>
          </w:tcPr>
          <w:p>
            <w:r>
              <w:rPr>
                <w:b/>
                <w:color w:val="FFFFFF"/>
                <w:sz w:val="18"/>
              </w:rPr>
              <w:t>Fonctions</w:t>
            </w:r>
          </w:p>
        </w:tc>
      </w:tr>
      <w:tr>
        <w:tc>
          <w:tcPr>
            <w:tcW w:type="dxa" w:w="4968"/>
          </w:tcPr>
          <w:p>
            <w:r>
              <w:rPr>
                <w:rFonts w:ascii="Aptos" w:hAnsi="Aptos"/>
                <w:sz w:val="17"/>
              </w:rPr>
              <w:t>Connexion</w:t>
            </w:r>
          </w:p>
        </w:tc>
        <w:tc>
          <w:tcPr>
            <w:tcW w:type="dxa" w:w="4968"/>
          </w:tcPr>
          <w:p>
            <w:r>
              <w:rPr>
                <w:rFonts w:ascii="Aptos" w:hAnsi="Aptos"/>
                <w:sz w:val="17"/>
              </w:rPr>
              <w:t>Code société/bureau, utilisateur, mot de passe, OTP et caisse.</w:t>
            </w:r>
          </w:p>
        </w:tc>
      </w:tr>
      <w:tr>
        <w:tc>
          <w:tcPr>
            <w:tcW w:type="dxa" w:w="4968"/>
            <w:shd w:fill="F3F8F6"/>
          </w:tcPr>
          <w:p>
            <w:r>
              <w:rPr>
                <w:rFonts w:ascii="Aptos" w:hAnsi="Aptos"/>
                <w:sz w:val="17"/>
              </w:rPr>
              <w:t>Tableau de bord</w:t>
            </w:r>
          </w:p>
        </w:tc>
        <w:tc>
          <w:tcPr>
            <w:tcW w:type="dxa" w:w="4968"/>
            <w:shd w:fill="F3F8F6"/>
          </w:tcPr>
          <w:p>
            <w:r>
              <w:rPr>
                <w:rFonts w:ascii="Aptos" w:hAnsi="Aptos"/>
                <w:sz w:val="17"/>
              </w:rPr>
              <w:t>Indicateurs, liquidité, alertes, Envoyer et Recevoir.</w:t>
            </w:r>
          </w:p>
        </w:tc>
      </w:tr>
      <w:tr>
        <w:tc>
          <w:tcPr>
            <w:tcW w:type="dxa" w:w="4968"/>
          </w:tcPr>
          <w:p>
            <w:r>
              <w:rPr>
                <w:rFonts w:ascii="Aptos" w:hAnsi="Aptos"/>
                <w:sz w:val="17"/>
              </w:rPr>
              <w:t>Société/agences</w:t>
            </w:r>
          </w:p>
        </w:tc>
        <w:tc>
          <w:tcPr>
            <w:tcW w:type="dxa" w:w="4968"/>
          </w:tcPr>
          <w:p>
            <w:r>
              <w:rPr>
                <w:rFonts w:ascii="Aptos" w:hAnsi="Aptos"/>
                <w:sz w:val="17"/>
              </w:rPr>
              <w:t>Identité, documents, bureaux, codes, corridors et statuts.</w:t>
            </w:r>
          </w:p>
        </w:tc>
      </w:tr>
      <w:tr>
        <w:tc>
          <w:tcPr>
            <w:tcW w:type="dxa" w:w="4968"/>
            <w:shd w:fill="F3F8F6"/>
          </w:tcPr>
          <w:p>
            <w:r>
              <w:rPr>
                <w:rFonts w:ascii="Aptos" w:hAnsi="Aptos"/>
                <w:sz w:val="17"/>
              </w:rPr>
              <w:t>Agents</w:t>
            </w:r>
          </w:p>
        </w:tc>
        <w:tc>
          <w:tcPr>
            <w:tcW w:type="dxa" w:w="4968"/>
            <w:shd w:fill="F3F8F6"/>
          </w:tcPr>
          <w:p>
            <w:r>
              <w:rPr>
                <w:rFonts w:ascii="Aptos" w:hAnsi="Aptos"/>
                <w:sz w:val="17"/>
              </w:rPr>
              <w:t>Création, rôles, affectations, plafonds, appareils et blocage.</w:t>
            </w:r>
          </w:p>
        </w:tc>
      </w:tr>
      <w:tr>
        <w:tc>
          <w:tcPr>
            <w:tcW w:type="dxa" w:w="4968"/>
          </w:tcPr>
          <w:p>
            <w:r>
              <w:rPr>
                <w:rFonts w:ascii="Aptos" w:hAnsi="Aptos"/>
                <w:sz w:val="17"/>
              </w:rPr>
              <w:t>Tarification</w:t>
            </w:r>
          </w:p>
        </w:tc>
        <w:tc>
          <w:tcPr>
            <w:tcW w:type="dxa" w:w="4968"/>
          </w:tcPr>
          <w:p>
            <w:r>
              <w:rPr>
                <w:rFonts w:ascii="Aptos" w:hAnsi="Aptos"/>
                <w:sz w:val="17"/>
              </w:rPr>
              <w:t>Pourcentage, fixe, tranches, corridors et commissions.</w:t>
            </w:r>
          </w:p>
        </w:tc>
      </w:tr>
      <w:tr>
        <w:tc>
          <w:tcPr>
            <w:tcW w:type="dxa" w:w="4968"/>
            <w:shd w:fill="F3F8F6"/>
          </w:tcPr>
          <w:p>
            <w:r>
              <w:rPr>
                <w:rFonts w:ascii="Aptos" w:hAnsi="Aptos"/>
                <w:sz w:val="17"/>
              </w:rPr>
              <w:t>Nouveau transfert</w:t>
            </w:r>
          </w:p>
        </w:tc>
        <w:tc>
          <w:tcPr>
            <w:tcW w:type="dxa" w:w="4968"/>
            <w:shd w:fill="F3F8F6"/>
          </w:tcPr>
          <w:p>
            <w:r>
              <w:rPr>
                <w:rFonts w:ascii="Aptos" w:hAnsi="Aptos"/>
                <w:sz w:val="17"/>
              </w:rPr>
              <w:t>Clients, montant, frais, résumé, signature et reçu.</w:t>
            </w:r>
          </w:p>
        </w:tc>
      </w:tr>
      <w:tr>
        <w:tc>
          <w:tcPr>
            <w:tcW w:type="dxa" w:w="4968"/>
          </w:tcPr>
          <w:p>
            <w:r>
              <w:rPr>
                <w:rFonts w:ascii="Aptos" w:hAnsi="Aptos"/>
                <w:sz w:val="17"/>
              </w:rPr>
              <w:t>Recherche/Paiement</w:t>
            </w:r>
          </w:p>
        </w:tc>
        <w:tc>
          <w:tcPr>
            <w:tcW w:type="dxa" w:w="4968"/>
          </w:tcPr>
          <w:p>
            <w:r>
              <w:rPr>
                <w:rFonts w:ascii="Aptos" w:hAnsi="Aptos"/>
                <w:sz w:val="17"/>
              </w:rPr>
              <w:t>Code, identité, contrôles, signature, paiement et reçu.</w:t>
            </w:r>
          </w:p>
        </w:tc>
      </w:tr>
      <w:tr>
        <w:tc>
          <w:tcPr>
            <w:tcW w:type="dxa" w:w="4968"/>
            <w:shd w:fill="F3F8F6"/>
          </w:tcPr>
          <w:p>
            <w:r>
              <w:rPr>
                <w:rFonts w:ascii="Aptos" w:hAnsi="Aptos"/>
                <w:sz w:val="17"/>
              </w:rPr>
              <w:t>Transactions</w:t>
            </w:r>
          </w:p>
        </w:tc>
        <w:tc>
          <w:tcPr>
            <w:tcW w:type="dxa" w:w="4968"/>
            <w:shd w:fill="F3F8F6"/>
          </w:tcPr>
          <w:p>
            <w:r>
              <w:rPr>
                <w:rFonts w:ascii="Aptos" w:hAnsi="Aptos"/>
                <w:sz w:val="17"/>
              </w:rPr>
              <w:t>Filtres, détail, pièces, historique et duplicata.</w:t>
            </w:r>
          </w:p>
        </w:tc>
      </w:tr>
      <w:tr>
        <w:tc>
          <w:tcPr>
            <w:tcW w:type="dxa" w:w="4968"/>
          </w:tcPr>
          <w:p>
            <w:r>
              <w:rPr>
                <w:rFonts w:ascii="Aptos" w:hAnsi="Aptos"/>
                <w:sz w:val="17"/>
              </w:rPr>
              <w:t>Caisse</w:t>
            </w:r>
          </w:p>
        </w:tc>
        <w:tc>
          <w:tcPr>
            <w:tcW w:type="dxa" w:w="4968"/>
          </w:tcPr>
          <w:p>
            <w:r>
              <w:rPr>
                <w:rFonts w:ascii="Aptos" w:hAnsi="Aptos"/>
                <w:sz w:val="17"/>
              </w:rPr>
              <w:t>Ouverture, mouvements, solde, clôture et écart.</w:t>
            </w:r>
          </w:p>
        </w:tc>
      </w:tr>
      <w:tr>
        <w:tc>
          <w:tcPr>
            <w:tcW w:type="dxa" w:w="4968"/>
            <w:shd w:fill="F3F8F6"/>
          </w:tcPr>
          <w:p>
            <w:r>
              <w:rPr>
                <w:rFonts w:ascii="Aptos" w:hAnsi="Aptos"/>
                <w:sz w:val="17"/>
              </w:rPr>
              <w:t>Rapports</w:t>
            </w:r>
          </w:p>
        </w:tc>
        <w:tc>
          <w:tcPr>
            <w:tcW w:type="dxa" w:w="4968"/>
            <w:shd w:fill="F3F8F6"/>
          </w:tcPr>
          <w:p>
            <w:r>
              <w:rPr>
                <w:rFonts w:ascii="Aptos" w:hAnsi="Aptos"/>
                <w:sz w:val="17"/>
              </w:rPr>
              <w:t>Activité, finances, commissions, conformité et exports.</w:t>
            </w:r>
          </w:p>
        </w:tc>
      </w:tr>
      <w:tr>
        <w:tc>
          <w:tcPr>
            <w:tcW w:type="dxa" w:w="4968"/>
          </w:tcPr>
          <w:p>
            <w:r>
              <w:rPr>
                <w:rFonts w:ascii="Aptos" w:hAnsi="Aptos"/>
                <w:sz w:val="17"/>
              </w:rPr>
              <w:t>Audit/Sécurité</w:t>
            </w:r>
          </w:p>
        </w:tc>
        <w:tc>
          <w:tcPr>
            <w:tcW w:type="dxa" w:w="4968"/>
          </w:tcPr>
          <w:p>
            <w:r>
              <w:rPr>
                <w:rFonts w:ascii="Aptos" w:hAnsi="Aptos"/>
                <w:sz w:val="17"/>
              </w:rPr>
              <w:t>Connexions, actions, alertes, blocages et validations.</w:t>
            </w:r>
          </w:p>
        </w:tc>
      </w:tr>
      <w:tr>
        <w:tc>
          <w:tcPr>
            <w:tcW w:type="dxa" w:w="4968"/>
            <w:shd w:fill="F3F8F6"/>
          </w:tcPr>
          <w:p>
            <w:r>
              <w:rPr>
                <w:rFonts w:ascii="Aptos" w:hAnsi="Aptos"/>
                <w:sz w:val="17"/>
              </w:rPr>
              <w:t>Paramètres POS</w:t>
            </w:r>
          </w:p>
        </w:tc>
        <w:tc>
          <w:tcPr>
            <w:tcW w:type="dxa" w:w="4968"/>
            <w:shd w:fill="F3F8F6"/>
          </w:tcPr>
          <w:p>
            <w:r>
              <w:rPr>
                <w:rFonts w:ascii="Aptos" w:hAnsi="Aptos"/>
                <w:sz w:val="17"/>
              </w:rPr>
              <w:t>58/80 mm, copies, QR, langue et test imprimante.</w:t>
            </w:r>
          </w:p>
        </w:tc>
      </w:tr>
    </w:tbl>
    <w:p/>
    <w:p>
      <w:pPr>
        <w:pStyle w:val="Heading1"/>
      </w:pPr>
      <w:r>
        <w:t>17. Données principales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Entité</w:t>
            </w:r>
          </w:p>
        </w:tc>
        <w:tc>
          <w:tcPr>
            <w:tcW w:type="dxa" w:w="4968"/>
            <w:shd w:fill="087F5B"/>
          </w:tcPr>
          <w:p>
            <w:r>
              <w:rPr>
                <w:b/>
                <w:color w:val="FFFFFF"/>
                <w:sz w:val="18"/>
              </w:rPr>
              <w:t>Données essentielles</w:t>
            </w:r>
          </w:p>
        </w:tc>
      </w:tr>
      <w:tr>
        <w:tc>
          <w:tcPr>
            <w:tcW w:type="dxa" w:w="4968"/>
          </w:tcPr>
          <w:p>
            <w:r>
              <w:rPr>
                <w:rFonts w:ascii="Aptos" w:hAnsi="Aptos"/>
                <w:sz w:val="17"/>
              </w:rPr>
              <w:t>Société</w:t>
            </w:r>
          </w:p>
        </w:tc>
        <w:tc>
          <w:tcPr>
            <w:tcW w:type="dxa" w:w="4968"/>
          </w:tcPr>
          <w:p>
            <w:r>
              <w:rPr>
                <w:rFonts w:ascii="Aptos" w:hAnsi="Aptos"/>
                <w:sz w:val="17"/>
              </w:rPr>
              <w:t>Identité légale, contacts, pays, devises, documents, statut.</w:t>
            </w:r>
          </w:p>
        </w:tc>
      </w:tr>
      <w:tr>
        <w:tc>
          <w:tcPr>
            <w:tcW w:type="dxa" w:w="4968"/>
            <w:shd w:fill="F3F8F6"/>
          </w:tcPr>
          <w:p>
            <w:r>
              <w:rPr>
                <w:rFonts w:ascii="Aptos" w:hAnsi="Aptos"/>
                <w:sz w:val="17"/>
              </w:rPr>
              <w:t>Agence/Bureau</w:t>
            </w:r>
          </w:p>
        </w:tc>
        <w:tc>
          <w:tcPr>
            <w:tcW w:type="dxa" w:w="4968"/>
            <w:shd w:fill="F3F8F6"/>
          </w:tcPr>
          <w:p>
            <w:r>
              <w:rPr>
                <w:rFonts w:ascii="Aptos" w:hAnsi="Aptos"/>
                <w:sz w:val="17"/>
              </w:rPr>
              <w:t>Code, parent, adresse, responsable, corridors, caisses.</w:t>
            </w:r>
          </w:p>
        </w:tc>
      </w:tr>
      <w:tr>
        <w:tc>
          <w:tcPr>
            <w:tcW w:type="dxa" w:w="4968"/>
          </w:tcPr>
          <w:p>
            <w:r>
              <w:rPr>
                <w:rFonts w:ascii="Aptos" w:hAnsi="Aptos"/>
                <w:sz w:val="17"/>
              </w:rPr>
              <w:t>Agent</w:t>
            </w:r>
          </w:p>
        </w:tc>
        <w:tc>
          <w:tcPr>
            <w:tcW w:type="dxa" w:w="4968"/>
          </w:tcPr>
          <w:p>
            <w:r>
              <w:rPr>
                <w:rFonts w:ascii="Aptos" w:hAnsi="Aptos"/>
                <w:sz w:val="17"/>
              </w:rPr>
              <w:t>Identité, rôle, affectations, plafonds, appareil, statut.</w:t>
            </w:r>
          </w:p>
        </w:tc>
      </w:tr>
      <w:tr>
        <w:tc>
          <w:tcPr>
            <w:tcW w:type="dxa" w:w="4968"/>
            <w:shd w:fill="F3F8F6"/>
          </w:tcPr>
          <w:p>
            <w:r>
              <w:rPr>
                <w:rFonts w:ascii="Aptos" w:hAnsi="Aptos"/>
                <w:sz w:val="17"/>
              </w:rPr>
              <w:t>Caisse</w:t>
            </w:r>
          </w:p>
        </w:tc>
        <w:tc>
          <w:tcPr>
            <w:tcW w:type="dxa" w:w="4968"/>
            <w:shd w:fill="F3F8F6"/>
          </w:tcPr>
          <w:p>
            <w:r>
              <w:rPr>
                <w:rFonts w:ascii="Aptos" w:hAnsi="Aptos"/>
                <w:sz w:val="17"/>
              </w:rPr>
              <w:t>Bureau, agent, devise, ouverture, solde, clôture, écart.</w:t>
            </w:r>
          </w:p>
        </w:tc>
      </w:tr>
      <w:tr>
        <w:tc>
          <w:tcPr>
            <w:tcW w:type="dxa" w:w="4968"/>
          </w:tcPr>
          <w:p>
            <w:r>
              <w:rPr>
                <w:rFonts w:ascii="Aptos" w:hAnsi="Aptos"/>
                <w:sz w:val="17"/>
              </w:rPr>
              <w:t>Client</w:t>
            </w:r>
          </w:p>
        </w:tc>
        <w:tc>
          <w:tcPr>
            <w:tcW w:type="dxa" w:w="4968"/>
          </w:tcPr>
          <w:p>
            <w:r>
              <w:rPr>
                <w:rFonts w:ascii="Aptos" w:hAnsi="Aptos"/>
                <w:sz w:val="17"/>
              </w:rPr>
              <w:t>Identité, contacts, document KYC, niveau et consentement.</w:t>
            </w:r>
          </w:p>
        </w:tc>
      </w:tr>
      <w:tr>
        <w:tc>
          <w:tcPr>
            <w:tcW w:type="dxa" w:w="4968"/>
            <w:shd w:fill="F3F8F6"/>
          </w:tcPr>
          <w:p>
            <w:r>
              <w:rPr>
                <w:rFonts w:ascii="Aptos" w:hAnsi="Aptos"/>
                <w:sz w:val="17"/>
              </w:rPr>
              <w:t>Transfert</w:t>
            </w:r>
          </w:p>
        </w:tc>
        <w:tc>
          <w:tcPr>
            <w:tcW w:type="dxa" w:w="4968"/>
            <w:shd w:fill="F3F8F6"/>
          </w:tcPr>
          <w:p>
            <w:r>
              <w:rPr>
                <w:rFonts w:ascii="Aptos" w:hAnsi="Aptos"/>
                <w:sz w:val="17"/>
              </w:rPr>
              <w:t>Références, lieux, agents, clients, montants, frais, statut.</w:t>
            </w:r>
          </w:p>
        </w:tc>
      </w:tr>
      <w:tr>
        <w:tc>
          <w:tcPr>
            <w:tcW w:type="dxa" w:w="4968"/>
          </w:tcPr>
          <w:p>
            <w:r>
              <w:rPr>
                <w:rFonts w:ascii="Aptos" w:hAnsi="Aptos"/>
                <w:sz w:val="17"/>
              </w:rPr>
              <w:t>Signature</w:t>
            </w:r>
          </w:p>
        </w:tc>
        <w:tc>
          <w:tcPr>
            <w:tcW w:type="dxa" w:w="4968"/>
          </w:tcPr>
          <w:p>
            <w:r>
              <w:rPr>
                <w:rFonts w:ascii="Aptos" w:hAnsi="Aptos"/>
                <w:sz w:val="17"/>
              </w:rPr>
              <w:t>Type, preuve, empreinte, déclaration, heure et appareil.</w:t>
            </w:r>
          </w:p>
        </w:tc>
      </w:tr>
      <w:tr>
        <w:tc>
          <w:tcPr>
            <w:tcW w:type="dxa" w:w="4968"/>
            <w:shd w:fill="F3F8F6"/>
          </w:tcPr>
          <w:p>
            <w:r>
              <w:rPr>
                <w:rFonts w:ascii="Aptos" w:hAnsi="Aptos"/>
                <w:sz w:val="17"/>
              </w:rPr>
              <w:t>Reçu</w:t>
            </w:r>
          </w:p>
        </w:tc>
        <w:tc>
          <w:tcPr>
            <w:tcW w:type="dxa" w:w="4968"/>
            <w:shd w:fill="F3F8F6"/>
          </w:tcPr>
          <w:p>
            <w:r>
              <w:rPr>
                <w:rFonts w:ascii="Aptos" w:hAnsi="Aptos"/>
                <w:sz w:val="17"/>
              </w:rPr>
              <w:t>Numéro, type, version, duplicata, format, agent et date.</w:t>
            </w:r>
          </w:p>
        </w:tc>
      </w:tr>
      <w:tr>
        <w:tc>
          <w:tcPr>
            <w:tcW w:type="dxa" w:w="4968"/>
          </w:tcPr>
          <w:p>
            <w:r>
              <w:rPr>
                <w:rFonts w:ascii="Aptos" w:hAnsi="Aptos"/>
                <w:sz w:val="17"/>
              </w:rPr>
              <w:t>Audit</w:t>
            </w:r>
          </w:p>
        </w:tc>
        <w:tc>
          <w:tcPr>
            <w:tcW w:type="dxa" w:w="4968"/>
          </w:tcPr>
          <w:p>
            <w:r>
              <w:rPr>
                <w:rFonts w:ascii="Aptos" w:hAnsi="Aptos"/>
                <w:sz w:val="17"/>
              </w:rPr>
              <w:t>Acteur, action, objet, avant/après, date, appareil et motif.</w:t>
            </w:r>
          </w:p>
        </w:tc>
      </w:tr>
    </w:tbl>
    <w:p/>
    <w:p>
      <w:pPr>
        <w:pStyle w:val="Heading1"/>
      </w:pPr>
      <w:r>
        <w:t>18. Architecture technique recommandée</w:t>
      </w:r>
    </w:p>
    <w:p>
      <w:pPr>
        <w:pStyle w:val="ListBullet"/>
      </w:pPr>
      <w:r>
        <w:t>Application web responsive/PWA pour ordinateur, tablette et POS.</w:t>
      </w:r>
    </w:p>
    <w:p>
      <w:pPr>
        <w:pStyle w:val="ListBullet"/>
      </w:pPr>
      <w:r>
        <w:t>API sécurisée séparant identité, agences, transfert, tarification, caisse, documents, notifications, rapports et audit.</w:t>
      </w:r>
    </w:p>
    <w:p>
      <w:pPr>
        <w:pStyle w:val="ListBullet"/>
      </w:pPr>
      <w:r>
        <w:t>Base transactionnelle avec contraintes et verrou empêchant le double paiement.</w:t>
      </w:r>
    </w:p>
    <w:p>
      <w:pPr>
        <w:pStyle w:val="ListBullet"/>
      </w:pPr>
      <w:r>
        <w:t>Stockage chiffré séparé pour pièces et signatures.</w:t>
      </w:r>
    </w:p>
    <w:p>
      <w:pPr>
        <w:pStyle w:val="ListBullet"/>
      </w:pPr>
      <w:r>
        <w:t>Impression via navigateur ou connecteur POS local selon le matériel.</w:t>
      </w:r>
    </w:p>
    <w:p>
      <w:pPr>
        <w:pStyle w:val="ListBullet"/>
      </w:pPr>
      <w:r>
        <w:t>File de messages pour SMS/e-mail et notifications fiables.</w:t>
      </w:r>
    </w:p>
    <w:p>
      <w:pPr>
        <w:pStyle w:val="ListBullet"/>
      </w:pPr>
      <w:r>
        <w:t>Environnements développement, recette et production séparés.</w:t>
      </w:r>
    </w:p>
    <w:p>
      <w:pPr>
        <w:pStyle w:val="ListBullet"/>
      </w:pPr>
      <w:r>
        <w:t>Supervision de disponibilité, erreurs, lenteurs, impressions et alertes fraude.</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Route indicative</w:t>
            </w:r>
          </w:p>
        </w:tc>
        <w:tc>
          <w:tcPr>
            <w:tcW w:type="dxa" w:w="4968"/>
            <w:shd w:fill="087F5B"/>
          </w:tcPr>
          <w:p>
            <w:r>
              <w:rPr>
                <w:b/>
                <w:color w:val="FFFFFF"/>
                <w:sz w:val="18"/>
              </w:rPr>
              <w:t>Fonction</w:t>
            </w:r>
          </w:p>
        </w:tc>
      </w:tr>
      <w:tr>
        <w:tc>
          <w:tcPr>
            <w:tcW w:type="dxa" w:w="4968"/>
          </w:tcPr>
          <w:p>
            <w:r>
              <w:rPr>
                <w:rFonts w:ascii="Aptos" w:hAnsi="Aptos"/>
                <w:sz w:val="17"/>
              </w:rPr>
              <w:t>POST /auth/login</w:t>
            </w:r>
          </w:p>
        </w:tc>
        <w:tc>
          <w:tcPr>
            <w:tcW w:type="dxa" w:w="4968"/>
          </w:tcPr>
          <w:p>
            <w:r>
              <w:rPr>
                <w:rFonts w:ascii="Aptos" w:hAnsi="Aptos"/>
                <w:sz w:val="17"/>
              </w:rPr>
              <w:t>Connexion et contexte bureau/caisse.</w:t>
            </w:r>
          </w:p>
        </w:tc>
      </w:tr>
      <w:tr>
        <w:tc>
          <w:tcPr>
            <w:tcW w:type="dxa" w:w="4968"/>
            <w:shd w:fill="F3F8F6"/>
          </w:tcPr>
          <w:p>
            <w:r>
              <w:rPr>
                <w:rFonts w:ascii="Aptos" w:hAnsi="Aptos"/>
                <w:sz w:val="17"/>
              </w:rPr>
              <w:t>POST /branches</w:t>
            </w:r>
          </w:p>
        </w:tc>
        <w:tc>
          <w:tcPr>
            <w:tcW w:type="dxa" w:w="4968"/>
            <w:shd w:fill="F3F8F6"/>
          </w:tcPr>
          <w:p>
            <w:r>
              <w:rPr>
                <w:rFonts w:ascii="Aptos" w:hAnsi="Aptos"/>
                <w:sz w:val="17"/>
              </w:rPr>
              <w:t>Création agence/bureau.</w:t>
            </w:r>
          </w:p>
        </w:tc>
      </w:tr>
      <w:tr>
        <w:tc>
          <w:tcPr>
            <w:tcW w:type="dxa" w:w="4968"/>
          </w:tcPr>
          <w:p>
            <w:r>
              <w:rPr>
                <w:rFonts w:ascii="Aptos" w:hAnsi="Aptos"/>
                <w:sz w:val="17"/>
              </w:rPr>
              <w:t>POST /users</w:t>
            </w:r>
          </w:p>
        </w:tc>
        <w:tc>
          <w:tcPr>
            <w:tcW w:type="dxa" w:w="4968"/>
          </w:tcPr>
          <w:p>
            <w:r>
              <w:rPr>
                <w:rFonts w:ascii="Aptos" w:hAnsi="Aptos"/>
                <w:sz w:val="17"/>
              </w:rPr>
              <w:t>Création agent et affectation.</w:t>
            </w:r>
          </w:p>
        </w:tc>
      </w:tr>
      <w:tr>
        <w:tc>
          <w:tcPr>
            <w:tcW w:type="dxa" w:w="4968"/>
            <w:shd w:fill="F3F8F6"/>
          </w:tcPr>
          <w:p>
            <w:r>
              <w:rPr>
                <w:rFonts w:ascii="Aptos" w:hAnsi="Aptos"/>
                <w:sz w:val="17"/>
              </w:rPr>
              <w:t>GET /pricing/quote</w:t>
            </w:r>
          </w:p>
        </w:tc>
        <w:tc>
          <w:tcPr>
            <w:tcW w:type="dxa" w:w="4968"/>
            <w:shd w:fill="F3F8F6"/>
          </w:tcPr>
          <w:p>
            <w:r>
              <w:rPr>
                <w:rFonts w:ascii="Aptos" w:hAnsi="Aptos"/>
                <w:sz w:val="17"/>
              </w:rPr>
              <w:t>Calcul officiel des frais.</w:t>
            </w:r>
          </w:p>
        </w:tc>
      </w:tr>
      <w:tr>
        <w:tc>
          <w:tcPr>
            <w:tcW w:type="dxa" w:w="4968"/>
          </w:tcPr>
          <w:p>
            <w:r>
              <w:rPr>
                <w:rFonts w:ascii="Aptos" w:hAnsi="Aptos"/>
                <w:sz w:val="17"/>
              </w:rPr>
              <w:t>POST /transfers</w:t>
            </w:r>
          </w:p>
        </w:tc>
        <w:tc>
          <w:tcPr>
            <w:tcW w:type="dxa" w:w="4968"/>
          </w:tcPr>
          <w:p>
            <w:r>
              <w:rPr>
                <w:rFonts w:ascii="Aptos" w:hAnsi="Aptos"/>
                <w:sz w:val="17"/>
              </w:rPr>
              <w:t>Création du transfert.</w:t>
            </w:r>
          </w:p>
        </w:tc>
      </w:tr>
      <w:tr>
        <w:tc>
          <w:tcPr>
            <w:tcW w:type="dxa" w:w="4968"/>
            <w:shd w:fill="F3F8F6"/>
          </w:tcPr>
          <w:p>
            <w:r>
              <w:rPr>
                <w:rFonts w:ascii="Aptos" w:hAnsi="Aptos"/>
                <w:sz w:val="17"/>
              </w:rPr>
              <w:t>POST /transfers/{id}/sign-sender</w:t>
            </w:r>
          </w:p>
        </w:tc>
        <w:tc>
          <w:tcPr>
            <w:tcW w:type="dxa" w:w="4968"/>
            <w:shd w:fill="F3F8F6"/>
          </w:tcPr>
          <w:p>
            <w:r>
              <w:rPr>
                <w:rFonts w:ascii="Aptos" w:hAnsi="Aptos"/>
                <w:sz w:val="17"/>
              </w:rPr>
              <w:t>Signature expéditeur.</w:t>
            </w:r>
          </w:p>
        </w:tc>
      </w:tr>
      <w:tr>
        <w:tc>
          <w:tcPr>
            <w:tcW w:type="dxa" w:w="4968"/>
          </w:tcPr>
          <w:p>
            <w:r>
              <w:rPr>
                <w:rFonts w:ascii="Aptos" w:hAnsi="Aptos"/>
                <w:sz w:val="17"/>
              </w:rPr>
              <w:t>POST /transfers/{id}/confirm</w:t>
            </w:r>
          </w:p>
        </w:tc>
        <w:tc>
          <w:tcPr>
            <w:tcW w:type="dxa" w:w="4968"/>
          </w:tcPr>
          <w:p>
            <w:r>
              <w:rPr>
                <w:rFonts w:ascii="Aptos" w:hAnsi="Aptos"/>
                <w:sz w:val="17"/>
              </w:rPr>
              <w:t>Encaissement et génération code.</w:t>
            </w:r>
          </w:p>
        </w:tc>
      </w:tr>
      <w:tr>
        <w:tc>
          <w:tcPr>
            <w:tcW w:type="dxa" w:w="4968"/>
            <w:shd w:fill="F3F8F6"/>
          </w:tcPr>
          <w:p>
            <w:r>
              <w:rPr>
                <w:rFonts w:ascii="Aptos" w:hAnsi="Aptos"/>
                <w:sz w:val="17"/>
              </w:rPr>
              <w:t>POST /transfers/lookup</w:t>
            </w:r>
          </w:p>
        </w:tc>
        <w:tc>
          <w:tcPr>
            <w:tcW w:type="dxa" w:w="4968"/>
            <w:shd w:fill="F3F8F6"/>
          </w:tcPr>
          <w:p>
            <w:r>
              <w:rPr>
                <w:rFonts w:ascii="Aptos" w:hAnsi="Aptos"/>
                <w:sz w:val="17"/>
              </w:rPr>
              <w:t>Recherche sécurisée.</w:t>
            </w:r>
          </w:p>
        </w:tc>
      </w:tr>
      <w:tr>
        <w:tc>
          <w:tcPr>
            <w:tcW w:type="dxa" w:w="4968"/>
          </w:tcPr>
          <w:p>
            <w:r>
              <w:rPr>
                <w:rFonts w:ascii="Aptos" w:hAnsi="Aptos"/>
                <w:sz w:val="17"/>
              </w:rPr>
              <w:t>POST /transfers/{id}/sign-beneficiary</w:t>
            </w:r>
          </w:p>
        </w:tc>
        <w:tc>
          <w:tcPr>
            <w:tcW w:type="dxa" w:w="4968"/>
          </w:tcPr>
          <w:p>
            <w:r>
              <w:rPr>
                <w:rFonts w:ascii="Aptos" w:hAnsi="Aptos"/>
                <w:sz w:val="17"/>
              </w:rPr>
              <w:t>Signature bénéficiaire.</w:t>
            </w:r>
          </w:p>
        </w:tc>
      </w:tr>
      <w:tr>
        <w:tc>
          <w:tcPr>
            <w:tcW w:type="dxa" w:w="4968"/>
            <w:shd w:fill="F3F8F6"/>
          </w:tcPr>
          <w:p>
            <w:r>
              <w:rPr>
                <w:rFonts w:ascii="Aptos" w:hAnsi="Aptos"/>
                <w:sz w:val="17"/>
              </w:rPr>
              <w:t>POST /transfers/{id}/pay</w:t>
            </w:r>
          </w:p>
        </w:tc>
        <w:tc>
          <w:tcPr>
            <w:tcW w:type="dxa" w:w="4968"/>
            <w:shd w:fill="F3F8F6"/>
          </w:tcPr>
          <w:p>
            <w:r>
              <w:rPr>
                <w:rFonts w:ascii="Aptos" w:hAnsi="Aptos"/>
                <w:sz w:val="17"/>
              </w:rPr>
              <w:t>Paiement atomique.</w:t>
            </w:r>
          </w:p>
        </w:tc>
      </w:tr>
      <w:tr>
        <w:tc>
          <w:tcPr>
            <w:tcW w:type="dxa" w:w="4968"/>
          </w:tcPr>
          <w:p>
            <w:r>
              <w:rPr>
                <w:rFonts w:ascii="Aptos" w:hAnsi="Aptos"/>
                <w:sz w:val="17"/>
              </w:rPr>
              <w:t>POST /receipts/{id}/print</w:t>
            </w:r>
          </w:p>
        </w:tc>
        <w:tc>
          <w:tcPr>
            <w:tcW w:type="dxa" w:w="4968"/>
          </w:tcPr>
          <w:p>
            <w:r>
              <w:rPr>
                <w:rFonts w:ascii="Aptos" w:hAnsi="Aptos"/>
                <w:sz w:val="17"/>
              </w:rPr>
              <w:t>Impression auditée.</w:t>
            </w:r>
          </w:p>
        </w:tc>
      </w:tr>
      <w:tr>
        <w:tc>
          <w:tcPr>
            <w:tcW w:type="dxa" w:w="4968"/>
            <w:shd w:fill="F3F8F6"/>
          </w:tcPr>
          <w:p>
            <w:r>
              <w:rPr>
                <w:rFonts w:ascii="Aptos" w:hAnsi="Aptos"/>
                <w:sz w:val="17"/>
              </w:rPr>
              <w:t>POST /cash-sessions</w:t>
            </w:r>
          </w:p>
        </w:tc>
        <w:tc>
          <w:tcPr>
            <w:tcW w:type="dxa" w:w="4968"/>
            <w:shd w:fill="F3F8F6"/>
          </w:tcPr>
          <w:p>
            <w:r>
              <w:rPr>
                <w:rFonts w:ascii="Aptos" w:hAnsi="Aptos"/>
                <w:sz w:val="17"/>
              </w:rPr>
              <w:t>Ouverture/clôture caisse.</w:t>
            </w:r>
          </w:p>
        </w:tc>
      </w:tr>
    </w:tbl>
    <w:p/>
    <w:p>
      <w:pPr>
        <w:pStyle w:val="Heading1"/>
      </w:pPr>
      <w:r>
        <w:t>19. Exigences non fonctionnelles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Domaine</w:t>
            </w:r>
          </w:p>
        </w:tc>
        <w:tc>
          <w:tcPr>
            <w:tcW w:type="dxa" w:w="4968"/>
            <w:shd w:fill="087F5B"/>
          </w:tcPr>
          <w:p>
            <w:r>
              <w:rPr>
                <w:b/>
                <w:color w:val="FFFFFF"/>
                <w:sz w:val="18"/>
              </w:rPr>
              <w:t>Cible minimale</w:t>
            </w:r>
          </w:p>
        </w:tc>
      </w:tr>
      <w:tr>
        <w:tc>
          <w:tcPr>
            <w:tcW w:type="dxa" w:w="4968"/>
          </w:tcPr>
          <w:p>
            <w:r>
              <w:rPr>
                <w:rFonts w:ascii="Aptos" w:hAnsi="Aptos"/>
                <w:sz w:val="17"/>
              </w:rPr>
              <w:t>Disponibilité</w:t>
            </w:r>
          </w:p>
        </w:tc>
        <w:tc>
          <w:tcPr>
            <w:tcW w:type="dxa" w:w="4968"/>
          </w:tcPr>
          <w:p>
            <w:r>
              <w:rPr>
                <w:rFonts w:ascii="Aptos" w:hAnsi="Aptos"/>
                <w:sz w:val="17"/>
              </w:rPr>
              <w:t>99,5 % ou niveau contractuel.</w:t>
            </w:r>
          </w:p>
        </w:tc>
      </w:tr>
      <w:tr>
        <w:tc>
          <w:tcPr>
            <w:tcW w:type="dxa" w:w="4968"/>
            <w:shd w:fill="F3F8F6"/>
          </w:tcPr>
          <w:p>
            <w:r>
              <w:rPr>
                <w:rFonts w:ascii="Aptos" w:hAnsi="Aptos"/>
                <w:sz w:val="17"/>
              </w:rPr>
              <w:t>Performance</w:t>
            </w:r>
          </w:p>
        </w:tc>
        <w:tc>
          <w:tcPr>
            <w:tcW w:type="dxa" w:w="4968"/>
            <w:shd w:fill="F3F8F6"/>
          </w:tcPr>
          <w:p>
            <w:r>
              <w:rPr>
                <w:rFonts w:ascii="Aptos" w:hAnsi="Aptos"/>
                <w:sz w:val="17"/>
              </w:rPr>
              <w:t>Écrans usuels &lt; 2 s; recherche code &lt; 3 s.</w:t>
            </w:r>
          </w:p>
        </w:tc>
      </w:tr>
      <w:tr>
        <w:tc>
          <w:tcPr>
            <w:tcW w:type="dxa" w:w="4968"/>
          </w:tcPr>
          <w:p>
            <w:r>
              <w:rPr>
                <w:rFonts w:ascii="Aptos" w:hAnsi="Aptos"/>
                <w:sz w:val="17"/>
              </w:rPr>
              <w:t>Paiement</w:t>
            </w:r>
          </w:p>
        </w:tc>
        <w:tc>
          <w:tcPr>
            <w:tcW w:type="dxa" w:w="4968"/>
          </w:tcPr>
          <w:p>
            <w:r>
              <w:rPr>
                <w:rFonts w:ascii="Aptos" w:hAnsi="Aptos"/>
                <w:sz w:val="17"/>
              </w:rPr>
              <w:t>Atomique; aucun double paiement même avec double clic.</w:t>
            </w:r>
          </w:p>
        </w:tc>
      </w:tr>
      <w:tr>
        <w:tc>
          <w:tcPr>
            <w:tcW w:type="dxa" w:w="4968"/>
            <w:shd w:fill="F3F8F6"/>
          </w:tcPr>
          <w:p>
            <w:r>
              <w:rPr>
                <w:rFonts w:ascii="Aptos" w:hAnsi="Aptos"/>
                <w:sz w:val="17"/>
              </w:rPr>
              <w:t>Compatibilité</w:t>
            </w:r>
          </w:p>
        </w:tc>
        <w:tc>
          <w:tcPr>
            <w:tcW w:type="dxa" w:w="4968"/>
            <w:shd w:fill="F3F8F6"/>
          </w:tcPr>
          <w:p>
            <w:r>
              <w:rPr>
                <w:rFonts w:ascii="Aptos" w:hAnsi="Aptos"/>
                <w:sz w:val="17"/>
              </w:rPr>
              <w:t>Navigateurs récents, Android tablette/POS, imprimantes 58/80 mm.</w:t>
            </w:r>
          </w:p>
        </w:tc>
      </w:tr>
      <w:tr>
        <w:tc>
          <w:tcPr>
            <w:tcW w:type="dxa" w:w="4968"/>
          </w:tcPr>
          <w:p>
            <w:r>
              <w:rPr>
                <w:rFonts w:ascii="Aptos" w:hAnsi="Aptos"/>
                <w:sz w:val="17"/>
              </w:rPr>
              <w:t>Traçabilité</w:t>
            </w:r>
          </w:p>
        </w:tc>
        <w:tc>
          <w:tcPr>
            <w:tcW w:type="dxa" w:w="4968"/>
          </w:tcPr>
          <w:p>
            <w:r>
              <w:rPr>
                <w:rFonts w:ascii="Aptos" w:hAnsi="Aptos"/>
                <w:sz w:val="17"/>
              </w:rPr>
              <w:t>100 % des opérations sensibles auditées.</w:t>
            </w:r>
          </w:p>
        </w:tc>
      </w:tr>
      <w:tr>
        <w:tc>
          <w:tcPr>
            <w:tcW w:type="dxa" w:w="4968"/>
            <w:shd w:fill="F3F8F6"/>
          </w:tcPr>
          <w:p>
            <w:r>
              <w:rPr>
                <w:rFonts w:ascii="Aptos" w:hAnsi="Aptos"/>
                <w:sz w:val="17"/>
              </w:rPr>
              <w:t>Sauvegarde</w:t>
            </w:r>
          </w:p>
        </w:tc>
        <w:tc>
          <w:tcPr>
            <w:tcW w:type="dxa" w:w="4968"/>
            <w:shd w:fill="F3F8F6"/>
          </w:tcPr>
          <w:p>
            <w:r>
              <w:rPr>
                <w:rFonts w:ascii="Aptos" w:hAnsi="Aptos"/>
                <w:sz w:val="17"/>
              </w:rPr>
              <w:t>Automatique; objectifs RPO/RTO définis et restauration testée.</w:t>
            </w:r>
          </w:p>
        </w:tc>
      </w:tr>
      <w:tr>
        <w:tc>
          <w:tcPr>
            <w:tcW w:type="dxa" w:w="4968"/>
          </w:tcPr>
          <w:p>
            <w:r>
              <w:rPr>
                <w:rFonts w:ascii="Aptos" w:hAnsi="Aptos"/>
                <w:sz w:val="17"/>
              </w:rPr>
              <w:t>Localisation</w:t>
            </w:r>
          </w:p>
        </w:tc>
        <w:tc>
          <w:tcPr>
            <w:tcW w:type="dxa" w:w="4968"/>
          </w:tcPr>
          <w:p>
            <w:r>
              <w:rPr>
                <w:rFonts w:ascii="Aptos" w:hAnsi="Aptos"/>
                <w:sz w:val="17"/>
              </w:rPr>
              <w:t>Français initial; langues, dates, devises et fuseaux configurables.</w:t>
            </w:r>
          </w:p>
        </w:tc>
      </w:tr>
      <w:tr>
        <w:tc>
          <w:tcPr>
            <w:tcW w:type="dxa" w:w="4968"/>
            <w:shd w:fill="F3F8F6"/>
          </w:tcPr>
          <w:p>
            <w:r>
              <w:rPr>
                <w:rFonts w:ascii="Aptos" w:hAnsi="Aptos"/>
                <w:sz w:val="17"/>
              </w:rPr>
              <w:t>Accessibilité</w:t>
            </w:r>
          </w:p>
        </w:tc>
        <w:tc>
          <w:tcPr>
            <w:tcW w:type="dxa" w:w="4968"/>
            <w:shd w:fill="F3F8F6"/>
          </w:tcPr>
          <w:p>
            <w:r>
              <w:rPr>
                <w:rFonts w:ascii="Aptos" w:hAnsi="Aptos"/>
                <w:sz w:val="17"/>
              </w:rPr>
              <w:t>Contraste, clavier, libellés et erreurs compréhensibles.</w:t>
            </w:r>
          </w:p>
        </w:tc>
      </w:tr>
    </w:tbl>
    <w:p/>
    <w:p>
      <w:pPr>
        <w:pStyle w:val="Heading1"/>
      </w:pPr>
      <w:r>
        <w:t>20. Tests et critères d’acceptation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087F5B"/>
          </w:tcPr>
          <w:p>
            <w:r>
              <w:rPr>
                <w:b/>
                <w:color w:val="FFFFFF"/>
                <w:sz w:val="18"/>
              </w:rPr>
              <w:t>ID</w:t>
            </w:r>
          </w:p>
        </w:tc>
        <w:tc>
          <w:tcPr>
            <w:tcW w:type="dxa" w:w="4968"/>
            <w:shd w:fill="087F5B"/>
          </w:tcPr>
          <w:p>
            <w:r>
              <w:rPr>
                <w:b/>
                <w:color w:val="FFFFFF"/>
                <w:sz w:val="18"/>
              </w:rPr>
              <w:t>Critère</w:t>
            </w:r>
          </w:p>
        </w:tc>
      </w:tr>
      <w:tr>
        <w:tc>
          <w:tcPr>
            <w:tcW w:type="dxa" w:w="4968"/>
          </w:tcPr>
          <w:p>
            <w:r>
              <w:rPr>
                <w:rFonts w:ascii="Aptos" w:hAnsi="Aptos"/>
                <w:sz w:val="17"/>
              </w:rPr>
              <w:t>CA-01</w:t>
            </w:r>
          </w:p>
        </w:tc>
        <w:tc>
          <w:tcPr>
            <w:tcW w:type="dxa" w:w="4968"/>
          </w:tcPr>
          <w:p>
            <w:r>
              <w:rPr>
                <w:rFonts w:ascii="Aptos" w:hAnsi="Aptos"/>
                <w:sz w:val="17"/>
              </w:rPr>
              <w:t>Création de plusieurs bureaux avec codes uniques.</w:t>
            </w:r>
          </w:p>
        </w:tc>
      </w:tr>
      <w:tr>
        <w:tc>
          <w:tcPr>
            <w:tcW w:type="dxa" w:w="4968"/>
            <w:shd w:fill="F3F8F6"/>
          </w:tcPr>
          <w:p>
            <w:r>
              <w:rPr>
                <w:rFonts w:ascii="Aptos" w:hAnsi="Aptos"/>
                <w:sz w:val="17"/>
              </w:rPr>
              <w:t>CA-02</w:t>
            </w:r>
          </w:p>
        </w:tc>
        <w:tc>
          <w:tcPr>
            <w:tcW w:type="dxa" w:w="4968"/>
            <w:shd w:fill="F3F8F6"/>
          </w:tcPr>
          <w:p>
            <w:r>
              <w:rPr>
                <w:rFonts w:ascii="Aptos" w:hAnsi="Aptos"/>
                <w:sz w:val="17"/>
              </w:rPr>
              <w:t>Chaque agent ne voit que ses bureaux, caisses et fonctions.</w:t>
            </w:r>
          </w:p>
        </w:tc>
      </w:tr>
      <w:tr>
        <w:tc>
          <w:tcPr>
            <w:tcW w:type="dxa" w:w="4968"/>
          </w:tcPr>
          <w:p>
            <w:r>
              <w:rPr>
                <w:rFonts w:ascii="Aptos" w:hAnsi="Aptos"/>
                <w:sz w:val="17"/>
              </w:rPr>
              <w:t>CA-03</w:t>
            </w:r>
          </w:p>
        </w:tc>
        <w:tc>
          <w:tcPr>
            <w:tcW w:type="dxa" w:w="4968"/>
          </w:tcPr>
          <w:p>
            <w:r>
              <w:rPr>
                <w:rFonts w:ascii="Aptos" w:hAnsi="Aptos"/>
                <w:sz w:val="17"/>
              </w:rPr>
              <w:t>100 USD à 3 % produit 3 USD de frais et 103 USD à encaisser.</w:t>
            </w:r>
          </w:p>
        </w:tc>
      </w:tr>
      <w:tr>
        <w:tc>
          <w:tcPr>
            <w:tcW w:type="dxa" w:w="4968"/>
            <w:shd w:fill="F3F8F6"/>
          </w:tcPr>
          <w:p>
            <w:r>
              <w:rPr>
                <w:rFonts w:ascii="Aptos" w:hAnsi="Aptos"/>
                <w:sz w:val="17"/>
              </w:rPr>
              <w:t>CA-04</w:t>
            </w:r>
          </w:p>
        </w:tc>
        <w:tc>
          <w:tcPr>
            <w:tcW w:type="dxa" w:w="4968"/>
            <w:shd w:fill="F3F8F6"/>
          </w:tcPr>
          <w:p>
            <w:r>
              <w:rPr>
                <w:rFonts w:ascii="Aptos" w:hAnsi="Aptos"/>
                <w:sz w:val="17"/>
              </w:rPr>
              <w:t>Le code est unique, non séquentiel et retrouve le transfert.</w:t>
            </w:r>
          </w:p>
        </w:tc>
      </w:tr>
      <w:tr>
        <w:tc>
          <w:tcPr>
            <w:tcW w:type="dxa" w:w="4968"/>
          </w:tcPr>
          <w:p>
            <w:r>
              <w:rPr>
                <w:rFonts w:ascii="Aptos" w:hAnsi="Aptos"/>
                <w:sz w:val="17"/>
              </w:rPr>
              <w:t>CA-05</w:t>
            </w:r>
          </w:p>
        </w:tc>
        <w:tc>
          <w:tcPr>
            <w:tcW w:type="dxa" w:w="4968"/>
          </w:tcPr>
          <w:p>
            <w:r>
              <w:rPr>
                <w:rFonts w:ascii="Aptos" w:hAnsi="Aptos"/>
                <w:sz w:val="17"/>
              </w:rPr>
              <w:t>Le reçu est correct en 58 mm, 80 mm et PDF.</w:t>
            </w:r>
          </w:p>
        </w:tc>
      </w:tr>
      <w:tr>
        <w:tc>
          <w:tcPr>
            <w:tcW w:type="dxa" w:w="4968"/>
            <w:shd w:fill="F3F8F6"/>
          </w:tcPr>
          <w:p>
            <w:r>
              <w:rPr>
                <w:rFonts w:ascii="Aptos" w:hAnsi="Aptos"/>
                <w:sz w:val="17"/>
              </w:rPr>
              <w:t>CA-06</w:t>
            </w:r>
          </w:p>
        </w:tc>
        <w:tc>
          <w:tcPr>
            <w:tcW w:type="dxa" w:w="4968"/>
            <w:shd w:fill="F3F8F6"/>
          </w:tcPr>
          <w:p>
            <w:r>
              <w:rPr>
                <w:rFonts w:ascii="Aptos" w:hAnsi="Aptos"/>
                <w:sz w:val="17"/>
              </w:rPr>
              <w:t>La signature expéditeur est liée au transfert confirmé.</w:t>
            </w:r>
          </w:p>
        </w:tc>
      </w:tr>
      <w:tr>
        <w:tc>
          <w:tcPr>
            <w:tcW w:type="dxa" w:w="4968"/>
          </w:tcPr>
          <w:p>
            <w:r>
              <w:rPr>
                <w:rFonts w:ascii="Aptos" w:hAnsi="Aptos"/>
                <w:sz w:val="17"/>
              </w:rPr>
              <w:t>CA-07</w:t>
            </w:r>
          </w:p>
        </w:tc>
        <w:tc>
          <w:tcPr>
            <w:tcW w:type="dxa" w:w="4968"/>
          </w:tcPr>
          <w:p>
            <w:r>
              <w:rPr>
                <w:rFonts w:ascii="Aptos" w:hAnsi="Aptos"/>
                <w:sz w:val="17"/>
              </w:rPr>
              <w:t>Le paiement exige code, identité, caisse et signature bénéficiaire.</w:t>
            </w:r>
          </w:p>
        </w:tc>
      </w:tr>
      <w:tr>
        <w:tc>
          <w:tcPr>
            <w:tcW w:type="dxa" w:w="4968"/>
            <w:shd w:fill="F3F8F6"/>
          </w:tcPr>
          <w:p>
            <w:r>
              <w:rPr>
                <w:rFonts w:ascii="Aptos" w:hAnsi="Aptos"/>
                <w:sz w:val="17"/>
              </w:rPr>
              <w:t>CA-08</w:t>
            </w:r>
          </w:p>
        </w:tc>
        <w:tc>
          <w:tcPr>
            <w:tcW w:type="dxa" w:w="4968"/>
            <w:shd w:fill="F3F8F6"/>
          </w:tcPr>
          <w:p>
            <w:r>
              <w:rPr>
                <w:rFonts w:ascii="Aptos" w:hAnsi="Aptos"/>
                <w:sz w:val="17"/>
              </w:rPr>
              <w:t>Deux paiements simultanés ne produisent qu’un seul succès.</w:t>
            </w:r>
          </w:p>
        </w:tc>
      </w:tr>
      <w:tr>
        <w:tc>
          <w:tcPr>
            <w:tcW w:type="dxa" w:w="4968"/>
          </w:tcPr>
          <w:p>
            <w:r>
              <w:rPr>
                <w:rFonts w:ascii="Aptos" w:hAnsi="Aptos"/>
                <w:sz w:val="17"/>
              </w:rPr>
              <w:t>CA-09</w:t>
            </w:r>
          </w:p>
        </w:tc>
        <w:tc>
          <w:tcPr>
            <w:tcW w:type="dxa" w:w="4968"/>
          </w:tcPr>
          <w:p>
            <w:r>
              <w:rPr>
                <w:rFonts w:ascii="Aptos" w:hAnsi="Aptos"/>
                <w:sz w:val="17"/>
              </w:rPr>
              <w:t>Un transfert payé ne peut être annulé ou payé à nouveau.</w:t>
            </w:r>
          </w:p>
        </w:tc>
      </w:tr>
      <w:tr>
        <w:tc>
          <w:tcPr>
            <w:tcW w:type="dxa" w:w="4968"/>
            <w:shd w:fill="F3F8F6"/>
          </w:tcPr>
          <w:p>
            <w:r>
              <w:rPr>
                <w:rFonts w:ascii="Aptos" w:hAnsi="Aptos"/>
                <w:sz w:val="17"/>
              </w:rPr>
              <w:t>CA-10</w:t>
            </w:r>
          </w:p>
        </w:tc>
        <w:tc>
          <w:tcPr>
            <w:tcW w:type="dxa" w:w="4968"/>
            <w:shd w:fill="F3F8F6"/>
          </w:tcPr>
          <w:p>
            <w:r>
              <w:rPr>
                <w:rFonts w:ascii="Aptos" w:hAnsi="Aptos"/>
                <w:sz w:val="17"/>
              </w:rPr>
              <w:t>Modification, duplicata, export et déblocage sont audités.</w:t>
            </w:r>
          </w:p>
        </w:tc>
      </w:tr>
      <w:tr>
        <w:tc>
          <w:tcPr>
            <w:tcW w:type="dxa" w:w="4968"/>
          </w:tcPr>
          <w:p>
            <w:r>
              <w:rPr>
                <w:rFonts w:ascii="Aptos" w:hAnsi="Aptos"/>
                <w:sz w:val="17"/>
              </w:rPr>
              <w:t>CA-11</w:t>
            </w:r>
          </w:p>
        </w:tc>
        <w:tc>
          <w:tcPr>
            <w:tcW w:type="dxa" w:w="4968"/>
          </w:tcPr>
          <w:p>
            <w:r>
              <w:rPr>
                <w:rFonts w:ascii="Aptos" w:hAnsi="Aptos"/>
                <w:sz w:val="17"/>
              </w:rPr>
              <w:t>La clôture calcule solde théorique et écart.</w:t>
            </w:r>
          </w:p>
        </w:tc>
      </w:tr>
      <w:tr>
        <w:tc>
          <w:tcPr>
            <w:tcW w:type="dxa" w:w="4968"/>
            <w:shd w:fill="F3F8F6"/>
          </w:tcPr>
          <w:p>
            <w:r>
              <w:rPr>
                <w:rFonts w:ascii="Aptos" w:hAnsi="Aptos"/>
                <w:sz w:val="17"/>
              </w:rPr>
              <w:t>CA-12</w:t>
            </w:r>
          </w:p>
        </w:tc>
        <w:tc>
          <w:tcPr>
            <w:tcW w:type="dxa" w:w="4968"/>
            <w:shd w:fill="F3F8F6"/>
          </w:tcPr>
          <w:p>
            <w:r>
              <w:rPr>
                <w:rFonts w:ascii="Aptos" w:hAnsi="Aptos"/>
                <w:sz w:val="17"/>
              </w:rPr>
              <w:t>Les rapports ventilent montants, frais et commissions.</w:t>
            </w:r>
          </w:p>
        </w:tc>
      </w:tr>
      <w:tr>
        <w:tc>
          <w:tcPr>
            <w:tcW w:type="dxa" w:w="4968"/>
          </w:tcPr>
          <w:p>
            <w:r>
              <w:rPr>
                <w:rFonts w:ascii="Aptos" w:hAnsi="Aptos"/>
                <w:sz w:val="17"/>
              </w:rPr>
              <w:t>CA-13</w:t>
            </w:r>
          </w:p>
        </w:tc>
        <w:tc>
          <w:tcPr>
            <w:tcW w:type="dxa" w:w="4968"/>
          </w:tcPr>
          <w:p>
            <w:r>
              <w:rPr>
                <w:rFonts w:ascii="Aptos" w:hAnsi="Aptos"/>
                <w:sz w:val="17"/>
              </w:rPr>
              <w:t>Aucune donnée d’une société n’est visible par une autre.</w:t>
            </w:r>
          </w:p>
        </w:tc>
      </w:tr>
      <w:tr>
        <w:tc>
          <w:tcPr>
            <w:tcW w:type="dxa" w:w="4968"/>
            <w:shd w:fill="F3F8F6"/>
          </w:tcPr>
          <w:p>
            <w:r>
              <w:rPr>
                <w:rFonts w:ascii="Aptos" w:hAnsi="Aptos"/>
                <w:sz w:val="17"/>
              </w:rPr>
              <w:t>CA-14</w:t>
            </w:r>
          </w:p>
        </w:tc>
        <w:tc>
          <w:tcPr>
            <w:tcW w:type="dxa" w:w="4968"/>
            <w:shd w:fill="F3F8F6"/>
          </w:tcPr>
          <w:p>
            <w:r>
              <w:rPr>
                <w:rFonts w:ascii="Aptos" w:hAnsi="Aptos"/>
                <w:sz w:val="17"/>
              </w:rPr>
              <w:t>La sauvegarde et la restauration sont testées.</w:t>
            </w:r>
          </w:p>
        </w:tc>
      </w:tr>
    </w:tbl>
    <w:p/>
    <w:p>
      <w:pPr>
        <w:pStyle w:val="Heading1"/>
      </w:pPr>
      <w:r>
        <w:t>21. Plan de réalisation indicatif</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fill="087F5B"/>
          </w:tcPr>
          <w:p>
            <w:r>
              <w:rPr>
                <w:b/>
                <w:color w:val="FFFFFF"/>
                <w:sz w:val="18"/>
              </w:rPr>
              <w:t>Phase</w:t>
            </w:r>
          </w:p>
        </w:tc>
        <w:tc>
          <w:tcPr>
            <w:tcW w:type="dxa" w:w="3312"/>
            <w:shd w:fill="087F5B"/>
          </w:tcPr>
          <w:p>
            <w:r>
              <w:rPr>
                <w:b/>
                <w:color w:val="FFFFFF"/>
                <w:sz w:val="18"/>
              </w:rPr>
              <w:t>Livrables</w:t>
            </w:r>
          </w:p>
        </w:tc>
        <w:tc>
          <w:tcPr>
            <w:tcW w:type="dxa" w:w="3312"/>
            <w:shd w:fill="087F5B"/>
          </w:tcPr>
          <w:p>
            <w:r>
              <w:rPr>
                <w:b/>
                <w:color w:val="FFFFFF"/>
                <w:sz w:val="18"/>
              </w:rPr>
              <w:t>Durée</w:t>
            </w:r>
          </w:p>
        </w:tc>
      </w:tr>
      <w:tr>
        <w:tc>
          <w:tcPr>
            <w:tcW w:type="dxa" w:w="3312"/>
          </w:tcPr>
          <w:p>
            <w:r>
              <w:rPr>
                <w:rFonts w:ascii="Aptos" w:hAnsi="Aptos"/>
                <w:sz w:val="17"/>
              </w:rPr>
              <w:t>Cadrage</w:t>
            </w:r>
          </w:p>
        </w:tc>
        <w:tc>
          <w:tcPr>
            <w:tcW w:type="dxa" w:w="3312"/>
          </w:tcPr>
          <w:p>
            <w:r>
              <w:rPr>
                <w:rFonts w:ascii="Aptos" w:hAnsi="Aptos"/>
                <w:sz w:val="17"/>
              </w:rPr>
              <w:t>Flux, réglementation, règles et données</w:t>
            </w:r>
          </w:p>
        </w:tc>
        <w:tc>
          <w:tcPr>
            <w:tcW w:type="dxa" w:w="3312"/>
          </w:tcPr>
          <w:p>
            <w:r>
              <w:rPr>
                <w:rFonts w:ascii="Aptos" w:hAnsi="Aptos"/>
                <w:sz w:val="17"/>
              </w:rPr>
              <w:t>2–3 sem.</w:t>
            </w:r>
          </w:p>
        </w:tc>
      </w:tr>
      <w:tr>
        <w:tc>
          <w:tcPr>
            <w:tcW w:type="dxa" w:w="3312"/>
            <w:shd w:fill="F3F8F6"/>
          </w:tcPr>
          <w:p>
            <w:r>
              <w:rPr>
                <w:rFonts w:ascii="Aptos" w:hAnsi="Aptos"/>
                <w:sz w:val="17"/>
              </w:rPr>
              <w:t>UX/UI</w:t>
            </w:r>
          </w:p>
        </w:tc>
        <w:tc>
          <w:tcPr>
            <w:tcW w:type="dxa" w:w="3312"/>
            <w:shd w:fill="F3F8F6"/>
          </w:tcPr>
          <w:p>
            <w:r>
              <w:rPr>
                <w:rFonts w:ascii="Aptos" w:hAnsi="Aptos"/>
                <w:sz w:val="17"/>
              </w:rPr>
              <w:t>Interfaces administration, envoi, retrait et POS</w:t>
            </w:r>
          </w:p>
        </w:tc>
        <w:tc>
          <w:tcPr>
            <w:tcW w:type="dxa" w:w="3312"/>
            <w:shd w:fill="F3F8F6"/>
          </w:tcPr>
          <w:p>
            <w:r>
              <w:rPr>
                <w:rFonts w:ascii="Aptos" w:hAnsi="Aptos"/>
                <w:sz w:val="17"/>
              </w:rPr>
              <w:t>2–3 sem.</w:t>
            </w:r>
          </w:p>
        </w:tc>
      </w:tr>
      <w:tr>
        <w:tc>
          <w:tcPr>
            <w:tcW w:type="dxa" w:w="3312"/>
          </w:tcPr>
          <w:p>
            <w:r>
              <w:rPr>
                <w:rFonts w:ascii="Aptos" w:hAnsi="Aptos"/>
                <w:sz w:val="17"/>
              </w:rPr>
              <w:t>MVP</w:t>
            </w:r>
          </w:p>
        </w:tc>
        <w:tc>
          <w:tcPr>
            <w:tcW w:type="dxa" w:w="3312"/>
          </w:tcPr>
          <w:p>
            <w:r>
              <w:rPr>
                <w:rFonts w:ascii="Aptos" w:hAnsi="Aptos"/>
                <w:sz w:val="17"/>
              </w:rPr>
              <w:t>Comptes, bureaux, frais, transfert, signatures, reçu</w:t>
            </w:r>
          </w:p>
        </w:tc>
        <w:tc>
          <w:tcPr>
            <w:tcW w:type="dxa" w:w="3312"/>
          </w:tcPr>
          <w:p>
            <w:r>
              <w:rPr>
                <w:rFonts w:ascii="Aptos" w:hAnsi="Aptos"/>
                <w:sz w:val="17"/>
              </w:rPr>
              <w:t>8–12 sem.</w:t>
            </w:r>
          </w:p>
        </w:tc>
      </w:tr>
      <w:tr>
        <w:tc>
          <w:tcPr>
            <w:tcW w:type="dxa" w:w="3312"/>
            <w:shd w:fill="F3F8F6"/>
          </w:tcPr>
          <w:p>
            <w:r>
              <w:rPr>
                <w:rFonts w:ascii="Aptos" w:hAnsi="Aptos"/>
                <w:sz w:val="17"/>
              </w:rPr>
              <w:t>Finance</w:t>
            </w:r>
          </w:p>
        </w:tc>
        <w:tc>
          <w:tcPr>
            <w:tcW w:type="dxa" w:w="3312"/>
            <w:shd w:fill="F3F8F6"/>
          </w:tcPr>
          <w:p>
            <w:r>
              <w:rPr>
                <w:rFonts w:ascii="Aptos" w:hAnsi="Aptos"/>
                <w:sz w:val="17"/>
              </w:rPr>
              <w:t>Caisses, commissions, rapprochement et rapports</w:t>
            </w:r>
          </w:p>
        </w:tc>
        <w:tc>
          <w:tcPr>
            <w:tcW w:type="dxa" w:w="3312"/>
            <w:shd w:fill="F3F8F6"/>
          </w:tcPr>
          <w:p>
            <w:r>
              <w:rPr>
                <w:rFonts w:ascii="Aptos" w:hAnsi="Aptos"/>
                <w:sz w:val="17"/>
              </w:rPr>
              <w:t>4–6 sem.</w:t>
            </w:r>
          </w:p>
        </w:tc>
      </w:tr>
      <w:tr>
        <w:tc>
          <w:tcPr>
            <w:tcW w:type="dxa" w:w="3312"/>
          </w:tcPr>
          <w:p>
            <w:r>
              <w:rPr>
                <w:rFonts w:ascii="Aptos" w:hAnsi="Aptos"/>
                <w:sz w:val="17"/>
              </w:rPr>
              <w:t>Tests</w:t>
            </w:r>
          </w:p>
        </w:tc>
        <w:tc>
          <w:tcPr>
            <w:tcW w:type="dxa" w:w="3312"/>
          </w:tcPr>
          <w:p>
            <w:r>
              <w:rPr>
                <w:rFonts w:ascii="Aptos" w:hAnsi="Aptos"/>
                <w:sz w:val="17"/>
              </w:rPr>
              <w:t>Fonctionnel, sécurité, charge, POS et sauvegarde</w:t>
            </w:r>
          </w:p>
        </w:tc>
        <w:tc>
          <w:tcPr>
            <w:tcW w:type="dxa" w:w="3312"/>
          </w:tcPr>
          <w:p>
            <w:r>
              <w:rPr>
                <w:rFonts w:ascii="Aptos" w:hAnsi="Aptos"/>
                <w:sz w:val="17"/>
              </w:rPr>
              <w:t>3–5 sem.</w:t>
            </w:r>
          </w:p>
        </w:tc>
      </w:tr>
      <w:tr>
        <w:tc>
          <w:tcPr>
            <w:tcW w:type="dxa" w:w="3312"/>
            <w:shd w:fill="F3F8F6"/>
          </w:tcPr>
          <w:p>
            <w:r>
              <w:rPr>
                <w:rFonts w:ascii="Aptos" w:hAnsi="Aptos"/>
                <w:sz w:val="17"/>
              </w:rPr>
              <w:t>Pilote</w:t>
            </w:r>
          </w:p>
        </w:tc>
        <w:tc>
          <w:tcPr>
            <w:tcW w:type="dxa" w:w="3312"/>
            <w:shd w:fill="F3F8F6"/>
          </w:tcPr>
          <w:p>
            <w:r>
              <w:rPr>
                <w:rFonts w:ascii="Aptos" w:hAnsi="Aptos"/>
                <w:sz w:val="17"/>
              </w:rPr>
              <w:t>2 à 5 bureaux, formation et corrections</w:t>
            </w:r>
          </w:p>
        </w:tc>
        <w:tc>
          <w:tcPr>
            <w:tcW w:type="dxa" w:w="3312"/>
            <w:shd w:fill="F3F8F6"/>
          </w:tcPr>
          <w:p>
            <w:r>
              <w:rPr>
                <w:rFonts w:ascii="Aptos" w:hAnsi="Aptos"/>
                <w:sz w:val="17"/>
              </w:rPr>
              <w:t>4 sem.</w:t>
            </w:r>
          </w:p>
        </w:tc>
      </w:tr>
      <w:tr>
        <w:tc>
          <w:tcPr>
            <w:tcW w:type="dxa" w:w="3312"/>
          </w:tcPr>
          <w:p>
            <w:r>
              <w:rPr>
                <w:rFonts w:ascii="Aptos" w:hAnsi="Aptos"/>
                <w:sz w:val="17"/>
              </w:rPr>
              <w:t>Déploiement</w:t>
            </w:r>
          </w:p>
        </w:tc>
        <w:tc>
          <w:tcPr>
            <w:tcW w:type="dxa" w:w="3312"/>
          </w:tcPr>
          <w:p>
            <w:r>
              <w:rPr>
                <w:rFonts w:ascii="Aptos" w:hAnsi="Aptos"/>
                <w:sz w:val="17"/>
              </w:rPr>
              <w:t>Production, supervision et maintenance</w:t>
            </w:r>
          </w:p>
        </w:tc>
        <w:tc>
          <w:tcPr>
            <w:tcW w:type="dxa" w:w="3312"/>
          </w:tcPr>
          <w:p>
            <w:r>
              <w:rPr>
                <w:rFonts w:ascii="Aptos" w:hAnsi="Aptos"/>
                <w:sz w:val="17"/>
              </w:rPr>
              <w:t>À définir</w:t>
            </w:r>
          </w:p>
        </w:tc>
      </w:tr>
    </w:tbl>
    <w:p/>
    <w:p>
      <w:pPr>
        <w:pStyle w:val="Heading1"/>
      </w:pPr>
      <w:r>
        <w:t>22. Livrables exigés du développeur</w:t>
      </w:r>
    </w:p>
    <w:p>
      <w:pPr>
        <w:pStyle w:val="ListBullet"/>
      </w:pPr>
      <w:r>
        <w:t>Maquettes UX/UI et design system.</w:t>
      </w:r>
    </w:p>
    <w:p>
      <w:pPr>
        <w:pStyle w:val="ListBullet"/>
      </w:pPr>
      <w:r>
        <w:t>Code source documenté et procédure d’installation.</w:t>
      </w:r>
    </w:p>
    <w:p>
      <w:pPr>
        <w:pStyle w:val="ListBullet"/>
      </w:pPr>
      <w:r>
        <w:t>Base, migrations et dictionnaire des données.</w:t>
      </w:r>
    </w:p>
    <w:p>
      <w:pPr>
        <w:pStyle w:val="ListBullet"/>
      </w:pPr>
      <w:r>
        <w:t>API documentée OpenAPI/Swagger et tests.</w:t>
      </w:r>
    </w:p>
    <w:p>
      <w:pPr>
        <w:pStyle w:val="ListBullet"/>
      </w:pPr>
      <w:r>
        <w:t>Application web/PWA et configuration POS.</w:t>
      </w:r>
    </w:p>
    <w:p>
      <w:pPr>
        <w:pStyle w:val="ListBullet"/>
      </w:pPr>
      <w:r>
        <w:t>Console d’administration, rapports et audit.</w:t>
      </w:r>
    </w:p>
    <w:p>
      <w:pPr>
        <w:pStyle w:val="ListBullet"/>
      </w:pPr>
      <w:r>
        <w:t>Résultats des tests fonctionnels, sécurité et charge.</w:t>
      </w:r>
    </w:p>
    <w:p>
      <w:pPr>
        <w:pStyle w:val="ListBullet"/>
      </w:pPr>
      <w:r>
        <w:t>Guides utilisateur, administrateur et support.</w:t>
      </w:r>
    </w:p>
    <w:p>
      <w:pPr>
        <w:pStyle w:val="ListBullet"/>
      </w:pPr>
      <w:r>
        <w:t>Formation des agents pilotes.</w:t>
      </w:r>
    </w:p>
    <w:p>
      <w:pPr>
        <w:pStyle w:val="ListBullet"/>
      </w:pPr>
      <w:r>
        <w:t>Plan de sauvegarde, restauration, supervision et maintenance.</w:t>
      </w:r>
    </w:p>
    <w:p>
      <w:pPr>
        <w:pStyle w:val="Heading1"/>
      </w:pPr>
      <w:r>
        <w:t>23. Décisions à valider avant développement</w:t>
      </w:r>
    </w:p>
    <w:p>
      <w:pPr>
        <w:pStyle w:val="ListBullet"/>
      </w:pPr>
      <w:r>
        <w:t>Nom et identité visuelle du logiciel.</w:t>
      </w:r>
    </w:p>
    <w:p>
      <w:pPr>
        <w:pStyle w:val="ListBullet"/>
      </w:pPr>
      <w:r>
        <w:t>Pays de lancement et réglementation applicable.</w:t>
      </w:r>
    </w:p>
    <w:p>
      <w:pPr>
        <w:pStyle w:val="ListBullet"/>
      </w:pPr>
      <w:r>
        <w:t>Transferts nationaux ou internationaux.</w:t>
      </w:r>
    </w:p>
    <w:p>
      <w:pPr>
        <w:pStyle w:val="ListBullet"/>
      </w:pPr>
      <w:r>
        <w:t>Devises et règles de change.</w:t>
      </w:r>
    </w:p>
    <w:p>
      <w:pPr>
        <w:pStyle w:val="ListBullet"/>
      </w:pPr>
      <w:r>
        <w:t>Tarif 3 %, tranches, minimum/maximum et partage des commissions.</w:t>
      </w:r>
    </w:p>
    <w:p>
      <w:pPr>
        <w:pStyle w:val="ListBullet"/>
      </w:pPr>
      <w:r>
        <w:t>Niveaux KYC, pièces acceptées et plafonds.</w:t>
      </w:r>
    </w:p>
    <w:p>
      <w:pPr>
        <w:pStyle w:val="ListBullet"/>
      </w:pPr>
      <w:r>
        <w:t>Durée du code et procédure de remboursement.</w:t>
      </w:r>
    </w:p>
    <w:p>
      <w:pPr>
        <w:pStyle w:val="ListBullet"/>
      </w:pPr>
      <w:r>
        <w:t>Type de signature et valeur juridique recherchée.</w:t>
      </w:r>
    </w:p>
    <w:p>
      <w:pPr>
        <w:pStyle w:val="ListBullet"/>
      </w:pPr>
      <w:r>
        <w:t>Imprimantes POS et canaux SMS/e-mail.</w:t>
      </w:r>
    </w:p>
    <w:p>
      <w:pPr>
        <w:pStyle w:val="ListBullet"/>
      </w:pPr>
      <w:r>
        <w:t>Nombre d’agences, bureaux, agents et opérations par jour.</w:t>
      </w:r>
    </w:p>
    <w:p>
      <w:pPr>
        <w:pStyle w:val="ListBullet"/>
      </w:pPr>
      <w:r>
        <w:t>Hébergement, localisation des données, disponibilité et budget.</w:t>
      </w:r>
    </w:p>
    <w:p>
      <w:pPr>
        <w:pStyle w:val="ListBullet"/>
      </w:pPr>
      <w:r>
        <w:t>Intégrations futures : banques, mobile money, identité et AML.</w:t>
      </w:r>
    </w:p>
    <w:p>
      <w:pPr>
        <w:pStyle w:val="Heading1"/>
      </w:pPr>
      <w:r>
        <w:t>24. Conclusion</w:t>
      </w:r>
    </w:p>
    <w:p>
      <w:r>
        <w:t>Le logiciel doit remplacer intégralement le carnet papier par une chaîne numérique contrôlée. Chaque opération gardera l’identité des acteurs, le lieu, la caisse, les montants, le taux de frais, les signatures et les preuves. Le MVP prioritaire comprend la création des agences et bureaux, les comptes agents, le tarif de 3 %, l’envoi, le code unique, le reçu POS, la recherche, le paiement, les deux signatures, la caisse, l’audit et les rapports.</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E"/>
        <w:sz w:val="16"/>
      </w:rPr>
      <w:t xml:space="preserve">Version 1.0 • 17 juillet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87F5B"/>
        <w:sz w:val="16"/>
      </w:rPr>
      <w:t>TRANSFERT POS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23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F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1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7F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Logiciel de transfert entre agences POS</dc:title>
  <dc:subject/>
  <dc:creator>Document de spécifications fonctionnelles et techniques</dc:creator>
  <cp:keywords/>
  <dc:description>generated by python-docx</dc:description>
  <cp:lastModifiedBy/>
  <cp:revision>1</cp:revision>
  <dcterms:created xsi:type="dcterms:W3CDTF">2013-12-23T23:15:00Z</dcterms:created>
  <dcterms:modified xsi:type="dcterms:W3CDTF">2013-12-23T23:15:00Z</dcterms:modified>
  <cp:category/>
</cp:coreProperties>
</file>