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bookmarkEnd w:id="1"/>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study area is discretized into 1,156 spatial cells, of which 274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distributed launch bases. The DSS captures 2.13× more risk than random patrol (95% CI 1.97–2.31)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campo de intensidade espacial (Secção 3.3)</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3.3,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19 das 274 células de alto risco situadas mais ao largo permanecem estruturalmente fora de alcance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Uma única base bem posicionada passa a alcançar a totalidade das 274 células de alto risco, e o problema de cobertura deixa de ser sobre se é possível cobrir o risco, para passar a ser sobre como o cobrir de forma persistente e eficiente.</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conduz a 3 aeronaves simultâneas e a uma frota total de 9 AR5. A frota mínima de 9 AR5 mantém-se quer no cenário com base central (Montijo, BA6), quer no cenário de rede distribuída de doze aeródromos (Secção 5.3); a rede distribuída reduz tempos médios de trânsito (55,7 km vs 120,9 km) e aumenta robustez operacional.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Dado que alguns parâmetros do modelo de dimensionamento são estimativas (largura útil do sensor, período de revisita e disponibilidade), aferiu-se a robustez variando-os isoladamente (Figura 19; Tabela B6). A frota é mais sensível à largura útil e à revisita: sensor de 50 km ou revisita de 6 h reduzem a frota de 11 para 6 aeronaves; exigências mais estritas (20 km ou 2 h) elevam-na para 15 AR5. A disponibilidade operacional varia a frota entre 11 (D = 0,60) e 7 (D = 0,90). O investimento que mais reduz o efetivo é melhorar sensores e manutenção, não adquirir mais aeronaves à toa. A recomendação de 11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O procedimento de arranque da plataforma (instalação de dependências e lançamento dos serviços) está descrito na Secção 6 e no ficheiro plataforma/README.md.</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Confirma visualmente Q1–Q3 (setores de risco, bases MCLP, ganho 2,13×), demonstra o impacto do vento no alcance</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2023–2024: 85,2% (n=54); interceções documentadas: 75% em zona de alto risco; patrulha SAD 2,13× vs aleatória.sembarques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(raio de 90 km; células de alto risco alcançáveis com as doze bases; 274 células de alto risco).</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240</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19</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213</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46</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169</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11 · 0,70 → 9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