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Foram utilizados dados provenientes da UNODC, da EMODnet, de 20 desembarques em Portugal e de dados da IOM em meio marítimo. 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system is built on heterogeneous real-world datasets from the UNODC, the EMODnet, 20 documented maritime landings in Portugal, and maritime migration data from the IOM. 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distributed launch bases. The DSS captures 2.13× more risk than random patrol (95% CI 1.97–2.31)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3.3)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274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Quando se substitui esse raio pela autonomia real da aeronave que, descontando o trânsito e mantendo uma reserva prudente, permite um raio de alcance da ordem dos 450 a 650 km , o quadro inverte-se por completo. Uma única base bem posicionada passa a alcançar a totalidade das 274 células de alto risco, e o problema de cobertura deixa de ser sobre se é possível cobrir o risco, para passar a ser sobre como o cobrir de forma persistente e eficiente. A Figura 17 contrasta visualmente os dois paradigmas.</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AR5; exigências mais estritas (sensor de 20 km ou revisita de 2 h) elevam-na para 15 AR5. A disponibilidade operacional varia a frota entre 11 (D = 0,60) e 7 (D = 0,90). O investimento que mais reduz o efetivo é melhorar sensores e manutenção.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meteorologia condiciona directamente o planeamento: cada rota calcula vento efetivo (estação Open-Meteo mais próxima do sector), fator de redução de alcance, autonomia útil e viabilidade operacional (limiar 18 m/s). O plano 24 h atribui vento por sector costeiro, reflectindo a variabilidade ao longo do litoral. 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O procedimento de arranque da plataforma (instalação de dependências e lançamento dos serviços) está descrito na Secção 6 e no ficheiro plataforma/README.md.</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plataforma consome resultados.json, validacao.json e camadas_mapa.json, permitindo exercitar cenários com meteo live, rotas OR-Tools e alertas WebSocket. Confirma visualmente Q1–Q3 (setores de risco, bases MCLP, ganho 2,13×), demonstra o impacto do vento no alcance e suporta a apresentação oral via cenários pré-definidos (Figura 23). Modo demonstração AIS activa-se automaticamente sem chave API; com chave AISStream, o tráfego passa a tempo real.</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2023–2024: 85,2% (n=54); interceções documentadas: 75% em zona de alto risco; patrulha SAD 2,13× vs aleatória.sembarques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