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Foram utilizados dados provenientes da UNODC, da EMODnet, de 20 desembarques em Portugal e de dados da IOM em meio marítimo. 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system is built on heterogeneous real-world datasets from the UNODC, the EMODnet, 20 documented maritime landings in Portugal, and maritime migration data from the IOM. 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distributed launch bases. The DSS captures 2.13× more risk than random patrol (95% CI 1.97–2.31)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3.3)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31 das 274 células de alto risco situadas mais ao largo permanecem estruturalmente fora de alcance (Tabela B3) e a situação agrava-se com vento desfavorável, subindo as não cobríveis para 58 (vento moderado) e 100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Quando se substitui esse raio pela autonomia real da aeronave que, descontando o trânsito e mantendo uma reserva prudente, permite um raio de alcance da ordem dos 450 a 650 km , o quadro inverte-se por completo. Uma única base bem posicionada passa a alcançar a totalidade das 274 células de alto risco, e o problema de cobertura deixa de ser sobre se é possível cobrir o risco, para passar a ser sobre como o cobrir de forma persistente e eficiente. A Figura 17 contrasta visualmente os dois paradigmas.</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AR5; exigências mais estritas (sensor de 20 km ou revisita de 2 h) elevam-na para 15 AR5. A disponibilidade operacional varia a frota entre 11 (D = 0,60) e 7 (D = 0,90). O investimento que mais reduz o efetivo é melhorar sensores e manutenção.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meteorologia condiciona directamente o planeamento: cada rota calcula vento efetivo (estação Open-Meteo mais próxima do sector), fator de redução de alcance, autonomia útil e viabilidade operacional (limiar 18 m/s). O plano 24 h atribui vento por sector costeiro, reflectindo a variabilidade ao longo do litoral. 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O procedimento de arranque da plataforma (instalação de dependências e lançamento dos serviços) está descrito na Secção 6 e no ficheiro plataforma/README.md.</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plataforma consome resultados.json, validacao.json e camadas_mapa.json, permitindo exercitar cenários com meteo live, rotas OR-Tools e alertas WebSocket. Confirma visualmente Q1–Q3 (setores de risco, bases MCLP, ganho 2,13×), demonstra o impacto do vento no alcance e suporta a apresentação oral via cenários pré-definidos (Figura 23). Modo demonstração AIS activa-se automaticamente sem chave API; com chave AISStream, o tráfego passa a tempo real.</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2023–2024: 85,2% (n=54); interceções documentadas: 75% em zona de alto risco; patrulha SAD 2,13× vs aleatória.sembarques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243</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216</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174</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