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(rede distribuída).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study area is discretized into 1,156 spatial cells, of which 274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distributed launch bases. The DSS captures 2.13× more risk than random patrol (95% CI 1.97–2.31)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5.4)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5.4,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274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Uma única base bem posicionada passa a alcançar a totalidade das 274 células de alto risco, e o problema de cobertura deixa de ser sobre se é possível cobrir o risco, para passar a ser sobre como o cobrir de forma persistente e eficiente.</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com a rede completa de doze bases (Secção 5.3), conduz a 3 aeronaves simultâneas e a uma frota total de 9 AR5, com distância média de 56,2 km e tempo de estação de 13,9 h.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aeronaves; exigências mais estritas (20 km ou 2 h) elevam-na para 14. A disponibilidade varia a frota entre 13 (D = 0,60) e 9 (D = 0,90).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O procedimento de arranque da plataforma (instalação de dependências e lançamento dos serviços) está descrito no Secção 6 e plataforma/README.md - Reprodução computacional e arranque da plataforma.</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Confirma visualmente Q1–Q3 (setores de risco, bases MCLP, ganho 2,13×), demonstra o impacto do vento no alcance</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(274,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2023–2024: 85,2% (n=54); interceções documentadas: 75% em zona de alto risco; patrulha SAD 2,13× vs aleatória.sembarques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274 células como alto risco. O mapa de treino do backtest (droga e imigração temporais ≤ 2022 + pesca/poluição estáticas) regista 170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274 células patrulhadas (23,7 % da grelha), o SAD captura 50,4 % da massa de risco frente a 23,7 % de uma patrulha aleatória. O índice de Gini (0,405)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2,05× / 2,13× / 2,23×;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arredondados (Secção 4.5). Classificação MLP: ROC-AUC elevada mas precisão da classe minoritária modesta (3,4 % marítimo). Índice offline vs. plataforma: risco estratégico estático. Validação externa: interceções documentadas (Secção 7.3; 4 eventos,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13 · 0,70 → 11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