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p/>
    <w:p>
      <w:pPr>
        <w:spacing w:before="0" w:after="0" w:line="480" w:lineRule="auto"/>
        <w:ind w:firstLine="0"/>
        <w:jc w:val="center"/>
      </w:pPr>
      <w:r>
        <w:rPr>
          <w:rFonts w:ascii="Times New Roman" w:hAnsi="Times New Roman"/>
          <w:b w:val="0"/>
          <w:i w:val="0"/>
          <w:sz w:val="24"/>
        </w:rPr>
        <w:t>DOCENTE: Professor Ricardo Moura</w:t>
      </w:r>
    </w:p>
    <w:p>
      <w:pPr>
        <w:spacing w:before="0" w:after="0" w:line="480" w:lineRule="auto"/>
        <w:ind w:firstLine="0"/>
        <w:jc w:val="center"/>
      </w:pPr>
      <w:r>
        <w:rPr>
          <w:rFonts w:ascii="Times New Roman" w:hAnsi="Times New Roman"/>
          <w:b w:val="0"/>
          <w:i w:val="0"/>
          <w:sz w:val="24"/>
        </w:rPr>
        <w:t>Alfeite</w:t>
      </w:r>
    </w:p>
    <w:p>
      <w:pPr>
        <w:spacing w:before="0" w:after="0" w:line="480" w:lineRule="auto"/>
        <w:ind w:firstLine="0"/>
        <w:jc w:val="center"/>
      </w:pPr>
      <w:r>
        <w:rPr>
          <w:rFonts w:ascii="Times New Roman" w:hAnsi="Times New Roman"/>
          <w:b w:val="0"/>
          <w:i w:val="0"/>
          <w:sz w:val="24"/>
        </w:rPr>
        <w:t>2026</w:t>
      </w:r>
    </w:p>
    <w:p/>
    <w:p>
      <w:pPr>
        <w:spacing w:before="0" w:after="0" w:line="480" w:lineRule="auto"/>
        <w:ind w:firstLine="0"/>
        <w:jc w:val="center"/>
      </w:pPr>
      <w:r>
        <w:rPr>
          <w:rFonts w:ascii="Times New Roman" w:hAnsi="Times New Roman"/>
          <w:b/>
          <w:i w:val="0"/>
          <w:sz w:val="28"/>
        </w:rPr>
        <w:t>Escola Naval</w:t>
      </w:r>
    </w:p>
    <w:p>
      <w:pPr>
        <w:spacing w:before="0" w:after="0" w:line="480" w:lineRule="auto"/>
        <w:ind w:firstLine="0"/>
        <w:jc w:val="center"/>
      </w:pPr>
      <w:r>
        <w:rPr>
          <w:rFonts w:ascii="Times New Roman" w:hAnsi="Times New Roman"/>
          <w:b w:val="0"/>
          <w:i w:val="0"/>
          <w:sz w:val="24"/>
        </w:rPr>
        <w:t>CT 302 – Sistemas de Apoio à Decisão</w:t>
      </w:r>
    </w:p>
    <w:p/>
    <w:p>
      <w:pPr>
        <w:spacing w:before="0" w:after="0" w:line="480" w:lineRule="auto"/>
        <w:ind w:firstLine="0"/>
        <w:jc w:val="center"/>
      </w:pPr>
      <w:r>
        <w:rPr>
          <w:rFonts w:ascii="Times New Roman" w:hAnsi="Times New Roman"/>
          <w:b/>
          <w:i w:val="0"/>
          <w:sz w:val="26"/>
        </w:rPr>
        <w:t>SAD para Vigilância Costeira de Portugal Continental com o UAV TEKEVER AR5</w:t>
      </w:r>
    </w:p>
    <w:p/>
    <w:p>
      <w:pPr>
        <w:spacing w:before="0" w:after="0" w:line="480" w:lineRule="auto"/>
        <w:ind w:firstLine="0"/>
        <w:jc w:val="center"/>
      </w:pPr>
      <w:r>
        <w:rPr>
          <w:rFonts w:ascii="Times New Roman" w:hAnsi="Times New Roman"/>
          <w:b w:val="0"/>
          <w:i w:val="0"/>
          <w:sz w:val="24"/>
        </w:rPr>
        <w:t>CAD M Santos Neto</w:t>
      </w:r>
    </w:p>
    <w:p>
      <w:pPr>
        <w:spacing w:before="0" w:after="0" w:line="480" w:lineRule="auto"/>
        <w:ind w:firstLine="0"/>
        <w:jc w:val="center"/>
      </w:pPr>
      <w:r>
        <w:rPr>
          <w:rFonts w:ascii="Times New Roman" w:hAnsi="Times New Roman"/>
          <w:b w:val="0"/>
          <w:i w:val="0"/>
          <w:sz w:val="24"/>
        </w:rPr>
        <w:t>CAD EN-AEL Canotilho Castro</w:t>
      </w:r>
    </w:p>
    <w:p>
      <w:pPr>
        <w:spacing w:before="0" w:after="0" w:line="480" w:lineRule="auto"/>
        <w:ind w:firstLine="0"/>
        <w:jc w:val="center"/>
      </w:pPr>
      <w:r>
        <w:rPr>
          <w:rFonts w:ascii="Times New Roman" w:hAnsi="Times New Roman"/>
          <w:b w:val="0"/>
          <w:i w:val="0"/>
          <w:sz w:val="24"/>
        </w:rPr>
        <w:t>CAD M Silva Guerreiro</w:t>
      </w:r>
    </w:p>
    <w:p>
      <w:pPr>
        <w:spacing w:before="0" w:after="0" w:line="480" w:lineRule="auto"/>
        <w:ind w:firstLine="0"/>
        <w:jc w:val="center"/>
      </w:pPr>
      <w:r>
        <w:rPr>
          <w:rFonts w:ascii="Times New Roman" w:hAnsi="Times New Roman"/>
          <w:b w:val="0"/>
          <w:i w:val="0"/>
          <w:sz w:val="24"/>
        </w:rPr>
        <w:t>CAD M Ribeiro Gaspar</w:t>
      </w:r>
    </w:p>
    <w:p>
      <w:r>
        <w:br w:type="page"/>
      </w:r>
    </w:p>
    <w:p>
      <w:pPr>
        <w:spacing w:before="0" w:after="240" w:line="480" w:lineRule="auto"/>
        <w:ind w:firstLine="720"/>
        <w:jc w:val="both"/>
      </w:pPr>
      <w:r>
        <w:rPr>
          <w:rFonts w:ascii="Times New Roman" w:hAnsi="Times New Roman"/>
          <w:b/>
          <w:i w:val="0"/>
          <w:sz w:val="24"/>
        </w:rPr>
        <w:t>Autor – Grupo VI</w:t>
      </w:r>
    </w:p>
    <w:p>
      <w:pPr>
        <w:spacing w:before="0" w:after="40" w:line="480" w:lineRule="auto"/>
        <w:ind w:firstLine="720"/>
        <w:jc w:val="both"/>
      </w:pPr>
      <w:r>
        <w:rPr>
          <w:rFonts w:ascii="Times New Roman" w:hAnsi="Times New Roman"/>
          <w:b w:val="0"/>
          <w:i w:val="0"/>
          <w:sz w:val="24"/>
        </w:rPr>
        <w:t>M Santos Neto</w:t>
      </w:r>
    </w:p>
    <w:p>
      <w:pPr>
        <w:spacing w:before="0" w:after="40" w:line="480" w:lineRule="auto"/>
        <w:ind w:firstLine="720"/>
        <w:jc w:val="both"/>
      </w:pPr>
      <w:r>
        <w:rPr>
          <w:rFonts w:ascii="Times New Roman" w:hAnsi="Times New Roman"/>
          <w:b w:val="0"/>
          <w:i w:val="0"/>
          <w:sz w:val="24"/>
        </w:rPr>
        <w:t>EN-AEL Canotilho Castro</w:t>
      </w:r>
    </w:p>
    <w:p>
      <w:pPr>
        <w:spacing w:before="0" w:after="40" w:line="480" w:lineRule="auto"/>
        <w:ind w:firstLine="720"/>
        <w:jc w:val="both"/>
      </w:pPr>
      <w:r>
        <w:rPr>
          <w:rFonts w:ascii="Times New Roman" w:hAnsi="Times New Roman"/>
          <w:b w:val="0"/>
          <w:i w:val="0"/>
          <w:sz w:val="24"/>
        </w:rPr>
        <w:t>M Silva Guerreiro</w:t>
      </w:r>
    </w:p>
    <w:p>
      <w:pPr>
        <w:spacing w:before="0" w:after="40" w:line="480" w:lineRule="auto"/>
        <w:ind w:firstLine="720"/>
        <w:jc w:val="both"/>
      </w:pPr>
      <w:r>
        <w:rPr>
          <w:rFonts w:ascii="Times New Roman" w:hAnsi="Times New Roman"/>
          <w:b w:val="0"/>
          <w:i w:val="0"/>
          <w:sz w:val="24"/>
        </w:rPr>
        <w:t>M Ribeiro Gaspar</w:t>
      </w:r>
    </w:p>
    <w:p/>
    <w:p>
      <w:pPr>
        <w:spacing w:before="0" w:after="160" w:line="480" w:lineRule="auto"/>
        <w:ind w:firstLine="720"/>
        <w:jc w:val="both"/>
      </w:pPr>
      <w:r>
        <w:rPr>
          <w:rFonts w:ascii="Times New Roman" w:hAnsi="Times New Roman"/>
          <w:b w:val="0"/>
          <w:i w:val="0"/>
          <w:sz w:val="24"/>
        </w:rPr>
        <w:t>Título: "SAD para Vigilância Costeira de Portugal Continental com o UAV TEKEVER AR5"</w:t>
      </w:r>
    </w:p>
    <w:p>
      <w:pPr>
        <w:spacing w:before="0" w:after="80" w:line="480" w:lineRule="auto"/>
        <w:ind w:firstLine="720"/>
        <w:jc w:val="both"/>
      </w:pPr>
      <w:r>
        <w:rPr>
          <w:rFonts w:ascii="Times New Roman" w:hAnsi="Times New Roman"/>
          <w:b w:val="0"/>
          <w:i w:val="0"/>
          <w:sz w:val="24"/>
        </w:rPr>
        <w:t>Instituição: Escola Naval</w:t>
      </w:r>
    </w:p>
    <w:p>
      <w:pPr>
        <w:spacing w:before="0" w:after="80" w:line="480" w:lineRule="auto"/>
        <w:ind w:firstLine="720"/>
        <w:jc w:val="both"/>
      </w:pPr>
      <w:r>
        <w:rPr>
          <w:rFonts w:ascii="Times New Roman" w:hAnsi="Times New Roman"/>
          <w:b w:val="0"/>
          <w:i w:val="0"/>
          <w:sz w:val="24"/>
        </w:rPr>
        <w:t>Unidade Curricular: Sistemas de Apoio à Decisão</w:t>
      </w:r>
    </w:p>
    <w:p>
      <w:pPr>
        <w:spacing w:before="0" w:after="80" w:line="480" w:lineRule="auto"/>
        <w:ind w:firstLine="720"/>
        <w:jc w:val="both"/>
      </w:pPr>
      <w:r>
        <w:rPr>
          <w:rFonts w:ascii="Times New Roman" w:hAnsi="Times New Roman"/>
          <w:b w:val="0"/>
          <w:i w:val="0"/>
          <w:sz w:val="24"/>
        </w:rPr>
        <w:t>Docente Responsável: Professor Ricardo Moura</w:t>
      </w:r>
    </w:p>
    <w:p>
      <w:pPr>
        <w:spacing w:before="0" w:after="0" w:line="480" w:lineRule="auto"/>
        <w:ind w:firstLine="720"/>
        <w:jc w:val="both"/>
      </w:pPr>
      <w:r>
        <w:rPr>
          <w:rFonts w:ascii="Times New Roman" w:hAnsi="Times New Roman"/>
          <w:b w:val="0"/>
          <w:i w:val="0"/>
          <w:sz w:val="24"/>
        </w:rPr>
        <w:t>Local e Data: Alfeite 2026</w:t>
      </w:r>
    </w:p>
    <w:p>
      <w:r>
        <w:br w:type="page"/>
      </w:r>
    </w:p>
    <w:p>
      <w:pPr>
        <w:pStyle w:val="Heading1"/>
      </w:pPr>
      <w:r>
        <w:t>Agradecimentos</w:t>
      </w:r>
    </w:p>
    <w:p>
      <w:pPr>
        <w:spacing w:before="0" w:after="0" w:line="480" w:lineRule="auto"/>
        <w:ind w:firstLine="0"/>
        <w:jc w:val="both"/>
      </w:pPr>
      <w:r>
        <w:rPr>
          <w:rFonts w:ascii="Times New Roman" w:hAnsi="Times New Roman"/>
          <w:b w:val="0"/>
          <w:i w:val="0"/>
          <w:sz w:val="24"/>
        </w:rPr>
        <w:t>Agradecemos ao Professor Ricardo Moura pela orientação e às entidades de dados abertos (UNODC, EMODnet, IOM, SEF/Frontex) que tornaram possível este trabalho.</w:t>
      </w:r>
    </w:p>
    <w:p>
      <w:r>
        <w:br w:type="page"/>
      </w:r>
    </w:p>
    <w:p>
      <w:pPr>
        <w:pStyle w:val="Heading1"/>
      </w:pPr>
      <w:r>
        <w:t>Sumário Executivo</w:t>
      </w:r>
    </w:p>
    <w:p>
      <w:pPr>
        <w:spacing w:line="480" w:lineRule="auto"/>
        <w:ind w:firstLine="720"/>
        <w:jc w:val="both"/>
      </w:pPr>
      <w:r>
        <w:rPr>
          <w:rFonts w:ascii="Times New Roman" w:hAnsi="Times New Roman"/>
          <w:sz w:val="24"/>
        </w:rPr>
        <w:t xml:space="preserve">Portugal tem de vigiar uma ZEE desproporcionada face ao território continental, com quatro ameaças distintas a competir pelos mesmos meios. Este trabalho propõe um SAD que indica </w:t>
      </w:r>
      <w:r>
        <w:rPr>
          <w:rFonts w:ascii="Times New Roman" w:hAnsi="Times New Roman"/>
          <w:b/>
          <w:sz w:val="24"/>
        </w:rPr>
        <w:t>onde</w:t>
      </w:r>
      <w:r>
        <w:rPr>
          <w:rFonts w:ascii="Times New Roman" w:hAnsi="Times New Roman"/>
          <w:sz w:val="24"/>
        </w:rPr>
        <w:t xml:space="preserve"> concentrar patrulhas AR5, </w:t>
      </w:r>
      <w:r>
        <w:rPr>
          <w:rFonts w:ascii="Times New Roman" w:hAnsi="Times New Roman"/>
          <w:b/>
          <w:sz w:val="24"/>
        </w:rPr>
        <w:t>quantas</w:t>
      </w:r>
      <w:r>
        <w:rPr>
          <w:rFonts w:ascii="Times New Roman" w:hAnsi="Times New Roman"/>
          <w:sz w:val="24"/>
        </w:rPr>
        <w:t xml:space="preserve"> aeronaves manter em rotação 24 h e </w:t>
      </w:r>
      <w:r>
        <w:rPr>
          <w:rFonts w:ascii="Times New Roman" w:hAnsi="Times New Roman"/>
          <w:b/>
          <w:sz w:val="24"/>
        </w:rPr>
        <w:t>em que bases</w:t>
      </w:r>
      <w:r>
        <w:rPr>
          <w:rFonts w:ascii="Times New Roman" w:hAnsi="Times New Roman"/>
          <w:sz w:val="24"/>
        </w:rPr>
        <w:t xml:space="preserve"> assentar a rede. O mapa de risco assenta em dados reais (apreensões, EMODnet, desembarques documentados); a otimização separa alcance de aeronave de cobertura sensorial persistente — e foi esta última que nos levou à conclusão de que o gargalo não é o raio de 90 km do estudo SIG anterior, mas sim a revisita do sensor.</w:t>
      </w:r>
    </w:p>
    <w:p>
      <w:pPr>
        <w:spacing w:line="480" w:lineRule="auto"/>
        <w:ind w:firstLine="720"/>
        <w:jc w:val="both"/>
      </w:pPr>
      <w:r>
        <w:rPr>
          <w:rFonts w:ascii="Times New Roman" w:hAnsi="Times New Roman"/>
          <w:sz w:val="24"/>
        </w:rPr>
        <w:t xml:space="preserve">Em termos operacionais: o </w:t>
      </w:r>
      <w:r>
        <w:rPr>
          <w:rFonts w:ascii="Times New Roman" w:hAnsi="Times New Roman"/>
          <w:b/>
          <w:sz w:val="24"/>
        </w:rPr>
        <w:t>MCLP com duas bases</w:t>
      </w:r>
      <w:r>
        <w:rPr>
          <w:rFonts w:ascii="Times New Roman" w:hAnsi="Times New Roman"/>
          <w:sz w:val="24"/>
        </w:rPr>
        <w:t xml:space="preserve"> (Porto Sá Carneiro e Portimão) cobre a totalidade do risco alto; para sustentar 24 h com trânsitos curtos, o dimensionamento usa </w:t>
      </w:r>
      <w:r>
        <w:rPr>
          <w:rFonts w:ascii="Times New Roman" w:hAnsi="Times New Roman"/>
          <w:b/>
          <w:sz w:val="24"/>
        </w:rPr>
        <w:t>cinco bases na faixa costeira</w:t>
      </w:r>
      <w:r>
        <w:rPr>
          <w:rFonts w:ascii="Times New Roman" w:hAnsi="Times New Roman"/>
          <w:sz w:val="24"/>
        </w:rPr>
        <w:t xml:space="preserve"> (9 AR5) ou a </w:t>
      </w:r>
      <w:r>
        <w:rPr>
          <w:rFonts w:ascii="Times New Roman" w:hAnsi="Times New Roman"/>
          <w:b/>
          <w:sz w:val="24"/>
        </w:rPr>
        <w:t>rede completa de doze aeródromos</w:t>
      </w:r>
      <w:r>
        <w:rPr>
          <w:rFonts w:ascii="Times New Roman" w:hAnsi="Times New Roman"/>
          <w:sz w:val="24"/>
        </w:rPr>
        <w:t xml:space="preserve"> (11 AR5). Uma patrulha orientada pelo risco captura </w:t>
      </w:r>
      <w:r>
        <w:rPr>
          <w:rFonts w:ascii="Times New Roman" w:hAnsi="Times New Roman"/>
          <w:b/>
          <w:sz w:val="24"/>
        </w:rPr>
        <w:t>2,06×</w:t>
      </w:r>
      <w:r>
        <w:rPr>
          <w:rFonts w:ascii="Times New Roman" w:hAnsi="Times New Roman"/>
          <w:sz w:val="24"/>
        </w:rPr>
        <w:t xml:space="preserve"> mais ameaça que uma patrulha aleatória (IC95 1,93–2,22); no holdout 2023–2024, </w:t>
      </w:r>
      <w:r>
        <w:rPr>
          <w:rFonts w:ascii="Times New Roman" w:hAnsi="Times New Roman"/>
          <w:b/>
          <w:sz w:val="24"/>
        </w:rPr>
        <w:t>85,5 %</w:t>
      </w:r>
      <w:r>
        <w:rPr>
          <w:rFonts w:ascii="Times New Roman" w:hAnsi="Times New Roman"/>
          <w:sz w:val="24"/>
        </w:rPr>
        <w:t xml:space="preserve"> das apreensões caem em células de alto risco. Os sectores prioritários são o Algarve, o eixo Setúbal–Lisboa e o noroeste ao largo de Peniche.</w:t>
      </w:r>
    </w:p>
    <w:p/>
    <w:p>
      <w:pPr>
        <w:pStyle w:val="Heading1"/>
      </w:pPr>
      <w:r>
        <w:t>Resumo</w:t>
      </w:r>
    </w:p>
    <w:p>
      <w:pPr>
        <w:spacing w:line="480" w:lineRule="auto"/>
        <w:ind w:firstLine="720"/>
        <w:jc w:val="both"/>
      </w:pPr>
      <w:r>
        <w:rPr>
          <w:rFonts w:ascii="Times New Roman" w:hAnsi="Times New Roman"/>
          <w:sz w:val="24"/>
        </w:rPr>
        <w:t xml:space="preserve">Desenvolveu-se um </w:t>
      </w:r>
      <w:r>
        <w:rPr>
          <w:rFonts w:ascii="Times New Roman" w:hAnsi="Times New Roman"/>
          <w:b/>
          <w:sz w:val="24"/>
        </w:rPr>
        <w:t>SAD</w:t>
      </w:r>
      <w:r>
        <w:rPr>
          <w:rFonts w:ascii="Times New Roman" w:hAnsi="Times New Roman"/>
          <w:sz w:val="24"/>
        </w:rPr>
        <w:t xml:space="preserve"> para vigilância costeira de Portugal Continental com o UAV </w:t>
      </w:r>
      <w:r>
        <w:rPr>
          <w:rFonts w:ascii="Times New Roman" w:hAnsi="Times New Roman"/>
          <w:b/>
          <w:sz w:val="24"/>
        </w:rPr>
        <w:t>TEKEVER AR5</w:t>
      </w:r>
      <w:r>
        <w:rPr>
          <w:rFonts w:ascii="Times New Roman" w:hAnsi="Times New Roman"/>
          <w:sz w:val="24"/>
        </w:rPr>
        <w:t xml:space="preserve">, integrando </w:t>
      </w:r>
      <w:r>
        <w:rPr>
          <w:rFonts w:ascii="Times New Roman" w:hAnsi="Times New Roman"/>
          <w:i/>
          <w:sz w:val="24"/>
        </w:rPr>
        <w:t>data mining</w:t>
      </w:r>
      <w:r>
        <w:rPr>
          <w:rFonts w:ascii="Times New Roman" w:hAnsi="Times New Roman"/>
          <w:sz w:val="24"/>
        </w:rPr>
        <w:t xml:space="preserve"> (PCA, </w:t>
      </w:r>
      <w:r>
        <w:rPr>
          <w:rFonts w:ascii="Times New Roman" w:hAnsi="Times New Roman"/>
          <w:i/>
          <w:sz w:val="24"/>
        </w:rPr>
        <w:t>clustering</w:t>
      </w:r>
      <w:r>
        <w:rPr>
          <w:rFonts w:ascii="Times New Roman" w:hAnsi="Times New Roman"/>
          <w:sz w:val="24"/>
        </w:rPr>
        <w:t xml:space="preserve">, classificação com SMOTE, lógica difusa) e otimização (MCLP, dimensionamento de frota). Fontes: apreensões UNODC, EMODnet, 20 desembarques PT e IOM em mar. Grelha de </w:t>
      </w:r>
      <w:r>
        <w:rPr>
          <w:rFonts w:ascii="Times New Roman" w:hAnsi="Times New Roman"/>
          <w:b/>
          <w:sz w:val="24"/>
        </w:rPr>
        <w:t>1156 células</w:t>
      </w:r>
      <w:r>
        <w:rPr>
          <w:rFonts w:ascii="Times New Roman" w:hAnsi="Times New Roman"/>
          <w:sz w:val="24"/>
        </w:rPr>
        <w:t xml:space="preserve"> (</w:t>
      </w:r>
      <w:r>
        <w:rPr>
          <w:rFonts w:ascii="Times New Roman" w:hAnsi="Times New Roman"/>
          <w:b/>
          <w:sz w:val="24"/>
        </w:rPr>
        <w:t>300</w:t>
      </w:r>
      <w:r>
        <w:rPr>
          <w:rFonts w:ascii="Times New Roman" w:hAnsi="Times New Roman"/>
          <w:sz w:val="24"/>
        </w:rPr>
        <w:t xml:space="preserve"> alto risco). Concentração no Algarve e Setúbal–Lisboa; MLP com ROC-AUC 0,93 ± 0,02; </w:t>
      </w:r>
      <w:r>
        <w:rPr>
          <w:rFonts w:ascii="Times New Roman" w:hAnsi="Times New Roman"/>
          <w:b/>
          <w:sz w:val="24"/>
        </w:rPr>
        <w:t>Porto + Portimão</w:t>
      </w:r>
      <w:r>
        <w:rPr>
          <w:rFonts w:ascii="Times New Roman" w:hAnsi="Times New Roman"/>
          <w:sz w:val="24"/>
        </w:rPr>
        <w:t xml:space="preserve"> cobrem 100 % do risco (MCLP k=2); </w:t>
      </w:r>
      <w:r>
        <w:rPr>
          <w:rFonts w:ascii="Times New Roman" w:hAnsi="Times New Roman"/>
          <w:b/>
          <w:sz w:val="24"/>
        </w:rPr>
        <w:t>9–11 AR5</w:t>
      </w:r>
      <w:r>
        <w:rPr>
          <w:rFonts w:ascii="Times New Roman" w:hAnsi="Times New Roman"/>
          <w:sz w:val="24"/>
        </w:rPr>
        <w:t xml:space="preserve"> para 24 h com rede costeira distribuída (5 ou 12 bases de lançamento); ganho de patrulha </w:t>
      </w:r>
      <w:r>
        <w:rPr>
          <w:rFonts w:ascii="Times New Roman" w:hAnsi="Times New Roman"/>
          <w:b/>
          <w:sz w:val="24"/>
        </w:rPr>
        <w:t>2,06×</w:t>
      </w:r>
      <w:r>
        <w:rPr>
          <w:rFonts w:ascii="Times New Roman" w:hAnsi="Times New Roman"/>
          <w:sz w:val="24"/>
        </w:rPr>
        <w:t xml:space="preserve"> (IC95 1,93–2,22); holdout 85,5 % em alto risco. Protótipo web com AIS demo.</w:t>
      </w:r>
    </w:p>
    <w:p>
      <w:pPr>
        <w:spacing w:line="480" w:lineRule="auto"/>
        <w:ind w:firstLine="0"/>
        <w:jc w:val="both"/>
      </w:pPr>
      <w:r>
        <w:rPr>
          <w:rFonts w:ascii="Times New Roman" w:hAnsi="Times New Roman"/>
          <w:b/>
          <w:sz w:val="24"/>
        </w:rPr>
        <w:t>Palavras-chave:</w:t>
      </w:r>
      <w:r>
        <w:rPr>
          <w:rFonts w:ascii="Times New Roman" w:hAnsi="Times New Roman"/>
          <w:sz w:val="24"/>
        </w:rPr>
        <w:t xml:space="preserve"> Sistemas de Apoio à Decisão; </w:t>
      </w:r>
      <w:r>
        <w:rPr>
          <w:rFonts w:ascii="Times New Roman" w:hAnsi="Times New Roman"/>
          <w:i/>
          <w:sz w:val="24"/>
        </w:rPr>
        <w:t>data mining</w:t>
      </w:r>
      <w:r>
        <w:rPr>
          <w:rFonts w:ascii="Times New Roman" w:hAnsi="Times New Roman"/>
          <w:sz w:val="24"/>
        </w:rPr>
        <w:t xml:space="preserve">; </w:t>
      </w:r>
      <w:r>
        <w:rPr>
          <w:rFonts w:ascii="Times New Roman" w:hAnsi="Times New Roman"/>
          <w:i/>
          <w:sz w:val="24"/>
        </w:rPr>
        <w:t>clustering</w:t>
      </w:r>
      <w:r>
        <w:rPr>
          <w:rFonts w:ascii="Times New Roman" w:hAnsi="Times New Roman"/>
          <w:sz w:val="24"/>
        </w:rPr>
        <w:t>; classificação; lógica difusa; otimização; localização de instalações; vigilância marítima; veículos aéreos não tripulados; TEKEVER AR5.</w:t>
      </w:r>
    </w:p>
    <w:p/>
    <w:p>
      <w:pPr>
        <w:pStyle w:val="Heading1"/>
      </w:pPr>
      <w:r>
        <w:t>Abstract</w:t>
      </w:r>
    </w:p>
    <w:p>
      <w:pPr>
        <w:spacing w:line="480" w:lineRule="auto"/>
        <w:ind w:firstLine="0"/>
        <w:jc w:val="both"/>
      </w:pPr>
      <w:r>
        <w:rPr>
          <w:rFonts w:ascii="Times New Roman" w:hAnsi="Times New Roman"/>
          <w:sz w:val="24"/>
        </w:rPr>
        <w:t xml:space="preserve">This work develops a Decision Support System (DSS) for employing the TEKEVER AR5 unmanned aerial vehicle (UAV) in the maritime surveillance of mainland Portugal, where scarce assets must be allocated over a vast area against simultaneous, heterogeneous threats — drug trafficking, illegal, unreported and unregulated (IUU) fishing, pollution and irregular migration. Coupling a data-mining pipeline (preprocessing, PCA, spatial clustering, comparative classification validated by stratified cross-validation, and fuzzy multi-threat aggregation) with a facility-location and fleet-sizing model, it answers three operational questions: </w:t>
      </w:r>
      <w:r>
        <w:rPr>
          <w:rFonts w:ascii="Times New Roman" w:hAnsi="Times New Roman"/>
          <w:i/>
          <w:sz w:val="24"/>
        </w:rPr>
        <w:t>where</w:t>
      </w:r>
      <w:r>
        <w:rPr>
          <w:rFonts w:ascii="Times New Roman" w:hAnsi="Times New Roman"/>
          <w:sz w:val="24"/>
        </w:rPr>
        <w:t xml:space="preserve"> to focus surveillance, </w:t>
      </w:r>
      <w:r>
        <w:rPr>
          <w:rFonts w:ascii="Times New Roman" w:hAnsi="Times New Roman"/>
          <w:i/>
          <w:sz w:val="24"/>
        </w:rPr>
        <w:t>how many</w:t>
      </w:r>
      <w:r>
        <w:rPr>
          <w:rFonts w:ascii="Times New Roman" w:hAnsi="Times New Roman"/>
          <w:sz w:val="24"/>
        </w:rPr>
        <w:t xml:space="preserve"> aircraft sustain it around the clock, and </w:t>
      </w:r>
      <w:r>
        <w:rPr>
          <w:rFonts w:ascii="Times New Roman" w:hAnsi="Times New Roman"/>
          <w:i/>
          <w:sz w:val="24"/>
        </w:rPr>
        <w:t>from which bases</w:t>
      </w:r>
      <w:r>
        <w:rPr>
          <w:rFonts w:ascii="Times New Roman" w:hAnsi="Times New Roman"/>
          <w:sz w:val="24"/>
        </w:rPr>
        <w:t xml:space="preserve"> they operate. The model explicitly separates aircraft </w:t>
      </w:r>
      <w:r>
        <w:rPr>
          <w:rFonts w:ascii="Times New Roman" w:hAnsi="Times New Roman"/>
          <w:i/>
          <w:sz w:val="24"/>
        </w:rPr>
        <w:t>range</w:t>
      </w:r>
      <w:r>
        <w:rPr>
          <w:rFonts w:ascii="Times New Roman" w:hAnsi="Times New Roman"/>
          <w:sz w:val="24"/>
        </w:rPr>
        <w:t xml:space="preserve"> from persistent </w:t>
      </w:r>
      <w:r>
        <w:rPr>
          <w:rFonts w:ascii="Times New Roman" w:hAnsi="Times New Roman"/>
          <w:i/>
          <w:sz w:val="24"/>
        </w:rPr>
        <w:t>sensor coverage</w:t>
      </w:r>
      <w:r>
        <w:rPr>
          <w:rFonts w:ascii="Times New Roman" w:hAnsi="Times New Roman"/>
          <w:sz w:val="24"/>
        </w:rPr>
        <w:t xml:space="preserve">. Over a study area of </w:t>
      </w:r>
      <w:r>
        <w:rPr>
          <w:rFonts w:ascii="Times New Roman" w:hAnsi="Times New Roman"/>
          <w:b/>
          <w:sz w:val="24"/>
        </w:rPr>
        <w:t>1 156 cells</w:t>
      </w:r>
      <w:r>
        <w:rPr>
          <w:rFonts w:ascii="Times New Roman" w:hAnsi="Times New Roman"/>
          <w:sz w:val="24"/>
        </w:rPr>
        <w:t xml:space="preserve"> (300 high-risk; mainland Portugal only), illicit activity concentrates in the Algarve and the Setúbal–Lisbon axis; the maritime nature of a seizure is predictable with strong discrimination (ROC-AUC = 0.93 ± 0.02); and the limiting factor is sensor coverage, not range. Two bases — </w:t>
      </w:r>
      <w:r>
        <w:rPr>
          <w:rFonts w:ascii="Times New Roman" w:hAnsi="Times New Roman"/>
          <w:b/>
          <w:sz w:val="24"/>
        </w:rPr>
        <w:t>Porto and Portimão</w:t>
      </w:r>
      <w:r>
        <w:rPr>
          <w:rFonts w:ascii="Times New Roman" w:hAnsi="Times New Roman"/>
          <w:sz w:val="24"/>
        </w:rPr>
        <w:t xml:space="preserve"> — cover 100 % of the risk under the MCLP (k=2); sustaining 24-h surveillance with short transits requires about </w:t>
      </w:r>
      <w:r>
        <w:rPr>
          <w:rFonts w:ascii="Times New Roman" w:hAnsi="Times New Roman"/>
          <w:b/>
          <w:sz w:val="24"/>
        </w:rPr>
        <w:t>9 AR5</w:t>
      </w:r>
      <w:r>
        <w:rPr>
          <w:rFonts w:ascii="Times New Roman" w:hAnsi="Times New Roman"/>
          <w:sz w:val="24"/>
        </w:rPr>
        <w:t xml:space="preserve"> along the coastal belt (five launch bases) or </w:t>
      </w:r>
      <w:r>
        <w:rPr>
          <w:rFonts w:ascii="Times New Roman" w:hAnsi="Times New Roman"/>
          <w:b/>
          <w:sz w:val="24"/>
        </w:rPr>
        <w:t>11 AR5</w:t>
      </w:r>
      <w:r>
        <w:rPr>
          <w:rFonts w:ascii="Times New Roman" w:hAnsi="Times New Roman"/>
          <w:sz w:val="24"/>
        </w:rPr>
        <w:t xml:space="preserve"> over the full high-risk area (twelve bases). Validation shows the DSS captures </w:t>
      </w:r>
      <w:r>
        <w:rPr>
          <w:rFonts w:ascii="Times New Roman" w:hAnsi="Times New Roman"/>
          <w:b/>
          <w:sz w:val="24"/>
        </w:rPr>
        <w:t>2.06× more risk</w:t>
      </w:r>
      <w:r>
        <w:rPr>
          <w:rFonts w:ascii="Times New Roman" w:hAnsi="Times New Roman"/>
          <w:sz w:val="24"/>
        </w:rPr>
        <w:t xml:space="preserve"> than random patrol (95 % CI 1.93–2.22) and places </w:t>
      </w:r>
      <w:r>
        <w:rPr>
          <w:rFonts w:ascii="Times New Roman" w:hAnsi="Times New Roman"/>
          <w:b/>
          <w:sz w:val="24"/>
        </w:rPr>
        <w:t>85.5 %</w:t>
      </w:r>
      <w:r>
        <w:rPr>
          <w:rFonts w:ascii="Times New Roman" w:hAnsi="Times New Roman"/>
          <w:sz w:val="24"/>
        </w:rPr>
        <w:t xml:space="preserve"> of 2023–2024 maritime seizures in high-risk cells (threshold 0.5; train ≤ 2022).</w:t>
      </w:r>
    </w:p>
    <w:p>
      <w:pPr>
        <w:spacing w:line="480" w:lineRule="auto"/>
        <w:ind w:firstLine="0"/>
        <w:jc w:val="both"/>
      </w:pPr>
      <w:r>
        <w:rPr>
          <w:rFonts w:ascii="Times New Roman" w:hAnsi="Times New Roman"/>
          <w:b/>
          <w:sz w:val="24"/>
        </w:rPr>
        <w:t>Keywords:</w:t>
      </w:r>
      <w:r>
        <w:rPr>
          <w:rFonts w:ascii="Times New Roman" w:hAnsi="Times New Roman"/>
          <w:sz w:val="24"/>
        </w:rPr>
        <w:t xml:space="preserve"> Decision Support Systems; data mining; clustering; classification; fuzzy logic; optimization; facility location; maritime surveillance; unmanned aerial vehicles; TEKEVER AR5.</w:t>
      </w:r>
    </w:p>
    <w:p/>
    <w:p>
      <w:r>
        <w:br w:type="page"/>
      </w:r>
    </w:p>
    <w:p>
      <w:pPr>
        <w:pStyle w:val="Heading1"/>
      </w:pPr>
      <w:r>
        <w:t>Índice</w:t>
      </w:r>
    </w:p>
    <w:p>
      <w:r>
        <w:fldChar w:fldCharType="begin"/>
        <w:instrText xml:space="preserve">TOC \o "1-3" \h \z \u</w:instrText>
        <w:fldChar w:fldCharType="separate"/>
        <w:t>Atualizar no Word: clique direito → Atualizar campo</w:t>
        <w:fldChar w:fldCharType="end"/>
      </w:r>
    </w:p>
    <w:p>
      <w:r>
        <w:br w:type="page"/>
      </w:r>
    </w:p>
    <w:p>
      <w:pPr>
        <w:pStyle w:val="Heading1"/>
      </w:pPr>
      <w:r>
        <w:t>Índice de Figuras</w:t>
      </w:r>
    </w:p>
    <w:p>
      <w:pPr>
        <w:spacing w:before="0" w:after="60" w:line="480" w:lineRule="auto"/>
      </w:pPr>
      <w:r>
        <w:rPr>
          <w:rFonts w:ascii="Times New Roman" w:hAnsi="Times New Roman"/>
          <w:b w:val="0"/>
          <w:i w:val="0"/>
          <w:sz w:val="22"/>
        </w:rPr>
        <w:t>Figura 1 - Panorama exploratório das apreensões (EDA): distribuição temporal, por tipo e geográfica.</w:t>
      </w:r>
    </w:p>
    <w:p>
      <w:pPr>
        <w:spacing w:before="0" w:after="60" w:line="480" w:lineRule="auto"/>
      </w:pPr>
      <w:r>
        <w:rPr>
          <w:rFonts w:ascii="Times New Roman" w:hAnsi="Times New Roman"/>
          <w:b w:val="0"/>
          <w:i w:val="0"/>
          <w:sz w:val="22"/>
        </w:rPr>
        <w:t>Figura 2 - Distribuição das apreensões por região (diagrama de caixa).</w:t>
      </w:r>
    </w:p>
    <w:p>
      <w:pPr>
        <w:spacing w:before="0" w:after="60" w:line="480" w:lineRule="auto"/>
      </w:pPr>
      <w:r>
        <w:rPr>
          <w:rFonts w:ascii="Times New Roman" w:hAnsi="Times New Roman"/>
          <w:b w:val="0"/>
          <w:i w:val="0"/>
          <w:sz w:val="22"/>
        </w:rPr>
        <w:t>Figura 3 - Redução de dimensionalidade por PCA: projeção das observações no plano das duas</w:t>
      </w:r>
    </w:p>
    <w:p>
      <w:pPr>
        <w:spacing w:before="0" w:after="60" w:line="480" w:lineRule="auto"/>
      </w:pPr>
      <w:r>
        <w:rPr>
          <w:rFonts w:ascii="Times New Roman" w:hAnsi="Times New Roman"/>
          <w:b w:val="0"/>
          <w:i w:val="0"/>
          <w:sz w:val="22"/>
        </w:rPr>
        <w:t>Figura 4 - Seleção do número de clusters: método do cotovelo e coeficiente de silhueta.</w:t>
      </w:r>
    </w:p>
    <w:p>
      <w:pPr>
        <w:spacing w:before="0" w:after="60" w:line="480" w:lineRule="auto"/>
      </w:pPr>
      <w:r>
        <w:rPr>
          <w:rFonts w:ascii="Times New Roman" w:hAnsi="Times New Roman"/>
          <w:b w:val="0"/>
          <w:i w:val="0"/>
          <w:sz w:val="22"/>
        </w:rPr>
        <w:t>Figura 5 - Clustering k-means: solução geral (esquerda) e restrita ao domínio marítimo (direita).</w:t>
      </w:r>
    </w:p>
    <w:p>
      <w:pPr>
        <w:spacing w:before="0" w:after="60" w:line="480" w:lineRule="auto"/>
      </w:pPr>
      <w:r>
        <w:rPr>
          <w:rFonts w:ascii="Times New Roman" w:hAnsi="Times New Roman"/>
          <w:b w:val="0"/>
          <w:i w:val="0"/>
          <w:sz w:val="22"/>
        </w:rPr>
        <w:t>Figura 6 - Agrupamento hierárquico (dendrograma, esquerda) e Fuzzy C-Means (direita).</w:t>
      </w:r>
    </w:p>
    <w:p>
      <w:pPr>
        <w:spacing w:before="0" w:after="60" w:line="480" w:lineRule="auto"/>
      </w:pPr>
      <w:r>
        <w:rPr>
          <w:rFonts w:ascii="Times New Roman" w:hAnsi="Times New Roman"/>
          <w:b w:val="0"/>
          <w:i w:val="0"/>
          <w:sz w:val="22"/>
        </w:rPr>
        <w:t>Figura 7 - Comparação de desempenho das quatro famílias de classificadores.</w:t>
      </w:r>
    </w:p>
    <w:p>
      <w:pPr>
        <w:spacing w:before="0" w:after="60" w:line="480" w:lineRule="auto"/>
      </w:pPr>
      <w:r>
        <w:rPr>
          <w:rFonts w:ascii="Times New Roman" w:hAnsi="Times New Roman"/>
          <w:b w:val="0"/>
          <w:i w:val="0"/>
          <w:sz w:val="22"/>
        </w:rPr>
        <w:t>Figura 8 - Validação cruzada estratificada dos classificadores.</w:t>
      </w:r>
    </w:p>
    <w:p>
      <w:pPr>
        <w:spacing w:before="0" w:after="60" w:line="480" w:lineRule="auto"/>
      </w:pPr>
      <w:r>
        <w:rPr>
          <w:rFonts w:ascii="Times New Roman" w:hAnsi="Times New Roman"/>
          <w:b w:val="0"/>
          <w:i w:val="0"/>
          <w:sz w:val="22"/>
        </w:rPr>
        <w:t>Figura 9 - Matrizes de confusão dos classificadores no conjunto de teste.</w:t>
      </w:r>
    </w:p>
    <w:p>
      <w:pPr>
        <w:spacing w:before="0" w:after="60" w:line="480" w:lineRule="auto"/>
      </w:pPr>
      <w:r>
        <w:rPr>
          <w:rFonts w:ascii="Times New Roman" w:hAnsi="Times New Roman"/>
          <w:b w:val="0"/>
          <w:i w:val="0"/>
          <w:sz w:val="22"/>
        </w:rPr>
        <w:t>Figura 10 - Curvas ROC (esquerda) e curvas precisão–sensibilidade (direita) dos</w:t>
      </w:r>
    </w:p>
    <w:p>
      <w:pPr>
        <w:spacing w:before="0" w:after="60" w:line="480" w:lineRule="auto"/>
      </w:pPr>
      <w:r>
        <w:rPr>
          <w:rFonts w:ascii="Times New Roman" w:hAnsi="Times New Roman"/>
          <w:b w:val="0"/>
          <w:i w:val="0"/>
          <w:sz w:val="22"/>
        </w:rPr>
        <w:t>Figura 11 - Análise de ajuste do limiar de decisão do modelo recomendado (perceptrão</w:t>
      </w:r>
    </w:p>
    <w:p>
      <w:pPr>
        <w:spacing w:before="0" w:after="60" w:line="480" w:lineRule="auto"/>
      </w:pPr>
      <w:r>
        <w:rPr>
          <w:rFonts w:ascii="Times New Roman" w:hAnsi="Times New Roman"/>
          <w:b w:val="0"/>
          <w:i w:val="0"/>
          <w:sz w:val="22"/>
        </w:rPr>
        <w:t>Figura 12 - Importância relativa dos atributos na árvore de decisão otimizada.</w:t>
      </w:r>
    </w:p>
    <w:p>
      <w:pPr>
        <w:spacing w:before="0" w:after="60" w:line="480" w:lineRule="auto"/>
      </w:pPr>
      <w:r>
        <w:rPr>
          <w:rFonts w:ascii="Times New Roman" w:hAnsi="Times New Roman"/>
          <w:b w:val="0"/>
          <w:i w:val="0"/>
          <w:sz w:val="22"/>
        </w:rPr>
        <w:t>Figura 13 - Árvore de decisão otimizada (CART): primeiros níveis.</w:t>
      </w:r>
    </w:p>
    <w:p>
      <w:pPr>
        <w:spacing w:before="0" w:after="60" w:line="480" w:lineRule="auto"/>
      </w:pPr>
      <w:r>
        <w:rPr>
          <w:rFonts w:ascii="Times New Roman" w:hAnsi="Times New Roman"/>
          <w:b w:val="0"/>
          <w:i w:val="0"/>
          <w:sz w:val="22"/>
        </w:rPr>
        <w:t>Figura 14 - Graus de pertença do Fuzzy C-Means ao cluster dominante (lógica difusa).</w:t>
      </w:r>
    </w:p>
    <w:p>
      <w:pPr>
        <w:spacing w:before="0" w:after="60" w:line="480" w:lineRule="auto"/>
      </w:pPr>
      <w:r>
        <w:rPr>
          <w:rFonts w:ascii="Times New Roman" w:hAnsi="Times New Roman"/>
          <w:b w:val="0"/>
          <w:i w:val="0"/>
          <w:sz w:val="22"/>
        </w:rPr>
        <w:t>Figura 15 - Índice de risco difuso versus média ponderada: mapas e correlação.</w:t>
      </w:r>
    </w:p>
    <w:p>
      <w:pPr>
        <w:spacing w:before="0" w:after="60" w:line="480" w:lineRule="auto"/>
      </w:pPr>
      <w:r>
        <w:rPr>
          <w:rFonts w:ascii="Times New Roman" w:hAnsi="Times New Roman"/>
          <w:b w:val="0"/>
          <w:i w:val="0"/>
          <w:sz w:val="22"/>
        </w:rPr>
        <w:t>Figura 16 - Índice de risco marítimo multi-ameaça (agregação por média ponderada).</w:t>
      </w:r>
    </w:p>
    <w:p>
      <w:pPr>
        <w:spacing w:before="0" w:after="60" w:line="480" w:lineRule="auto"/>
      </w:pPr>
      <w:r>
        <w:rPr>
          <w:rFonts w:ascii="Times New Roman" w:hAnsi="Times New Roman"/>
          <w:b w:val="0"/>
          <w:i w:val="0"/>
          <w:sz w:val="22"/>
        </w:rPr>
        <w:t>Figura 17 - Cobertura de risco: cenário conservador com raio de 90 km (esquerda) versus</w:t>
      </w:r>
    </w:p>
    <w:p>
      <w:pPr>
        <w:spacing w:before="0" w:after="60" w:line="480" w:lineRule="auto"/>
      </w:pPr>
      <w:r>
        <w:rPr>
          <w:rFonts w:ascii="Times New Roman" w:hAnsi="Times New Roman"/>
          <w:b w:val="0"/>
          <w:i w:val="0"/>
          <w:sz w:val="22"/>
        </w:rPr>
        <w:t>Figura 18 - Frota total necessária em função do número de bases (mínimo em k = 12).</w:t>
      </w:r>
    </w:p>
    <w:p>
      <w:pPr>
        <w:spacing w:before="0" w:after="60" w:line="480" w:lineRule="auto"/>
      </w:pPr>
      <w:r>
        <w:rPr>
          <w:rFonts w:ascii="Times New Roman" w:hAnsi="Times New Roman"/>
          <w:b w:val="0"/>
          <w:i w:val="0"/>
          <w:sz w:val="22"/>
        </w:rPr>
        <w:t>Figura 19 - Sensibilidade do dimensionamento da frota à largura útil do sensor, ao tempo de</w:t>
      </w:r>
    </w:p>
    <w:p>
      <w:pPr>
        <w:spacing w:before="0" w:after="60" w:line="480" w:lineRule="auto"/>
      </w:pPr>
      <w:r>
        <w:rPr>
          <w:rFonts w:ascii="Times New Roman" w:hAnsi="Times New Roman"/>
          <w:b w:val="0"/>
          <w:i w:val="0"/>
          <w:sz w:val="22"/>
        </w:rPr>
        <w:t>Figura 20 - Painel geoespacial interativo: índice de risco multi-ameaça (1156 células),</w:t>
      </w:r>
    </w:p>
    <w:p>
      <w:pPr>
        <w:spacing w:before="0" w:after="60" w:line="480" w:lineRule="auto"/>
      </w:pPr>
      <w:r>
        <w:rPr>
          <w:rFonts w:ascii="Times New Roman" w:hAnsi="Times New Roman"/>
          <w:b w:val="0"/>
          <w:i w:val="0"/>
          <w:sz w:val="22"/>
        </w:rPr>
        <w:t>Figura 21 - Backtesting temporal: taxa de acerto do SAD (treino com apreensões até 2022) no</w:t>
      </w:r>
    </w:p>
    <w:p>
      <w:pPr>
        <w:spacing w:before="0" w:after="60" w:line="480" w:lineRule="auto"/>
      </w:pPr>
      <w:r>
        <w:rPr>
          <w:rFonts w:ascii="Times New Roman" w:hAnsi="Times New Roman"/>
          <w:b w:val="0"/>
          <w:i w:val="0"/>
          <w:sz w:val="22"/>
        </w:rPr>
        <w:t>Figura 22 - Comparação da captura de risco: SAD versus patrulha aleatória e uniforme costeira.</w:t>
      </w:r>
    </w:p>
    <w:p>
      <w:pPr>
        <w:spacing w:before="0" w:after="60" w:line="480" w:lineRule="auto"/>
      </w:pPr>
      <w:r>
        <w:rPr>
          <w:rFonts w:ascii="Times New Roman" w:hAnsi="Times New Roman"/>
          <w:b w:val="0"/>
          <w:i w:val="0"/>
          <w:sz w:val="22"/>
        </w:rPr>
        <w:t>Figura 23 - Plataforma operacional: meteo, AIS, risco e alertas em tempo quase real.</w:t>
      </w:r>
    </w:p>
    <w:p>
      <w:pPr>
        <w:spacing w:before="0" w:after="60" w:line="480" w:lineRule="auto"/>
      </w:pPr>
      <w:r>
        <w:rPr>
          <w:rFonts w:ascii="Times New Roman" w:hAnsi="Times New Roman"/>
          <w:b w:val="0"/>
          <w:i w:val="0"/>
          <w:sz w:val="22"/>
        </w:rPr>
        <w:t>Figura 24 - Pesos das ameaças por AHP (Saaty) face à ponderação adotada.</w:t>
      </w:r>
    </w:p>
    <w:p>
      <w:pPr>
        <w:spacing w:before="0" w:after="60" w:line="480" w:lineRule="auto"/>
      </w:pPr>
      <w:r>
        <w:rPr>
          <w:rFonts w:ascii="Times New Roman" w:hAnsi="Times New Roman"/>
          <w:b w:val="0"/>
          <w:i w:val="0"/>
          <w:sz w:val="22"/>
        </w:rPr>
        <w:t>Figura 25 - Sensibilidade da classificação ao limiar de decisão.</w:t>
      </w:r>
    </w:p>
    <w:p>
      <w:pPr>
        <w:pStyle w:val="Heading1"/>
      </w:pPr>
      <w:r>
        <w:t>Índice de Tabelas</w:t>
      </w:r>
    </w:p>
    <w:p>
      <w:pPr>
        <w:spacing w:before="0" w:after="60" w:line="480" w:lineRule="auto"/>
      </w:pPr>
      <w:r>
        <w:rPr>
          <w:rFonts w:ascii="Times New Roman" w:hAnsi="Times New Roman"/>
          <w:b w:val="0"/>
          <w:i w:val="0"/>
          <w:sz w:val="22"/>
        </w:rPr>
        <w:t>Tabela 1 - Fontes de dados reais por ameaça e respetiva assinatura espacial.</w:t>
      </w:r>
    </w:p>
    <w:p>
      <w:pPr>
        <w:spacing w:before="0" w:after="60" w:line="480" w:lineRule="auto"/>
      </w:pPr>
      <w:r>
        <w:rPr>
          <w:rFonts w:ascii="Times New Roman" w:hAnsi="Times New Roman"/>
          <w:b w:val="0"/>
          <w:i w:val="0"/>
          <w:sz w:val="22"/>
        </w:rPr>
        <w:t>Tabela 2 - Zonas de patrulha marítimas identificadas por k-médias (k = 4).</w:t>
      </w:r>
    </w:p>
    <w:p>
      <w:pPr>
        <w:spacing w:before="0" w:after="60" w:line="480" w:lineRule="auto"/>
      </w:pPr>
      <w:r>
        <w:rPr>
          <w:rFonts w:ascii="Times New Roman" w:hAnsi="Times New Roman"/>
          <w:b w:val="0"/>
          <w:i w:val="0"/>
          <w:sz w:val="22"/>
        </w:rPr>
        <w:t>Tabela 3 - Desempenho dos classificadores no conjunto de teste, em configuração base e</w:t>
      </w:r>
    </w:p>
    <w:p>
      <w:pPr>
        <w:spacing w:before="0" w:after="60" w:line="480" w:lineRule="auto"/>
      </w:pPr>
      <w:r>
        <w:rPr>
          <w:rFonts w:ascii="Times New Roman" w:hAnsi="Times New Roman"/>
          <w:b w:val="0"/>
          <w:i w:val="0"/>
          <w:sz w:val="22"/>
        </w:rPr>
        <w:t>Tabela 6 - Configurações de emprego recomendadas (cenário de média ponderada).</w:t>
      </w:r>
    </w:p>
    <w:p>
      <w:pPr>
        <w:spacing w:before="0" w:after="60" w:line="480" w:lineRule="auto"/>
      </w:pPr>
      <w:r>
        <w:rPr>
          <w:rFonts w:ascii="Times New Roman" w:hAnsi="Times New Roman"/>
          <w:b w:val="0"/>
          <w:i w:val="0"/>
          <w:sz w:val="22"/>
        </w:rPr>
        <w:t>Tabela 7 - Validação por estudo de caso: resposta do SAD a quatro cenários documentados.</w:t>
      </w:r>
    </w:p>
    <w:p>
      <w:pPr>
        <w:spacing w:before="0" w:after="60" w:line="480" w:lineRule="auto"/>
      </w:pPr>
      <w:r>
        <w:rPr>
          <w:rFonts w:ascii="Times New Roman" w:hAnsi="Times New Roman"/>
          <w:b w:val="0"/>
          <w:i w:val="0"/>
          <w:sz w:val="22"/>
        </w:rPr>
        <w:t>Tabela 8 - Síntese de validação quantitativa e respostas operacionais.</w:t>
      </w:r>
    </w:p>
    <w:p>
      <w:pPr>
        <w:spacing w:before="0" w:after="60" w:line="480" w:lineRule="auto"/>
      </w:pPr>
      <w:r>
        <w:rPr>
          <w:rFonts w:ascii="Times New Roman" w:hAnsi="Times New Roman"/>
          <w:b w:val="0"/>
          <w:i w:val="0"/>
          <w:sz w:val="22"/>
        </w:rPr>
        <w:t>Tabela 9 - Síntese da leitura crítica.</w:t>
      </w:r>
    </w:p>
    <w:p>
      <w:pPr>
        <w:spacing w:before="0" w:after="60" w:line="480" w:lineRule="auto"/>
      </w:pPr>
      <w:r>
        <w:rPr>
          <w:rFonts w:ascii="Times New Roman" w:hAnsi="Times New Roman"/>
          <w:b w:val="0"/>
          <w:i w:val="0"/>
          <w:sz w:val="22"/>
        </w:rPr>
        <w:t>Tabela B1 - Variância explicada pelas dez primeiras componentes principais.</w:t>
      </w:r>
    </w:p>
    <w:p>
      <w:pPr>
        <w:spacing w:before="0" w:after="60" w:line="480" w:lineRule="auto"/>
      </w:pPr>
      <w:r>
        <w:rPr>
          <w:rFonts w:ascii="Times New Roman" w:hAnsi="Times New Roman"/>
          <w:b w:val="0"/>
          <w:i w:val="0"/>
          <w:sz w:val="22"/>
        </w:rPr>
        <w:t>Tabela B2 - Cobertura máxima do risco em função do número de bases, com raio operacional de</w:t>
      </w:r>
    </w:p>
    <w:p>
      <w:pPr>
        <w:spacing w:before="0" w:after="60" w:line="480" w:lineRule="auto"/>
      </w:pPr>
      <w:r>
        <w:rPr>
          <w:rFonts w:ascii="Times New Roman" w:hAnsi="Times New Roman"/>
          <w:b w:val="0"/>
          <w:i w:val="0"/>
          <w:sz w:val="22"/>
        </w:rPr>
        <w:t>Tabela B3 - Cobertura por cenário de vento (raio de 90 km; células de alto risco alcançáveis</w:t>
      </w:r>
    </w:p>
    <w:p>
      <w:pPr>
        <w:spacing w:before="0" w:after="60" w:line="480" w:lineRule="auto"/>
      </w:pPr>
      <w:r>
        <w:rPr>
          <w:rFonts w:ascii="Times New Roman" w:hAnsi="Times New Roman"/>
          <w:b w:val="0"/>
          <w:i w:val="0"/>
          <w:sz w:val="22"/>
        </w:rPr>
        <w:t>Tabela B4 - Validação cruzada estratificada de cinco folds das configurações otimizadas</w:t>
      </w:r>
    </w:p>
    <w:p>
      <w:pPr>
        <w:spacing w:before="0" w:after="60" w:line="480" w:lineRule="auto"/>
      </w:pPr>
      <w:r>
        <w:rPr>
          <w:rFonts w:ascii="Times New Roman" w:hAnsi="Times New Roman"/>
          <w:b w:val="0"/>
          <w:i w:val="0"/>
          <w:sz w:val="22"/>
        </w:rPr>
        <w:t>Tabela B5 - Frota total e parâmetros operacionais em função do número de bases (área total de</w:t>
      </w:r>
    </w:p>
    <w:p>
      <w:pPr>
        <w:spacing w:before="0" w:after="60" w:line="480" w:lineRule="auto"/>
      </w:pPr>
      <w:r>
        <w:rPr>
          <w:rFonts w:ascii="Times New Roman" w:hAnsi="Times New Roman"/>
          <w:b w:val="0"/>
          <w:i w:val="0"/>
          <w:sz w:val="22"/>
        </w:rPr>
        <w:t>Tabela B6 - Análise de sensibilidade da frota total.</w:t>
      </w:r>
    </w:p>
    <w:p>
      <w:pPr>
        <w:spacing w:before="0" w:after="60" w:line="480" w:lineRule="auto"/>
      </w:pPr>
      <w:r>
        <w:rPr>
          <w:rFonts w:ascii="Times New Roman" w:hAnsi="Times New Roman"/>
          <w:b w:val="0"/>
          <w:i w:val="0"/>
          <w:sz w:val="22"/>
        </w:rPr>
        <w:t>Tabela B7 - Hiperparâmetros selecionados por GridSearchCV (configurações otimizadas).</w:t>
      </w:r>
    </w:p>
    <w:p>
      <w:pPr>
        <w:pStyle w:val="Heading1"/>
      </w:pPr>
      <w:r>
        <w:t>Lista de Abreviaturas, Siglas e Acrónimos</w:t>
      </w:r>
    </w:p>
    <w:tbl>
      <w:tblPr>
        <w:tblStyle w:val="TableGrid"/>
        <w:tblW w:type="auto" w:w="0"/>
        <w:tblLook w:firstColumn="1" w:firstRow="1" w:lastColumn="0" w:lastRow="0" w:noHBand="0" w:noVBand="1" w:val="04A0"/>
      </w:tblPr>
      <w:tblGrid>
        <w:gridCol w:w="4680"/>
        <w:gridCol w:w="4680"/>
      </w:tblGrid>
      <w:tr>
        <w:tc>
          <w:tcPr>
            <w:tcW w:type="dxa" w:w="4680"/>
          </w:tcPr>
          <w:p>
            <w:r>
              <w:rPr>
                <w:b/>
              </w:rPr>
              <w:t>Abreviatura</w:t>
            </w:r>
          </w:p>
        </w:tc>
        <w:tc>
          <w:tcPr>
            <w:tcW w:type="dxa" w:w="4680"/>
          </w:tcPr>
          <w:p>
            <w:r>
              <w:rPr>
                <w:b/>
              </w:rPr>
              <w:t>Significado</w:t>
            </w:r>
          </w:p>
        </w:tc>
      </w:tr>
      <w:tr>
        <w:tc>
          <w:tcPr>
            <w:tcW w:type="dxa" w:w="4680"/>
          </w:tcPr>
          <w:p>
            <w:r>
              <w:rPr>
                <w:rFonts w:ascii="Times New Roman" w:hAnsi="Times New Roman"/>
                <w:b/>
                <w:sz w:val="22"/>
              </w:rPr>
              <w:t>AHP</w:t>
            </w:r>
          </w:p>
        </w:tc>
        <w:tc>
          <w:tcPr>
            <w:tcW w:type="dxa" w:w="4680"/>
          </w:tcPr>
          <w:p>
            <w:r>
              <w:rPr>
                <w:rFonts w:ascii="Times New Roman" w:hAnsi="Times New Roman"/>
                <w:sz w:val="22"/>
              </w:rPr>
              <w:t>Analytic Hierarchy Process (Processo Analítico Hierárquico)</w:t>
            </w:r>
          </w:p>
        </w:tc>
      </w:tr>
      <w:tr>
        <w:tc>
          <w:tcPr>
            <w:tcW w:type="dxa" w:w="4680"/>
          </w:tcPr>
          <w:p>
            <w:r>
              <w:rPr>
                <w:rFonts w:ascii="Times New Roman" w:hAnsi="Times New Roman"/>
                <w:b/>
                <w:sz w:val="22"/>
              </w:rPr>
              <w:t>AIS</w:t>
            </w:r>
          </w:p>
        </w:tc>
        <w:tc>
          <w:tcPr>
            <w:tcW w:type="dxa" w:w="4680"/>
          </w:tcPr>
          <w:p>
            <w:r>
              <w:rPr>
                <w:rFonts w:ascii="Times New Roman" w:hAnsi="Times New Roman"/>
                <w:sz w:val="22"/>
              </w:rPr>
              <w:t>Automatic Identification System (sistema de identificação automática)</w:t>
            </w:r>
          </w:p>
        </w:tc>
      </w:tr>
      <w:tr>
        <w:tc>
          <w:tcPr>
            <w:tcW w:type="dxa" w:w="4680"/>
          </w:tcPr>
          <w:p>
            <w:r>
              <w:rPr>
                <w:rFonts w:ascii="Times New Roman" w:hAnsi="Times New Roman"/>
                <w:b/>
                <w:sz w:val="22"/>
              </w:rPr>
              <w:t>AR5</w:t>
            </w:r>
          </w:p>
        </w:tc>
        <w:tc>
          <w:tcPr>
            <w:tcW w:type="dxa" w:w="4680"/>
          </w:tcPr>
          <w:p>
            <w:r>
              <w:rPr>
                <w:rFonts w:ascii="Times New Roman" w:hAnsi="Times New Roman"/>
                <w:sz w:val="22"/>
              </w:rPr>
              <w:t>Aeronave TEKEVER AR5 (UAV de asa fixa)</w:t>
            </w:r>
          </w:p>
        </w:tc>
      </w:tr>
      <w:tr>
        <w:tc>
          <w:tcPr>
            <w:tcW w:type="dxa" w:w="4680"/>
          </w:tcPr>
          <w:p>
            <w:r>
              <w:rPr>
                <w:rFonts w:ascii="Times New Roman" w:hAnsi="Times New Roman"/>
                <w:b/>
                <w:sz w:val="22"/>
              </w:rPr>
              <w:t>CART</w:t>
            </w:r>
          </w:p>
        </w:tc>
        <w:tc>
          <w:tcPr>
            <w:tcW w:type="dxa" w:w="4680"/>
          </w:tcPr>
          <w:p>
            <w:r>
              <w:rPr>
                <w:rFonts w:ascii="Times New Roman" w:hAnsi="Times New Roman"/>
                <w:sz w:val="22"/>
              </w:rPr>
              <w:t>Classification and Regression Trees</w:t>
            </w:r>
          </w:p>
        </w:tc>
      </w:tr>
      <w:tr>
        <w:tc>
          <w:tcPr>
            <w:tcW w:type="dxa" w:w="4680"/>
          </w:tcPr>
          <w:p>
            <w:r>
              <w:rPr>
                <w:rFonts w:ascii="Times New Roman" w:hAnsi="Times New Roman"/>
                <w:b/>
                <w:sz w:val="22"/>
              </w:rPr>
              <w:t>CRISP-DM</w:t>
            </w:r>
          </w:p>
        </w:tc>
        <w:tc>
          <w:tcPr>
            <w:tcW w:type="dxa" w:w="4680"/>
          </w:tcPr>
          <w:p>
            <w:r>
              <w:rPr>
                <w:rFonts w:ascii="Times New Roman" w:hAnsi="Times New Roman"/>
                <w:sz w:val="22"/>
              </w:rPr>
              <w:t>Cross-Industry Standard Process for Data Mining</w:t>
            </w:r>
          </w:p>
        </w:tc>
      </w:tr>
      <w:tr>
        <w:tc>
          <w:tcPr>
            <w:tcW w:type="dxa" w:w="4680"/>
          </w:tcPr>
          <w:p>
            <w:r>
              <w:rPr>
                <w:rFonts w:ascii="Times New Roman" w:hAnsi="Times New Roman"/>
                <w:b/>
                <w:sz w:val="22"/>
              </w:rPr>
              <w:t>DBSCAN</w:t>
            </w:r>
          </w:p>
        </w:tc>
        <w:tc>
          <w:tcPr>
            <w:tcW w:type="dxa" w:w="4680"/>
          </w:tcPr>
          <w:p>
            <w:r>
              <w:rPr>
                <w:rFonts w:ascii="Times New Roman" w:hAnsi="Times New Roman"/>
                <w:sz w:val="22"/>
              </w:rPr>
              <w:t>Density-Based Spatial Clustering of Applications with Noise</w:t>
            </w:r>
          </w:p>
        </w:tc>
      </w:tr>
      <w:tr>
        <w:tc>
          <w:tcPr>
            <w:tcW w:type="dxa" w:w="4680"/>
          </w:tcPr>
          <w:p>
            <w:r>
              <w:rPr>
                <w:rFonts w:ascii="Times New Roman" w:hAnsi="Times New Roman"/>
                <w:b/>
                <w:sz w:val="22"/>
              </w:rPr>
              <w:t>EMODnet</w:t>
            </w:r>
          </w:p>
        </w:tc>
        <w:tc>
          <w:tcPr>
            <w:tcW w:type="dxa" w:w="4680"/>
          </w:tcPr>
          <w:p>
            <w:r>
              <w:rPr>
                <w:rFonts w:ascii="Times New Roman" w:hAnsi="Times New Roman"/>
                <w:sz w:val="22"/>
              </w:rPr>
              <w:t>European Marine Observation and Data Network</w:t>
            </w:r>
          </w:p>
        </w:tc>
      </w:tr>
      <w:tr>
        <w:tc>
          <w:tcPr>
            <w:tcW w:type="dxa" w:w="4680"/>
          </w:tcPr>
          <w:p>
            <w:r>
              <w:rPr>
                <w:rFonts w:ascii="Times New Roman" w:hAnsi="Times New Roman"/>
                <w:b/>
                <w:sz w:val="22"/>
              </w:rPr>
              <w:t>EMSA</w:t>
            </w:r>
          </w:p>
        </w:tc>
        <w:tc>
          <w:tcPr>
            <w:tcW w:type="dxa" w:w="4680"/>
          </w:tcPr>
          <w:p>
            <w:r>
              <w:rPr>
                <w:rFonts w:ascii="Times New Roman" w:hAnsi="Times New Roman"/>
                <w:sz w:val="22"/>
              </w:rPr>
              <w:t>European Maritime Safety Agency</w:t>
            </w:r>
          </w:p>
        </w:tc>
      </w:tr>
      <w:tr>
        <w:tc>
          <w:tcPr>
            <w:tcW w:type="dxa" w:w="4680"/>
          </w:tcPr>
          <w:p>
            <w:r>
              <w:rPr>
                <w:rFonts w:ascii="Times New Roman" w:hAnsi="Times New Roman"/>
                <w:b/>
                <w:sz w:val="22"/>
              </w:rPr>
              <w:t>EO/IR</w:t>
            </w:r>
          </w:p>
        </w:tc>
        <w:tc>
          <w:tcPr>
            <w:tcW w:type="dxa" w:w="4680"/>
          </w:tcPr>
          <w:p>
            <w:r>
              <w:rPr>
                <w:rFonts w:ascii="Times New Roman" w:hAnsi="Times New Roman"/>
                <w:sz w:val="22"/>
              </w:rPr>
              <w:t>Electro-Optical / Infrared (sensor eletro-ótico/infravermelho)</w:t>
            </w:r>
          </w:p>
        </w:tc>
      </w:tr>
      <w:tr>
        <w:tc>
          <w:tcPr>
            <w:tcW w:type="dxa" w:w="4680"/>
          </w:tcPr>
          <w:p>
            <w:r>
              <w:rPr>
                <w:rFonts w:ascii="Times New Roman" w:hAnsi="Times New Roman"/>
                <w:b/>
                <w:sz w:val="22"/>
              </w:rPr>
              <w:t>FCM</w:t>
            </w:r>
          </w:p>
        </w:tc>
        <w:tc>
          <w:tcPr>
            <w:tcW w:type="dxa" w:w="4680"/>
          </w:tcPr>
          <w:p>
            <w:r>
              <w:rPr>
                <w:rFonts w:ascii="Times New Roman" w:hAnsi="Times New Roman"/>
                <w:sz w:val="22"/>
              </w:rPr>
              <w:t>Fuzzy C-Means (*clustering* difuso)</w:t>
            </w:r>
          </w:p>
        </w:tc>
      </w:tr>
      <w:tr>
        <w:tc>
          <w:tcPr>
            <w:tcW w:type="dxa" w:w="4680"/>
          </w:tcPr>
          <w:p>
            <w:r>
              <w:rPr>
                <w:rFonts w:ascii="Times New Roman" w:hAnsi="Times New Roman"/>
                <w:b/>
                <w:sz w:val="22"/>
              </w:rPr>
              <w:t>FPC</w:t>
            </w:r>
          </w:p>
        </w:tc>
        <w:tc>
          <w:tcPr>
            <w:tcW w:type="dxa" w:w="4680"/>
          </w:tcPr>
          <w:p>
            <w:r>
              <w:rPr>
                <w:rFonts w:ascii="Times New Roman" w:hAnsi="Times New Roman"/>
                <w:sz w:val="22"/>
              </w:rPr>
              <w:t>Fuzzy Partition Coefficient (coeficiente de partição difusa)</w:t>
            </w:r>
          </w:p>
        </w:tc>
      </w:tr>
      <w:tr>
        <w:tc>
          <w:tcPr>
            <w:tcW w:type="dxa" w:w="4680"/>
          </w:tcPr>
          <w:p>
            <w:r>
              <w:rPr>
                <w:rFonts w:ascii="Times New Roman" w:hAnsi="Times New Roman"/>
                <w:b/>
                <w:sz w:val="22"/>
              </w:rPr>
              <w:t>INN</w:t>
            </w:r>
          </w:p>
        </w:tc>
        <w:tc>
          <w:tcPr>
            <w:tcW w:type="dxa" w:w="4680"/>
          </w:tcPr>
          <w:p>
            <w:r>
              <w:rPr>
                <w:rFonts w:ascii="Times New Roman" w:hAnsi="Times New Roman"/>
                <w:sz w:val="22"/>
              </w:rPr>
              <w:t>Pesca ilegal, não declarada e não regulamentada</w:t>
            </w:r>
          </w:p>
        </w:tc>
      </w:tr>
      <w:tr>
        <w:tc>
          <w:tcPr>
            <w:tcW w:type="dxa" w:w="4680"/>
          </w:tcPr>
          <w:p>
            <w:r>
              <w:rPr>
                <w:rFonts w:ascii="Times New Roman" w:hAnsi="Times New Roman"/>
                <w:b/>
                <w:sz w:val="22"/>
              </w:rPr>
              <w:t>IOM</w:t>
            </w:r>
          </w:p>
        </w:tc>
        <w:tc>
          <w:tcPr>
            <w:tcW w:type="dxa" w:w="4680"/>
          </w:tcPr>
          <w:p>
            <w:r>
              <w:rPr>
                <w:rFonts w:ascii="Times New Roman" w:hAnsi="Times New Roman"/>
                <w:sz w:val="22"/>
              </w:rPr>
              <w:t>International Organization for Migration</w:t>
            </w:r>
          </w:p>
        </w:tc>
      </w:tr>
      <w:tr>
        <w:tc>
          <w:tcPr>
            <w:tcW w:type="dxa" w:w="4680"/>
          </w:tcPr>
          <w:p>
            <w:r>
              <w:rPr>
                <w:rFonts w:ascii="Times New Roman" w:hAnsi="Times New Roman"/>
                <w:b/>
                <w:sz w:val="22"/>
              </w:rPr>
              <w:t>KDE</w:t>
            </w:r>
          </w:p>
        </w:tc>
        <w:tc>
          <w:tcPr>
            <w:tcW w:type="dxa" w:w="4680"/>
          </w:tcPr>
          <w:p>
            <w:r>
              <w:rPr>
                <w:rFonts w:ascii="Times New Roman" w:hAnsi="Times New Roman"/>
                <w:sz w:val="22"/>
              </w:rPr>
              <w:t>Kernel Density Estimation (estimação de densidade por núcleos)</w:t>
            </w:r>
          </w:p>
        </w:tc>
      </w:tr>
      <w:tr>
        <w:tc>
          <w:tcPr>
            <w:tcW w:type="dxa" w:w="4680"/>
          </w:tcPr>
          <w:p>
            <w:r>
              <w:rPr>
                <w:rFonts w:ascii="Times New Roman" w:hAnsi="Times New Roman"/>
                <w:b/>
                <w:sz w:val="22"/>
              </w:rPr>
              <w:t>MAOC-N</w:t>
            </w:r>
          </w:p>
        </w:tc>
        <w:tc>
          <w:tcPr>
            <w:tcW w:type="dxa" w:w="4680"/>
          </w:tcPr>
          <w:p>
            <w:r>
              <w:rPr>
                <w:rFonts w:ascii="Times New Roman" w:hAnsi="Times New Roman"/>
                <w:sz w:val="22"/>
              </w:rPr>
              <w:t>Maritime Analysis and Operations Centre — Narcotics</w:t>
            </w:r>
          </w:p>
        </w:tc>
      </w:tr>
      <w:tr>
        <w:tc>
          <w:tcPr>
            <w:tcW w:type="dxa" w:w="4680"/>
          </w:tcPr>
          <w:p>
            <w:r>
              <w:rPr>
                <w:rFonts w:ascii="Times New Roman" w:hAnsi="Times New Roman"/>
                <w:b/>
                <w:sz w:val="22"/>
              </w:rPr>
              <w:t>MCLP</w:t>
            </w:r>
          </w:p>
        </w:tc>
        <w:tc>
          <w:tcPr>
            <w:tcW w:type="dxa" w:w="4680"/>
          </w:tcPr>
          <w:p>
            <w:r>
              <w:rPr>
                <w:rFonts w:ascii="Times New Roman" w:hAnsi="Times New Roman"/>
                <w:sz w:val="22"/>
              </w:rPr>
              <w:t>Maximal Covering Location Problem</w:t>
            </w:r>
          </w:p>
        </w:tc>
      </w:tr>
      <w:tr>
        <w:tc>
          <w:tcPr>
            <w:tcW w:type="dxa" w:w="4680"/>
          </w:tcPr>
          <w:p>
            <w:r>
              <w:rPr>
                <w:rFonts w:ascii="Times New Roman" w:hAnsi="Times New Roman"/>
                <w:b/>
                <w:sz w:val="22"/>
              </w:rPr>
              <w:t>MLP</w:t>
            </w:r>
          </w:p>
        </w:tc>
        <w:tc>
          <w:tcPr>
            <w:tcW w:type="dxa" w:w="4680"/>
          </w:tcPr>
          <w:p>
            <w:r>
              <w:rPr>
                <w:rFonts w:ascii="Times New Roman" w:hAnsi="Times New Roman"/>
                <w:sz w:val="22"/>
              </w:rPr>
              <w:t>Multilayer Perceptron (perceptrão multicamada)</w:t>
            </w:r>
          </w:p>
        </w:tc>
      </w:tr>
      <w:tr>
        <w:tc>
          <w:tcPr>
            <w:tcW w:type="dxa" w:w="4680"/>
          </w:tcPr>
          <w:p>
            <w:r>
              <w:rPr>
                <w:rFonts w:ascii="Times New Roman" w:hAnsi="Times New Roman"/>
                <w:b/>
                <w:sz w:val="22"/>
              </w:rPr>
              <w:t>PCA</w:t>
            </w:r>
          </w:p>
        </w:tc>
        <w:tc>
          <w:tcPr>
            <w:tcW w:type="dxa" w:w="4680"/>
          </w:tcPr>
          <w:p>
            <w:r>
              <w:rPr>
                <w:rFonts w:ascii="Times New Roman" w:hAnsi="Times New Roman"/>
                <w:sz w:val="22"/>
              </w:rPr>
              <w:t>Principal Component Analysis (análise de componentes principais)</w:t>
            </w:r>
          </w:p>
        </w:tc>
      </w:tr>
      <w:tr>
        <w:tc>
          <w:tcPr>
            <w:tcW w:type="dxa" w:w="4680"/>
          </w:tcPr>
          <w:p>
            <w:r>
              <w:rPr>
                <w:rFonts w:ascii="Times New Roman" w:hAnsi="Times New Roman"/>
                <w:b/>
                <w:sz w:val="22"/>
              </w:rPr>
              <w:t>PR-AUC</w:t>
            </w:r>
          </w:p>
        </w:tc>
        <w:tc>
          <w:tcPr>
            <w:tcW w:type="dxa" w:w="4680"/>
          </w:tcPr>
          <w:p>
            <w:r>
              <w:rPr>
                <w:rFonts w:ascii="Times New Roman" w:hAnsi="Times New Roman"/>
                <w:sz w:val="22"/>
              </w:rPr>
              <w:t>Área sob a curva precisão–sensibilidade</w:t>
            </w:r>
          </w:p>
        </w:tc>
      </w:tr>
      <w:tr>
        <w:tc>
          <w:tcPr>
            <w:tcW w:type="dxa" w:w="4680"/>
          </w:tcPr>
          <w:p>
            <w:r>
              <w:rPr>
                <w:rFonts w:ascii="Times New Roman" w:hAnsi="Times New Roman"/>
                <w:b/>
                <w:sz w:val="22"/>
              </w:rPr>
              <w:t>ROC-AUC</w:t>
            </w:r>
          </w:p>
        </w:tc>
        <w:tc>
          <w:tcPr>
            <w:tcW w:type="dxa" w:w="4680"/>
          </w:tcPr>
          <w:p>
            <w:r>
              <w:rPr>
                <w:rFonts w:ascii="Times New Roman" w:hAnsi="Times New Roman"/>
                <w:sz w:val="22"/>
              </w:rPr>
              <w:t>Área sob a curva ROC</w:t>
            </w:r>
          </w:p>
        </w:tc>
      </w:tr>
      <w:tr>
        <w:tc>
          <w:tcPr>
            <w:tcW w:type="dxa" w:w="4680"/>
          </w:tcPr>
          <w:p>
            <w:r>
              <w:rPr>
                <w:rFonts w:ascii="Times New Roman" w:hAnsi="Times New Roman"/>
                <w:b/>
                <w:sz w:val="22"/>
              </w:rPr>
              <w:t>SAD</w:t>
            </w:r>
          </w:p>
        </w:tc>
        <w:tc>
          <w:tcPr>
            <w:tcW w:type="dxa" w:w="4680"/>
          </w:tcPr>
          <w:p>
            <w:r>
              <w:rPr>
                <w:rFonts w:ascii="Times New Roman" w:hAnsi="Times New Roman"/>
                <w:sz w:val="22"/>
              </w:rPr>
              <w:t>Sistema de Apoio à Decisão</w:t>
            </w:r>
          </w:p>
        </w:tc>
      </w:tr>
      <w:tr>
        <w:tc>
          <w:tcPr>
            <w:tcW w:type="dxa" w:w="4680"/>
          </w:tcPr>
          <w:p>
            <w:r>
              <w:rPr>
                <w:rFonts w:ascii="Times New Roman" w:hAnsi="Times New Roman"/>
                <w:b/>
                <w:sz w:val="22"/>
              </w:rPr>
              <w:t>SMOTE</w:t>
            </w:r>
          </w:p>
        </w:tc>
        <w:tc>
          <w:tcPr>
            <w:tcW w:type="dxa" w:w="4680"/>
          </w:tcPr>
          <w:p>
            <w:r>
              <w:rPr>
                <w:rFonts w:ascii="Times New Roman" w:hAnsi="Times New Roman"/>
                <w:sz w:val="22"/>
              </w:rPr>
              <w:t>Synthetic Minority Over-sampling Technique</w:t>
            </w:r>
          </w:p>
        </w:tc>
      </w:tr>
      <w:tr>
        <w:tc>
          <w:tcPr>
            <w:tcW w:type="dxa" w:w="4680"/>
          </w:tcPr>
          <w:p>
            <w:r>
              <w:rPr>
                <w:rFonts w:ascii="Times New Roman" w:hAnsi="Times New Roman"/>
                <w:b/>
                <w:sz w:val="22"/>
              </w:rPr>
              <w:t>UAV</w:t>
            </w:r>
          </w:p>
        </w:tc>
        <w:tc>
          <w:tcPr>
            <w:tcW w:type="dxa" w:w="4680"/>
          </w:tcPr>
          <w:p>
            <w:r>
              <w:rPr>
                <w:rFonts w:ascii="Times New Roman" w:hAnsi="Times New Roman"/>
                <w:sz w:val="22"/>
              </w:rPr>
              <w:t>Unmanned Aerial Vehicle (veículo aéreo não tripulado)</w:t>
            </w:r>
          </w:p>
        </w:tc>
      </w:tr>
      <w:tr>
        <w:tc>
          <w:tcPr>
            <w:tcW w:type="dxa" w:w="4680"/>
          </w:tcPr>
          <w:p>
            <w:r>
              <w:rPr>
                <w:rFonts w:ascii="Times New Roman" w:hAnsi="Times New Roman"/>
                <w:b/>
                <w:sz w:val="22"/>
              </w:rPr>
              <w:t>UNODC</w:t>
            </w:r>
          </w:p>
        </w:tc>
        <w:tc>
          <w:tcPr>
            <w:tcW w:type="dxa" w:w="4680"/>
          </w:tcPr>
          <w:p>
            <w:r>
              <w:rPr>
                <w:rFonts w:ascii="Times New Roman" w:hAnsi="Times New Roman"/>
                <w:sz w:val="22"/>
              </w:rPr>
              <w:t>United Nations Office on Drugs and Crime</w:t>
            </w:r>
          </w:p>
        </w:tc>
      </w:tr>
      <w:tr>
        <w:tc>
          <w:tcPr>
            <w:tcW w:type="dxa" w:w="4680"/>
          </w:tcPr>
          <w:p>
            <w:r>
              <w:rPr>
                <w:rFonts w:ascii="Times New Roman" w:hAnsi="Times New Roman"/>
                <w:b/>
                <w:sz w:val="22"/>
              </w:rPr>
              <w:t>ZEE</w:t>
            </w:r>
          </w:p>
        </w:tc>
        <w:tc>
          <w:tcPr>
            <w:tcW w:type="dxa" w:w="4680"/>
          </w:tcPr>
          <w:p>
            <w:r>
              <w:rPr>
                <w:rFonts w:ascii="Times New Roman" w:hAnsi="Times New Roman"/>
                <w:sz w:val="22"/>
              </w:rPr>
              <w:t>Zona Económica Exclusiva</w:t>
            </w:r>
          </w:p>
        </w:tc>
      </w:tr>
    </w:tbl>
    <w:p>
      <w:r>
        <w:br w:type="page"/>
      </w:r>
    </w:p>
    <w:p>
      <w:pPr>
        <w:sectPr>
          <w:pgSz w:w="12240" w:h="15840"/>
          <w:pgMar w:top="1440" w:right="1440" w:bottom="1440" w:left="1440" w:header="720" w:footer="720" w:gutter="0"/>
          <w:cols w:space="720"/>
          <w:docGrid w:linePitch="360"/>
        </w:sectPr>
      </w:pPr>
    </w:p>
    <w:p>
      <w:pPr>
        <w:pStyle w:val="Heading1"/>
      </w:pPr>
      <w:r>
        <w:t>1. Introdução</w:t>
      </w:r>
    </w:p>
    <w:p>
      <w:pPr>
        <w:spacing w:line="480" w:lineRule="auto"/>
        <w:ind w:firstLine="720"/>
        <w:jc w:val="both"/>
      </w:pPr>
      <w:r>
        <w:rPr>
          <w:rFonts w:ascii="Times New Roman" w:hAnsi="Times New Roman"/>
          <w:sz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 à entrada do Mediterrâneo e no termo das rotas atlânticas provenientes de África e da América do Sul —,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 e todas competem pelos mesmos meios de vigilância, inerentemente escassos.</w:t>
      </w:r>
    </w:p>
    <w:p>
      <w:pPr>
        <w:spacing w:line="480" w:lineRule="auto"/>
        <w:ind w:firstLine="720"/>
        <w:jc w:val="both"/>
      </w:pPr>
      <w:r>
        <w:rPr>
          <w:rFonts w:ascii="Times New Roman" w:hAnsi="Times New Roman"/>
          <w:sz w:val="24"/>
        </w:rPr>
        <w:t xml:space="preserve">A doutrina clássica de fiscalização marítima assenta em meios tripulados — navios de patrulha oceânica e aeronaves de patrulhamento marítimo — cujo custo-hora elevado e cuja autonomia limitada restringem severamente a persistência da cobertura. É neste contexto que os veículos aéreos não tripulados (UAV) de longa autonomia, de que o </w:t>
      </w:r>
      <w:r>
        <w:rPr>
          <w:rFonts w:ascii="Times New Roman" w:hAnsi="Times New Roman"/>
          <w:b/>
          <w:sz w:val="24"/>
        </w:rPr>
        <w:t>TEKEVER AR5</w:t>
      </w:r>
      <w:r>
        <w:rPr>
          <w:rFonts w:ascii="Times New Roman" w:hAnsi="Times New Roman"/>
          <w:sz w:val="24"/>
        </w:rPr>
        <w:t xml:space="preserve">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w:t>
      </w:r>
      <w:r>
        <w:rPr>
          <w:rFonts w:ascii="Times New Roman" w:hAnsi="Times New Roman"/>
          <w:i/>
          <w:sz w:val="24"/>
        </w:rPr>
        <w:t>se</w:t>
      </w:r>
      <w:r>
        <w:rPr>
          <w:rFonts w:ascii="Times New Roman" w:hAnsi="Times New Roman"/>
          <w:sz w:val="24"/>
        </w:rPr>
        <w:t xml:space="preserve"> se deve recorrer a estes meios, e passa a ser </w:t>
      </w:r>
      <w:r>
        <w:rPr>
          <w:rFonts w:ascii="Times New Roman" w:hAnsi="Times New Roman"/>
          <w:i/>
          <w:sz w:val="24"/>
        </w:rPr>
        <w:t>como</w:t>
      </w:r>
      <w:r>
        <w:rPr>
          <w:rFonts w:ascii="Times New Roman" w:hAnsi="Times New Roman"/>
          <w:sz w:val="24"/>
        </w:rPr>
        <w:t xml:space="preserve"> os empregar de forma ótima.</w:t>
      </w:r>
    </w:p>
    <w:p>
      <w:pPr>
        <w:spacing w:line="480" w:lineRule="auto"/>
        <w:ind w:firstLine="720"/>
        <w:jc w:val="both"/>
      </w:pPr>
      <w:r>
        <w:rPr>
          <w:rFonts w:ascii="Times New Roman" w:hAnsi="Times New Roman"/>
          <w:sz w:val="24"/>
        </w:rPr>
        <w:t xml:space="preserve">Esta passagem do «se» para o «como» é, na sua essência, um problema de apoio à decisão. Trata-se de uma decisão </w:t>
      </w:r>
      <w:r>
        <w:rPr>
          <w:rFonts w:ascii="Times New Roman" w:hAnsi="Times New Roman"/>
          <w:b/>
          <w:sz w:val="24"/>
        </w:rPr>
        <w:t>semiestruturada</w:t>
      </w:r>
      <w:r>
        <w:rPr>
          <w:rFonts w:ascii="Times New Roman" w:hAnsi="Times New Roman"/>
          <w:sz w:val="24"/>
        </w:rPr>
        <w:t xml:space="preserve"> — na aceção de Simon (1977) e da matriz tipo-nível de decisão popularizada por Gorry e Scott Morton —,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 (Turban, Sharda, &amp; Delen, 2011).</w:t>
      </w:r>
    </w:p>
    <w:p>
      <w:pPr>
        <w:spacing w:line="480" w:lineRule="auto"/>
        <w:ind w:firstLine="720"/>
        <w:jc w:val="both"/>
      </w:pPr>
      <w:r>
        <w:rPr>
          <w:rFonts w:ascii="Times New Roman" w:hAnsi="Times New Roman"/>
          <w:sz w:val="24"/>
        </w:rPr>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w:t>
      </w:r>
      <w:r>
        <w:rPr>
          <w:rFonts w:ascii="Times New Roman" w:hAnsi="Times New Roman"/>
          <w:b/>
          <w:sz w:val="24"/>
        </w:rPr>
        <w:t>índice de risco fundamentado em dados</w:t>
      </w:r>
      <w:r>
        <w:rPr>
          <w:rFonts w:ascii="Times New Roman" w:hAnsi="Times New Roman"/>
          <w:sz w:val="24"/>
        </w:rPr>
        <w:t xml:space="preserve">, extraído por técnicas de </w:t>
      </w:r>
      <w:r>
        <w:rPr>
          <w:rFonts w:ascii="Times New Roman" w:hAnsi="Times New Roman"/>
          <w:i/>
          <w:sz w:val="24"/>
        </w:rPr>
        <w:t>data mining</w:t>
      </w:r>
      <w:r>
        <w:rPr>
          <w:rFonts w:ascii="Times New Roman" w:hAnsi="Times New Roman"/>
          <w:sz w:val="24"/>
        </w:rPr>
        <w:t xml:space="preserve"> a partir de evidência empírica; por outro, formular e resolver explicitamente os problemas de </w:t>
      </w:r>
      <w:r>
        <w:rPr>
          <w:rFonts w:ascii="Times New Roman" w:hAnsi="Times New Roman"/>
          <w:b/>
          <w:sz w:val="24"/>
        </w:rPr>
        <w:t>localização de bases</w:t>
      </w:r>
      <w:r>
        <w:rPr>
          <w:rFonts w:ascii="Times New Roman" w:hAnsi="Times New Roman"/>
          <w:sz w:val="24"/>
        </w:rPr>
        <w:t xml:space="preserve"> e de </w:t>
      </w:r>
      <w:r>
        <w:rPr>
          <w:rFonts w:ascii="Times New Roman" w:hAnsi="Times New Roman"/>
          <w:b/>
          <w:sz w:val="24"/>
        </w:rPr>
        <w:t>dimensionamento de frota</w:t>
      </w:r>
      <w:r>
        <w:rPr>
          <w:rFonts w:ascii="Times New Roman" w:hAnsi="Times New Roman"/>
          <w:sz w:val="24"/>
        </w:rPr>
        <w:t>, transformando o conhecimento sobre as ameaças em recomendações operacionais quantificadas.</w:t>
      </w:r>
    </w:p>
    <w:p>
      <w:pPr>
        <w:pStyle w:val="Heading2"/>
      </w:pPr>
      <w:r>
        <w:t>1.1 Objetivos e questões de investigação</w:t>
      </w:r>
    </w:p>
    <w:p>
      <w:pPr>
        <w:spacing w:line="480" w:lineRule="auto"/>
        <w:ind w:firstLine="720"/>
        <w:jc w:val="both"/>
      </w:pPr>
      <w:r>
        <w:rPr>
          <w:rFonts w:ascii="Times New Roman" w:hAnsi="Times New Roman"/>
          <w:sz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pPr>
        <w:spacing w:line="480" w:lineRule="auto"/>
        <w:ind w:firstLine="720"/>
        <w:jc w:val="both"/>
      </w:pPr>
      <w:r>
        <w:rPr>
          <w:rFonts w:ascii="Times New Roman" w:hAnsi="Times New Roman"/>
          <w:sz w:val="24"/>
        </w:rPr>
        <w:t xml:space="preserve">- </w:t>
      </w:r>
      <w:r>
        <w:rPr>
          <w:rFonts w:ascii="Times New Roman" w:hAnsi="Times New Roman"/>
          <w:b/>
          <w:sz w:val="24"/>
        </w:rPr>
        <w:t>Q1.</w:t>
      </w:r>
      <w:r>
        <w:rPr>
          <w:rFonts w:ascii="Times New Roman" w:hAnsi="Times New Roman"/>
          <w:sz w:val="24"/>
        </w:rPr>
        <w:t xml:space="preserve"> Onde se concentra, de facto, a atividade ilícita marítima, e é essa concentração consistente entre fontes de dados e métodos de análise independentes? - </w:t>
      </w:r>
      <w:r>
        <w:rPr>
          <w:rFonts w:ascii="Times New Roman" w:hAnsi="Times New Roman"/>
          <w:b/>
          <w:sz w:val="24"/>
        </w:rPr>
        <w:t>Q2.</w:t>
      </w:r>
      <w:r>
        <w:rPr>
          <w:rFonts w:ascii="Times New Roman" w:hAnsi="Times New Roman"/>
          <w:sz w:val="24"/>
        </w:rPr>
        <w:t xml:space="preserve"> É possível prever a natureza marítima de uma ocorrência a partir dos seus atributos, e que algoritmo o faz com maior fiabilidade num cenário de classes fortemente desequilibradas? - </w:t>
      </w:r>
      <w:r>
        <w:rPr>
          <w:rFonts w:ascii="Times New Roman" w:hAnsi="Times New Roman"/>
          <w:b/>
          <w:sz w:val="24"/>
        </w:rPr>
        <w:t>Q3.</w:t>
      </w:r>
      <w:r>
        <w:rPr>
          <w:rFonts w:ascii="Times New Roman" w:hAnsi="Times New Roman"/>
          <w:sz w:val="24"/>
        </w:rPr>
        <w:t xml:space="preserve"> Qual é o fator que efetivamente limita a cobertura — o alcance da aeronave ou a capacidade de revisita sensorial? - </w:t>
      </w:r>
      <w:r>
        <w:rPr>
          <w:rFonts w:ascii="Times New Roman" w:hAnsi="Times New Roman"/>
          <w:b/>
          <w:sz w:val="24"/>
        </w:rPr>
        <w:t>Q4.</w:t>
      </w:r>
      <w:r>
        <w:rPr>
          <w:rFonts w:ascii="Times New Roman" w:hAnsi="Times New Roman"/>
          <w:sz w:val="24"/>
        </w:rPr>
        <w:t xml:space="preserve"> Quantas aeronaves e quantas bases são necessárias para garantir uma vigilância persistente 24 horas, e qual a sensibilidade desse efetivo aos parâmetros do sistema?</w:t>
      </w:r>
    </w:p>
    <w:p>
      <w:pPr>
        <w:pStyle w:val="Heading2"/>
      </w:pPr>
      <w:r>
        <w:t>1.2 Contribuições</w:t>
      </w:r>
    </w:p>
    <w:p>
      <w:pPr>
        <w:spacing w:line="480" w:lineRule="auto"/>
        <w:ind w:firstLine="720"/>
        <w:jc w:val="both"/>
      </w:pPr>
      <w:r>
        <w:rPr>
          <w:rFonts w:ascii="Times New Roman" w:hAnsi="Times New Roman"/>
          <w:sz w:val="24"/>
        </w:rPr>
        <w:t xml:space="preserve">As principais contribuições deste trabalho são: (i) a construção de um índice de risco marítimo multi-ameaça a partir de dados reais, agregado por duas vias metodologicamente distintas (média ponderada e inferência difusa) cuja convergência é quantificada; (ii) a validação cruzada desse índice através de </w:t>
      </w:r>
      <w:r>
        <w:rPr>
          <w:rFonts w:ascii="Times New Roman" w:hAnsi="Times New Roman"/>
          <w:i/>
          <w:sz w:val="24"/>
        </w:rPr>
        <w:t>clustering</w:t>
      </w:r>
      <w:r>
        <w:rPr>
          <w:rFonts w:ascii="Times New Roman" w:hAnsi="Times New Roman"/>
          <w:sz w:val="24"/>
        </w:rPr>
        <w:t xml:space="preserve"> não supervisionado, que reproduz, de forma independente, os pontos quentes que o modelo de risco identifica; (iii) a demonstração empírica de que o paradigma de raio fixo do estudo anterior subestima grosseiramente a capacidade do sistema; e (iv) um modelo de dimensionamento de frota que separa o alcance da cobertura sensorial e cuja robustez é aferida por análise de sensibilidade.</w:t>
      </w:r>
    </w:p>
    <w:p>
      <w:pPr>
        <w:pStyle w:val="Heading2"/>
      </w:pPr>
      <w:r>
        <w:t>1.3 Estrutura do documento</w:t>
      </w:r>
    </w:p>
    <w:p>
      <w:pPr>
        <w:spacing w:line="480" w:lineRule="auto"/>
        <w:ind w:firstLine="720"/>
        <w:jc w:val="both"/>
      </w:pPr>
      <w:r>
        <w:rPr>
          <w:rFonts w:ascii="Times New Roman" w:hAnsi="Times New Roman"/>
          <w:sz w:val="24"/>
        </w:rPr>
        <w:t xml:space="preserve">A Secção 2 enquadra teoricamente o SAD. A Secção 3 caracteriza dados e pipeline. As Secções 4–5 descrevem </w:t>
      </w:r>
      <w:r>
        <w:rPr>
          <w:rFonts w:ascii="Times New Roman" w:hAnsi="Times New Roman"/>
          <w:i/>
          <w:sz w:val="24"/>
        </w:rPr>
        <w:t>data mining</w:t>
      </w:r>
      <w:r>
        <w:rPr>
          <w:rFonts w:ascii="Times New Roman" w:hAnsi="Times New Roman"/>
          <w:sz w:val="24"/>
        </w:rPr>
        <w:t xml:space="preserve"> e otimização. A Secção 6 apresenta o painel e a plataforma. A Secção 7 valida o sistema (estudo de caso e métricas quantitativas). As Secções 8–9 discutem limitações, recomendam a configuração operacional e concluem.</w:t>
      </w:r>
    </w:p>
    <w:p>
      <w:r>
        <w:br w:type="page"/>
      </w:r>
    </w:p>
    <w:p>
      <w:pPr>
        <w:pStyle w:val="Heading1"/>
      </w:pPr>
      <w:r>
        <w:t>2. Enquadramento teórico e revisão de literatura</w:t>
      </w:r>
    </w:p>
    <w:p>
      <w:pPr>
        <w:pStyle w:val="Heading2"/>
      </w:pPr>
      <w:r>
        <w:t>2.1 Sistemas de Apoio à Decisão e o processo de decisão</w:t>
      </w:r>
    </w:p>
    <w:p>
      <w:pPr>
        <w:spacing w:line="480" w:lineRule="auto"/>
        <w:ind w:firstLine="720"/>
        <w:jc w:val="both"/>
      </w:pPr>
      <w:r>
        <w:rPr>
          <w:rFonts w:ascii="Times New Roman" w:hAnsi="Times New Roman"/>
          <w:sz w:val="24"/>
        </w:rPr>
        <w:t xml:space="preserve">Um Sistema de Apoio à Decisão é, na definição consensual da literatura, um sistema de informação interativo, baseado em computador, que combina dados e modelos para auxiliar decisores na resolução de problemas semiestruturados ou não estruturados (Turban et al., 2011). A sua génese conceptual remonta ao modelo de processo de decisão de Simon (1977), que decompõe a decisão em três fases sucessivas e iterativas: </w:t>
      </w:r>
      <w:r>
        <w:rPr>
          <w:rFonts w:ascii="Times New Roman" w:hAnsi="Times New Roman"/>
          <w:b/>
          <w:sz w:val="24"/>
        </w:rPr>
        <w:t>inteligência</w:t>
      </w:r>
      <w:r>
        <w:rPr>
          <w:rFonts w:ascii="Times New Roman" w:hAnsi="Times New Roman"/>
          <w:sz w:val="24"/>
        </w:rPr>
        <w:t xml:space="preserve"> (identificação e diagnóstico do problema, recolha de dados), </w:t>
      </w:r>
      <w:r>
        <w:rPr>
          <w:rFonts w:ascii="Times New Roman" w:hAnsi="Times New Roman"/>
          <w:b/>
          <w:sz w:val="24"/>
        </w:rPr>
        <w:t>conceção</w:t>
      </w:r>
      <w:r>
        <w:rPr>
          <w:rFonts w:ascii="Times New Roman" w:hAnsi="Times New Roman"/>
          <w:sz w:val="24"/>
        </w:rPr>
        <w:t xml:space="preserve"> (formulação e modelação de alternativas) e </w:t>
      </w:r>
      <w:r>
        <w:rPr>
          <w:rFonts w:ascii="Times New Roman" w:hAnsi="Times New Roman"/>
          <w:b/>
          <w:sz w:val="24"/>
        </w:rPr>
        <w:t>escolha</w:t>
      </w:r>
      <w:r>
        <w:rPr>
          <w:rFonts w:ascii="Times New Roman" w:hAnsi="Times New Roman"/>
          <w:sz w:val="24"/>
        </w:rPr>
        <w:t xml:space="preserve"> (seleção e implementação da alternativa preferida). Marakas (2003) reformula este ciclo numa sequência operacionalmente sugestiva — </w:t>
      </w:r>
      <w:r>
        <w:rPr>
          <w:rFonts w:ascii="Times New Roman" w:hAnsi="Times New Roman"/>
          <w:b/>
          <w:sz w:val="24"/>
        </w:rPr>
        <w:t>Medir → Analisar → Agir</w:t>
      </w:r>
      <w:r>
        <w:rPr>
          <w:rFonts w:ascii="Times New Roman" w:hAnsi="Times New Roman"/>
          <w:sz w:val="24"/>
        </w:rPr>
        <w:t xml:space="preserve"> — que se adota neste trabalho por traduzir com fidelidade o seu fluxo: medem-se as ameaças através dos dados disponíveis, analisam-se esses dados por técnicas de </w:t>
      </w:r>
      <w:r>
        <w:rPr>
          <w:rFonts w:ascii="Times New Roman" w:hAnsi="Times New Roman"/>
          <w:i/>
          <w:sz w:val="24"/>
        </w:rPr>
        <w:t>data mining</w:t>
      </w:r>
      <w:r>
        <w:rPr>
          <w:rFonts w:ascii="Times New Roman" w:hAnsi="Times New Roman"/>
          <w:sz w:val="24"/>
        </w:rPr>
        <w:t xml:space="preserve"> e otimização, e age-se através de uma recomendação concreta de emprego de meios. Subjacente a todo o processo está a hierarquia </w:t>
      </w:r>
      <w:r>
        <w:rPr>
          <w:rFonts w:ascii="Times New Roman" w:hAnsi="Times New Roman"/>
          <w:b/>
          <w:sz w:val="24"/>
        </w:rPr>
        <w:t>dados → informação → conhecimento</w:t>
      </w:r>
      <w:r>
        <w:rPr>
          <w:rFonts w:ascii="Times New Roman" w:hAnsi="Times New Roman"/>
          <w:sz w:val="24"/>
        </w:rPr>
        <w:t>: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pPr>
        <w:pStyle w:val="Heading2"/>
      </w:pPr>
      <w:r>
        <w:t>2.2 Extração de conhecimento e data mining</w:t>
      </w:r>
    </w:p>
    <w:p>
      <w:pPr>
        <w:spacing w:line="480" w:lineRule="auto"/>
        <w:ind w:firstLine="720"/>
        <w:jc w:val="both"/>
      </w:pPr>
      <w:r>
        <w:rPr>
          <w:rFonts w:ascii="Times New Roman" w:hAnsi="Times New Roman"/>
          <w:sz w:val="24"/>
        </w:rPr>
        <w:t xml:space="preserve">A componente analítica do trabalho insere-se no processo de </w:t>
      </w:r>
      <w:r>
        <w:rPr>
          <w:rFonts w:ascii="Times New Roman" w:hAnsi="Times New Roman"/>
          <w:b/>
          <w:sz w:val="24"/>
        </w:rPr>
        <w:t>descoberta de conhecimento em bases de dados</w:t>
      </w:r>
      <w:r>
        <w:rPr>
          <w:rFonts w:ascii="Times New Roman" w:hAnsi="Times New Roman"/>
          <w:sz w:val="24"/>
        </w:rPr>
        <w:t xml:space="preserve"> (</w:t>
      </w:r>
      <w:r>
        <w:rPr>
          <w:rFonts w:ascii="Times New Roman" w:hAnsi="Times New Roman"/>
          <w:i/>
          <w:sz w:val="24"/>
        </w:rPr>
        <w:t>Knowledge Discovery in Databases</w:t>
      </w:r>
      <w:r>
        <w:rPr>
          <w:rFonts w:ascii="Times New Roman" w:hAnsi="Times New Roman"/>
          <w:sz w:val="24"/>
        </w:rPr>
        <w:t xml:space="preserve">, KDD), formalizado por Fayyad, Piatetsky-Shapiro e Smyth (1996) como uma sequência de etapas — seleção, pré-processamento, transformação, </w:t>
      </w:r>
      <w:r>
        <w:rPr>
          <w:rFonts w:ascii="Times New Roman" w:hAnsi="Times New Roman"/>
          <w:i/>
          <w:sz w:val="24"/>
        </w:rPr>
        <w:t>data mining</w:t>
      </w:r>
      <w:r>
        <w:rPr>
          <w:rFonts w:ascii="Times New Roman" w:hAnsi="Times New Roman"/>
          <w:sz w:val="24"/>
        </w:rPr>
        <w:t xml:space="preserve"> e interpretação/avaliação — das quais o </w:t>
      </w:r>
      <w:r>
        <w:rPr>
          <w:rFonts w:ascii="Times New Roman" w:hAnsi="Times New Roman"/>
          <w:i/>
          <w:sz w:val="24"/>
        </w:rPr>
        <w:t>data mining</w:t>
      </w:r>
      <w:r>
        <w:rPr>
          <w:rFonts w:ascii="Times New Roman" w:hAnsi="Times New Roman"/>
          <w:sz w:val="24"/>
        </w:rPr>
        <w:t xml:space="preserve"> propriamente dito é apenas o passo de aplicação dos algoritmos. As tarefas de </w:t>
      </w:r>
      <w:r>
        <w:rPr>
          <w:rFonts w:ascii="Times New Roman" w:hAnsi="Times New Roman"/>
          <w:i/>
          <w:sz w:val="24"/>
        </w:rPr>
        <w:t>data mining</w:t>
      </w:r>
      <w:r>
        <w:rPr>
          <w:rFonts w:ascii="Times New Roman" w:hAnsi="Times New Roman"/>
          <w:sz w:val="24"/>
        </w:rPr>
        <w:t xml:space="preserve"> dividem-se classicamente em </w:t>
      </w:r>
      <w:r>
        <w:rPr>
          <w:rFonts w:ascii="Times New Roman" w:hAnsi="Times New Roman"/>
          <w:b/>
          <w:sz w:val="24"/>
        </w:rPr>
        <w:t>descritivas</w:t>
      </w:r>
      <w:r>
        <w:rPr>
          <w:rFonts w:ascii="Times New Roman" w:hAnsi="Times New Roman"/>
          <w:sz w:val="24"/>
        </w:rPr>
        <w:t xml:space="preserve">, que procuram resumir a estrutura latente dos dados (de que o </w:t>
      </w:r>
      <w:r>
        <w:rPr>
          <w:rFonts w:ascii="Times New Roman" w:hAnsi="Times New Roman"/>
          <w:i/>
          <w:sz w:val="24"/>
        </w:rPr>
        <w:t>clustering</w:t>
      </w:r>
      <w:r>
        <w:rPr>
          <w:rFonts w:ascii="Times New Roman" w:hAnsi="Times New Roman"/>
          <w:sz w:val="24"/>
        </w:rPr>
        <w:t xml:space="preserve"> é o exemplo central), e </w:t>
      </w:r>
      <w:r>
        <w:rPr>
          <w:rFonts w:ascii="Times New Roman" w:hAnsi="Times New Roman"/>
          <w:b/>
          <w:sz w:val="24"/>
        </w:rPr>
        <w:t>preditivas</w:t>
      </w:r>
      <w:r>
        <w:rPr>
          <w:rFonts w:ascii="Times New Roman" w:hAnsi="Times New Roman"/>
          <w:sz w:val="24"/>
        </w:rPr>
        <w:t>,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pPr>
        <w:pStyle w:val="Heading2"/>
      </w:pPr>
      <w:r>
        <w:t>2.3 Técnicas analíticas mobilizadas</w:t>
      </w:r>
    </w:p>
    <w:p>
      <w:pPr>
        <w:spacing w:line="480" w:lineRule="auto"/>
        <w:ind w:firstLine="720"/>
        <w:jc w:val="both"/>
      </w:pPr>
      <w:r>
        <w:rPr>
          <w:rFonts w:ascii="Times New Roman" w:hAnsi="Times New Roman"/>
          <w:sz w:val="24"/>
        </w:rPr>
        <w:t xml:space="preserve">O trabalho aplica o ciclo KDD (Fayyad et al., 1996) no paradigma Medir→Analisar→Agir (Marakas, 2003): </w:t>
      </w:r>
      <w:r>
        <w:rPr>
          <w:rFonts w:ascii="Times New Roman" w:hAnsi="Times New Roman"/>
          <w:b/>
          <w:sz w:val="24"/>
        </w:rPr>
        <w:t>PCA</w:t>
      </w:r>
      <w:r>
        <w:rPr>
          <w:rFonts w:ascii="Times New Roman" w:hAnsi="Times New Roman"/>
          <w:sz w:val="24"/>
        </w:rPr>
        <w:t xml:space="preserve"> para redução de dimensionalidade; </w:t>
      </w:r>
      <w:r>
        <w:rPr>
          <w:rFonts w:ascii="Times New Roman" w:hAnsi="Times New Roman"/>
          <w:b/>
          <w:sz w:val="24"/>
        </w:rPr>
        <w:t>clustering</w:t>
      </w:r>
      <w:r>
        <w:rPr>
          <w:rFonts w:ascii="Times New Roman" w:hAnsi="Times New Roman"/>
          <w:sz w:val="24"/>
        </w:rPr>
        <w:t xml:space="preserve"> (k-médias, hierárquico, FCM, DBSCAN) para segmentação espacial; </w:t>
      </w:r>
      <w:r>
        <w:rPr>
          <w:rFonts w:ascii="Times New Roman" w:hAnsi="Times New Roman"/>
          <w:b/>
          <w:sz w:val="24"/>
        </w:rPr>
        <w:t>classificação</w:t>
      </w:r>
      <w:r>
        <w:rPr>
          <w:rFonts w:ascii="Times New Roman" w:hAnsi="Times New Roman"/>
          <w:sz w:val="24"/>
        </w:rPr>
        <w:t xml:space="preserve"> (Bayes, k-vizinhos, árvores CART, MLP) com validação cruzada e SMOTE para classes raras; </w:t>
      </w:r>
      <w:r>
        <w:rPr>
          <w:rFonts w:ascii="Times New Roman" w:hAnsi="Times New Roman"/>
          <w:b/>
          <w:sz w:val="24"/>
        </w:rPr>
        <w:t>lógica difusa</w:t>
      </w:r>
      <w:r>
        <w:rPr>
          <w:rFonts w:ascii="Times New Roman" w:hAnsi="Times New Roman"/>
          <w:sz w:val="24"/>
        </w:rPr>
        <w:t xml:space="preserve"> Mamdani para agregação prudencial do risco; e </w:t>
      </w:r>
      <w:r>
        <w:rPr>
          <w:rFonts w:ascii="Times New Roman" w:hAnsi="Times New Roman"/>
          <w:b/>
          <w:sz w:val="24"/>
        </w:rPr>
        <w:t>otimização de localização</w:t>
      </w:r>
      <w:r>
        <w:rPr>
          <w:rFonts w:ascii="Times New Roman" w:hAnsi="Times New Roman"/>
          <w:sz w:val="24"/>
        </w:rPr>
        <w:t xml:space="preserve"> (set cover e MCLP; Church &amp; Revelle, 1974) para bases e frota.</w:t>
      </w:r>
    </w:p>
    <w:p>
      <w:r>
        <w:br w:type="page"/>
      </w:r>
    </w:p>
    <w:p>
      <w:pPr>
        <w:pStyle w:val="Heading1"/>
      </w:pPr>
      <w:r>
        <w:t>3. Caracterização dos dados e do meio operacional</w:t>
      </w:r>
    </w:p>
    <w:p>
      <w:pPr>
        <w:spacing w:line="480" w:lineRule="auto"/>
        <w:ind w:firstLine="720"/>
        <w:jc w:val="both"/>
      </w:pPr>
      <w:r>
        <w:rPr>
          <w:rFonts w:ascii="Times New Roman" w:hAnsi="Times New Roman"/>
          <w:b/>
          <w:sz w:val="24"/>
        </w:rPr>
        <w:t>Âmbito geográfico.</w:t>
      </w:r>
      <w:r>
        <w:rPr>
          <w:rFonts w:ascii="Times New Roman" w:hAnsi="Times New Roman"/>
          <w:sz w:val="24"/>
        </w:rPr>
        <w:t xml:space="preserve"> Todo o sistema — grelha de procura, intensidades de risco, mapas, otimização e validação — restringe-se à </w:t>
      </w:r>
      <w:r>
        <w:rPr>
          <w:rFonts w:ascii="Times New Roman" w:hAnsi="Times New Roman"/>
          <w:b/>
          <w:sz w:val="24"/>
        </w:rPr>
        <w:t>costa e às águas marítimas de Portugal Continental</w:t>
      </w:r>
      <w:r>
        <w:rPr>
          <w:rFonts w:ascii="Times New Roman" w:hAnsi="Times New Roman"/>
          <w:sz w:val="24"/>
        </w:rPr>
        <w:t xml:space="preserve"> (longitude −11,0° a −7,38°, até ~300 km da costa), </w:t>
      </w:r>
      <w:r>
        <w:rPr>
          <w:rFonts w:ascii="Times New Roman" w:hAnsi="Times New Roman"/>
          <w:b/>
          <w:sz w:val="24"/>
        </w:rPr>
        <w:t>excluindo Espanha</w:t>
      </w:r>
      <w:r>
        <w:rPr>
          <w:rFonts w:ascii="Times New Roman" w:hAnsi="Times New Roman"/>
          <w:sz w:val="24"/>
        </w:rPr>
        <w:t xml:space="preserve"> e águas sob jurisdição estrangeira.</w:t>
      </w:r>
    </w:p>
    <w:p>
      <w:pPr>
        <w:pStyle w:val="Heading2"/>
      </w:pPr>
      <w:r>
        <w:t>3.1 O conjunto de dados de apreensões</w:t>
      </w:r>
    </w:p>
    <w:p>
      <w:pPr>
        <w:spacing w:line="480" w:lineRule="auto"/>
        <w:ind w:firstLine="720"/>
        <w:jc w:val="both"/>
      </w:pPr>
      <w:r>
        <w:rPr>
          <w:rFonts w:ascii="Times New Roman" w:hAnsi="Times New Roman"/>
          <w:sz w:val="24"/>
        </w:rPr>
        <w:t xml:space="preserve">A espinha dorsal empírica do trabalho é um conjunto de dados de </w:t>
      </w:r>
      <w:r>
        <w:rPr>
          <w:rFonts w:ascii="Times New Roman" w:hAnsi="Times New Roman"/>
          <w:b/>
          <w:sz w:val="24"/>
        </w:rPr>
        <w:t>9 727 registos de apreensões de droga</w:t>
      </w:r>
      <w:r>
        <w:rPr>
          <w:rFonts w:ascii="Times New Roman" w:hAnsi="Times New Roman"/>
          <w:sz w:val="24"/>
        </w:rPr>
        <w:t xml:space="preserve"> em Portugal entre </w:t>
      </w:r>
      <w:r>
        <w:rPr>
          <w:rFonts w:ascii="Times New Roman" w:hAnsi="Times New Roman"/>
          <w:b/>
          <w:sz w:val="24"/>
        </w:rPr>
        <w:t>2011 e 2024</w:t>
      </w:r>
      <w:r>
        <w:rPr>
          <w:rFonts w:ascii="Times New Roman" w:hAnsi="Times New Roman"/>
          <w:sz w:val="24"/>
        </w:rPr>
        <w:t xml:space="preserve">, com treze atributos que combinam a dimensão temporal (data), a dimensão geográfica (região, cidade e região administrativa), a dimensão substantiva (tipo de substância, unidade e quantidade) e a dimensão contextual (local físico da apreensão e modo de transporte). Em termos da tipologia de dados da disciplina, coexistem atributos </w:t>
      </w:r>
      <w:r>
        <w:rPr>
          <w:rFonts w:ascii="Times New Roman" w:hAnsi="Times New Roman"/>
          <w:b/>
          <w:sz w:val="24"/>
        </w:rPr>
        <w:t>numéricos contínuos</w:t>
      </w:r>
      <w:r>
        <w:rPr>
          <w:rFonts w:ascii="Times New Roman" w:hAnsi="Times New Roman"/>
          <w:sz w:val="24"/>
        </w:rPr>
        <w:t xml:space="preserve"> (a quantidade apreendida), </w:t>
      </w:r>
      <w:r>
        <w:rPr>
          <w:rFonts w:ascii="Times New Roman" w:hAnsi="Times New Roman"/>
          <w:b/>
          <w:sz w:val="24"/>
        </w:rPr>
        <w:t>categóricos nominais</w:t>
      </w:r>
      <w:r>
        <w:rPr>
          <w:rFonts w:ascii="Times New Roman" w:hAnsi="Times New Roman"/>
          <w:sz w:val="24"/>
        </w:rPr>
        <w:t xml:space="preserve"> (a substância, o local) e </w:t>
      </w:r>
      <w:r>
        <w:rPr>
          <w:rFonts w:ascii="Times New Roman" w:hAnsi="Times New Roman"/>
          <w:b/>
          <w:sz w:val="24"/>
        </w:rPr>
        <w:t>temporais/ordinais</w:t>
      </w:r>
      <w:r>
        <w:rPr>
          <w:rFonts w:ascii="Times New Roman" w:hAnsi="Times New Roman"/>
          <w:sz w:val="24"/>
        </w:rPr>
        <w:t xml:space="preserve"> (a data). Após a limpeza descrita na Secção 4.1, retêm-se </w:t>
      </w:r>
      <w:r>
        <w:rPr>
          <w:rFonts w:ascii="Times New Roman" w:hAnsi="Times New Roman"/>
          <w:b/>
          <w:sz w:val="24"/>
        </w:rPr>
        <w:t>9 725 registos</w:t>
      </w:r>
      <w:r>
        <w:rPr>
          <w:rFonts w:ascii="Times New Roman" w:hAnsi="Times New Roman"/>
          <w:sz w:val="24"/>
        </w:rPr>
        <w:t xml:space="preserve"> úteis.</w:t>
      </w:r>
    </w:p>
    <w:p>
      <w:pPr>
        <w:spacing w:line="480" w:lineRule="auto"/>
        <w:ind w:firstLine="720"/>
        <w:jc w:val="both"/>
      </w:pPr>
      <w:r>
        <w:rPr>
          <w:rFonts w:ascii="Times New Roman" w:hAnsi="Times New Roman"/>
          <w:sz w:val="24"/>
        </w:rPr>
        <w:t>A distribuição por tipo de substância, após agrupamento, revela um claro domínio da cannabis (4 676 registos) e da cocaína (3 502 registos), seguidas a larga distância pelos opióides (989), estimulantes (410), alucinogénios (98), «outras» substâncias (32) e medicamentos (18). Esta distribuição é coerente com o posicionamento de Portugal como ponto de entrada do haxixe norte-africano e da cocaína sul-americana no espaço europeu.</w:t>
      </w:r>
    </w:p>
    <w:p>
      <w:pPr>
        <w:pStyle w:val="Heading2"/>
      </w:pPr>
      <w:r>
        <w:t>3.2 As quatro ameaças e a sua assinatura espacial</w:t>
      </w:r>
    </w:p>
    <w:p>
      <w:pPr>
        <w:spacing w:line="480" w:lineRule="auto"/>
        <w:ind w:firstLine="720"/>
        <w:jc w:val="both"/>
      </w:pPr>
      <w:r>
        <w:rPr>
          <w:rFonts w:ascii="Times New Roman" w:hAnsi="Times New Roman"/>
          <w:sz w:val="24"/>
        </w:rPr>
        <w:t xml:space="preserve">A construção de um índice de risco multi-ameaça exige sustentar cada ameaça em </w:t>
      </w:r>
      <w:r>
        <w:rPr>
          <w:rFonts w:ascii="Times New Roman" w:hAnsi="Times New Roman"/>
          <w:b/>
          <w:sz w:val="24"/>
        </w:rPr>
        <w:t>dados reais, abertos e georreferenciados</w:t>
      </w:r>
      <w:r>
        <w:rPr>
          <w:rFonts w:ascii="Times New Roman" w:hAnsi="Times New Roman"/>
          <w:sz w:val="24"/>
        </w:rPr>
        <w:t>, e não em juízos qualitativos. A Tabela 1 identifica, para cada ameaça, a fonte de dados operacional efetivamente utilizada para construir o seu campo de intensidade espacial (Secção 3.4) e a respetiva assinatura geográfica.</w:t>
      </w:r>
    </w:p>
    <w:p>
      <w:pPr>
        <w:spacing w:line="480" w:lineRule="auto"/>
        <w:ind w:firstLine="0"/>
        <w:jc w:val="center"/>
      </w:pPr>
      <w:r>
        <w:rPr>
          <w:rFonts w:ascii="Times New Roman" w:hAnsi="Times New Roman"/>
          <w:b/>
          <w:sz w:val="22"/>
        </w:rPr>
        <w:t>Tabela 1 -</w:t>
      </w:r>
      <w:r>
        <w:rPr>
          <w:rFonts w:ascii="Times New Roman" w:hAnsi="Times New Roman"/>
          <w:sz w:val="22"/>
        </w:rPr>
        <w:t xml:space="preserve"> </w:t>
      </w:r>
      <w:r>
        <w:rPr>
          <w:rFonts w:ascii="Times New Roman" w:hAnsi="Times New Roman"/>
          <w:i/>
          <w:sz w:val="22"/>
        </w:rPr>
        <w:t>Fontes de dados reais por ameaça e respetiva assinatura espacial.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Ameaça</w:t>
            </w:r>
          </w:p>
        </w:tc>
        <w:tc>
          <w:tcPr>
            <w:tcW w:type="dxa" w:w="2340"/>
          </w:tcPr>
          <w:p>
            <w:r>
              <w:rPr>
                <w:rFonts w:ascii="Times New Roman" w:hAnsi="Times New Roman"/>
                <w:b/>
                <w:sz w:val="20"/>
              </w:rPr>
              <w:t>Fonte de dados real utilizada</w:t>
            </w:r>
          </w:p>
        </w:tc>
        <w:tc>
          <w:tcPr>
            <w:tcW w:type="dxa" w:w="2340"/>
          </w:tcPr>
          <w:p>
            <w:r>
              <w:rPr>
                <w:rFonts w:ascii="Times New Roman" w:hAnsi="Times New Roman"/>
                <w:b/>
                <w:sz w:val="20"/>
              </w:rPr>
              <w:t>Natureza do dado</w:t>
            </w:r>
          </w:p>
        </w:tc>
        <w:tc>
          <w:tcPr>
            <w:tcW w:type="dxa" w:w="2340"/>
          </w:tcPr>
          <w:p>
            <w:r>
              <w:rPr>
                <w:rFonts w:ascii="Times New Roman" w:hAnsi="Times New Roman"/>
                <w:b/>
                <w:sz w:val="20"/>
              </w:rPr>
              <w:t>Assinatura espacial observada</w:t>
            </w:r>
          </w:p>
        </w:tc>
      </w:tr>
      <w:tr>
        <w:tc>
          <w:tcPr>
            <w:tcW w:type="dxa" w:w="2340"/>
          </w:tcPr>
          <w:p>
            <w:r>
              <w:rPr>
                <w:rFonts w:ascii="Times New Roman" w:hAnsi="Times New Roman"/>
                <w:sz w:val="20"/>
              </w:rPr>
              <w:t>Tráfico de droga</w:t>
            </w:r>
          </w:p>
        </w:tc>
        <w:tc>
          <w:tcPr>
            <w:tcW w:type="dxa" w:w="2340"/>
          </w:tcPr>
          <w:p>
            <w:r>
              <w:rPr>
                <w:rFonts w:ascii="Times New Roman" w:hAnsi="Times New Roman"/>
                <w:sz w:val="20"/>
              </w:rPr>
              <w:t>9 725 apreensões UNODC/IDS (2011–2024), geocodificadas por distrito costeiro</w:t>
            </w:r>
          </w:p>
        </w:tc>
        <w:tc>
          <w:tcPr>
            <w:tcW w:type="dxa" w:w="2340"/>
          </w:tcPr>
          <w:p>
            <w:r>
              <w:rPr>
                <w:rFonts w:ascii="Times New Roman" w:hAnsi="Times New Roman"/>
                <w:sz w:val="20"/>
              </w:rPr>
              <w:t>Eventos pontuais (n = 335 marítimos)</w:t>
            </w:r>
          </w:p>
        </w:tc>
        <w:tc>
          <w:tcPr>
            <w:tcW w:type="dxa" w:w="2340"/>
          </w:tcPr>
          <w:p>
            <w:r>
              <w:rPr>
                <w:rFonts w:ascii="Times New Roman" w:hAnsi="Times New Roman"/>
                <w:sz w:val="20"/>
              </w:rPr>
              <w:t>Algarve (haxixe) e eixo Setúbal–Lisboa; aproximações atlânticas SW (cocaína)</w:t>
            </w:r>
          </w:p>
        </w:tc>
      </w:tr>
      <w:tr>
        <w:tc>
          <w:tcPr>
            <w:tcW w:type="dxa" w:w="2340"/>
          </w:tcPr>
          <w:p>
            <w:r>
              <w:rPr>
                <w:rFonts w:ascii="Times New Roman" w:hAnsi="Times New Roman"/>
                <w:sz w:val="20"/>
              </w:rPr>
              <w:t>Pesca ilegal (INN)</w:t>
            </w:r>
          </w:p>
        </w:tc>
        <w:tc>
          <w:tcPr>
            <w:tcW w:type="dxa" w:w="2340"/>
          </w:tcPr>
          <w:p>
            <w:r>
              <w:rPr>
                <w:rFonts w:ascii="Times New Roman" w:hAnsi="Times New Roman"/>
                <w:sz w:val="20"/>
              </w:rPr>
              <w:t xml:space="preserve">EMODnet </w:t>
            </w:r>
            <w:r>
              <w:rPr>
                <w:rFonts w:ascii="Times New Roman" w:hAnsi="Times New Roman"/>
                <w:i/>
                <w:sz w:val="20"/>
              </w:rPr>
              <w:t>vessel density</w:t>
            </w:r>
            <w:r>
              <w:rPr>
                <w:rFonts w:ascii="Times New Roman" w:hAnsi="Times New Roman"/>
                <w:sz w:val="20"/>
              </w:rPr>
              <w:t xml:space="preserve"> pesca (02) + anomalia pesca/AIS</w:t>
            </w:r>
          </w:p>
        </w:tc>
        <w:tc>
          <w:tcPr>
            <w:tcW w:type="dxa" w:w="2340"/>
          </w:tcPr>
          <w:p>
            <w:r>
              <w:rPr>
                <w:rFonts w:ascii="Times New Roman" w:hAnsi="Times New Roman"/>
                <w:sz w:val="20"/>
              </w:rPr>
              <w:t>Grelha de intensidade AIS (horas) + rácio pesca/tráfego</w:t>
            </w:r>
          </w:p>
        </w:tc>
        <w:tc>
          <w:tcPr>
            <w:tcW w:type="dxa" w:w="2340"/>
          </w:tcPr>
          <w:p>
            <w:r>
              <w:rPr>
                <w:rFonts w:ascii="Times New Roman" w:hAnsi="Times New Roman"/>
                <w:sz w:val="20"/>
              </w:rPr>
              <w:t>Bancos do NW (≈ 42°N), ao largo de Peniche–Lisboa e sul do Algarve</w:t>
            </w:r>
          </w:p>
        </w:tc>
      </w:tr>
      <w:tr>
        <w:tc>
          <w:tcPr>
            <w:tcW w:type="dxa" w:w="2340"/>
          </w:tcPr>
          <w:p>
            <w:r>
              <w:rPr>
                <w:rFonts w:ascii="Times New Roman" w:hAnsi="Times New Roman"/>
                <w:sz w:val="20"/>
              </w:rPr>
              <w:t>Poluição/derrames</w:t>
            </w:r>
          </w:p>
        </w:tc>
        <w:tc>
          <w:tcPr>
            <w:tcW w:type="dxa" w:w="2340"/>
          </w:tcPr>
          <w:p>
            <w:r>
              <w:rPr>
                <w:rFonts w:ascii="Times New Roman" w:hAnsi="Times New Roman"/>
                <w:sz w:val="20"/>
              </w:rPr>
              <w:t xml:space="preserve">EMODnet </w:t>
            </w:r>
            <w:r>
              <w:rPr>
                <w:rFonts w:ascii="Times New Roman" w:hAnsi="Times New Roman"/>
                <w:i/>
                <w:sz w:val="20"/>
              </w:rPr>
              <w:t>vessel density</w:t>
            </w:r>
            <w:r>
              <w:rPr>
                <w:rFonts w:ascii="Times New Roman" w:hAnsi="Times New Roman"/>
                <w:sz w:val="20"/>
              </w:rPr>
              <w:t xml:space="preserve"> — carga (10) + tanque (11)</w:t>
            </w:r>
          </w:p>
        </w:tc>
        <w:tc>
          <w:tcPr>
            <w:tcW w:type="dxa" w:w="2340"/>
          </w:tcPr>
          <w:p>
            <w:r>
              <w:rPr>
                <w:rFonts w:ascii="Times New Roman" w:hAnsi="Times New Roman"/>
                <w:sz w:val="20"/>
              </w:rPr>
              <w:t>Grelha de intensidade AIS (horas)</w:t>
            </w:r>
          </w:p>
        </w:tc>
        <w:tc>
          <w:tcPr>
            <w:tcW w:type="dxa" w:w="2340"/>
          </w:tcPr>
          <w:p>
            <w:r>
              <w:rPr>
                <w:rFonts w:ascii="Times New Roman" w:hAnsi="Times New Roman"/>
                <w:sz w:val="20"/>
              </w:rPr>
              <w:t>Corredor de tráfego N–S a oeste de Lisboa (≈ 10,2°W) e Cabo de São Vicente</w:t>
            </w:r>
          </w:p>
        </w:tc>
      </w:tr>
      <w:tr>
        <w:tc>
          <w:tcPr>
            <w:tcW w:type="dxa" w:w="2340"/>
          </w:tcPr>
          <w:p>
            <w:r>
              <w:rPr>
                <w:rFonts w:ascii="Times New Roman" w:hAnsi="Times New Roman"/>
                <w:sz w:val="20"/>
              </w:rPr>
              <w:t>Imigração irregular</w:t>
            </w:r>
          </w:p>
        </w:tc>
        <w:tc>
          <w:tcPr>
            <w:tcW w:type="dxa" w:w="2340"/>
          </w:tcPr>
          <w:p>
            <w:r>
              <w:rPr>
                <w:rFonts w:ascii="Consolas" w:hAnsi="Consolas"/>
                <w:sz w:val="18"/>
              </w:rPr>
              <w:t>imigracao_pt_costa.csv</w:t>
            </w:r>
            <w:r>
              <w:rPr>
                <w:rFonts w:ascii="Times New Roman" w:hAnsi="Times New Roman"/>
                <w:sz w:val="20"/>
              </w:rPr>
              <w:t xml:space="preserve"> (20 desembarques SEF/Frontex/CP, 2019–2024) + IOM em águas marítimas PT</w:t>
            </w:r>
          </w:p>
        </w:tc>
        <w:tc>
          <w:tcPr>
            <w:tcW w:type="dxa" w:w="2340"/>
          </w:tcPr>
          <w:p>
            <w:r>
              <w:rPr>
                <w:rFonts w:ascii="Times New Roman" w:hAnsi="Times New Roman"/>
                <w:sz w:val="20"/>
              </w:rPr>
              <w:t>Eventos pontuais georreferenciados (n = 20 desembarques; 0 incidentes IOM em mar PT após filtro rigoroso)</w:t>
            </w:r>
          </w:p>
        </w:tc>
        <w:tc>
          <w:tcPr>
            <w:tcW w:type="dxa" w:w="2340"/>
          </w:tcPr>
          <w:p>
            <w:r>
              <w:rPr>
                <w:rFonts w:ascii="Times New Roman" w:hAnsi="Times New Roman"/>
                <w:sz w:val="20"/>
              </w:rPr>
              <w:t>Algarve (rotas atlânticas) e corredor Setúbal–Lisboa</w:t>
            </w:r>
          </w:p>
        </w:tc>
      </w:tr>
    </w:tbl>
    <w:p>
      <w:pPr>
        <w:pStyle w:val="Heading2"/>
      </w:pPr>
      <w:r>
        <w:t>3.3 O TEKEVER AR5</w:t>
      </w:r>
    </w:p>
    <w:p>
      <w:pPr>
        <w:spacing w:line="480" w:lineRule="auto"/>
        <w:ind w:firstLine="720"/>
        <w:jc w:val="both"/>
      </w:pPr>
      <w:r>
        <w:rPr>
          <w:rFonts w:ascii="Times New Roman" w:hAnsi="Times New Roman"/>
          <w:sz w:val="24"/>
        </w:rPr>
        <w:t>O AR5 é um UAV tático de asa fixa, de fabrico nacional, cujas especificações verificadas (TEKEVER, 2025) sustentam a modelação operacional: autonomia de 16 a 20 horas, velocidade de cruzeiro de 100 km/h, teto de serviço de 3 600 m, peso máximo à descolagem de 180 kg com 50 kg de carga útil, comunicações em linha de vista até 230 km e por satélite sem limite prático de alcance, e um conjunto sensorial composto por sistema eletro-ótico/infravermelho giro-estabilizado com ampliação de 30×, recetor AIS, recetor de baliza de emergência (EPIRB) e capacidade de interceção de sinais (SIGINT). Destas especificações decorre uma distância de projeção que pode atingir 1 500 km num só sentido, ou 750 km em missões de ida e volta — valores que, como adiante se demonstra, excedem em larga medida o raio de 90 km adotado no estudo de referência.</w:t>
      </w:r>
    </w:p>
    <w:p>
      <w:pPr>
        <w:pStyle w:val="Heading2"/>
      </w:pPr>
      <w:r>
        <w:t>3.4 Aquisição e construção das intensidades de risco a partir de dados abertos</w:t>
      </w:r>
    </w:p>
    <w:p>
      <w:pPr>
        <w:spacing w:line="480" w:lineRule="auto"/>
        <w:ind w:firstLine="720"/>
        <w:jc w:val="both"/>
      </w:pPr>
      <w:r>
        <w:rPr>
          <w:rFonts w:ascii="Times New Roman" w:hAnsi="Times New Roman"/>
          <w:sz w:val="24"/>
        </w:rPr>
        <w:t xml:space="preserve">Uma contribuição central desta versão do trabalho é a substituição de quaisquer campos de risco postulados </w:t>
      </w:r>
      <w:r>
        <w:rPr>
          <w:rFonts w:ascii="Times New Roman" w:hAnsi="Times New Roman"/>
          <w:i/>
          <w:sz w:val="24"/>
        </w:rPr>
        <w:t>a priori</w:t>
      </w:r>
      <w:r>
        <w:rPr>
          <w:rFonts w:ascii="Times New Roman" w:hAnsi="Times New Roman"/>
          <w:sz w:val="24"/>
        </w:rPr>
        <w:t xml:space="preserve"> por </w:t>
      </w:r>
      <w:r>
        <w:rPr>
          <w:rFonts w:ascii="Times New Roman" w:hAnsi="Times New Roman"/>
          <w:b/>
          <w:sz w:val="24"/>
        </w:rPr>
        <w:t>intensidades derivadas de dados reais</w:t>
      </w:r>
      <w:r>
        <w:rPr>
          <w:rFonts w:ascii="Times New Roman" w:hAnsi="Times New Roman"/>
          <w:sz w:val="24"/>
        </w:rPr>
        <w:t xml:space="preserve">, adquiridos de forma programática e reprodutível a partir de repositórios públicos (módulo </w:t>
      </w:r>
      <w:r>
        <w:rPr>
          <w:rFonts w:ascii="Consolas" w:hAnsi="Consolas"/>
          <w:sz w:val="22"/>
        </w:rPr>
        <w:t>dm/construir_dados_reais.py</w:t>
      </w:r>
      <w:r>
        <w:rPr>
          <w:rFonts w:ascii="Times New Roman" w:hAnsi="Times New Roman"/>
          <w:sz w:val="24"/>
        </w:rPr>
        <w:t xml:space="preserve">). Para a </w:t>
      </w:r>
      <w:r>
        <w:rPr>
          <w:rFonts w:ascii="Times New Roman" w:hAnsi="Times New Roman"/>
          <w:b/>
          <w:sz w:val="24"/>
        </w:rPr>
        <w:t>pesca ilegal</w:t>
      </w:r>
      <w:r>
        <w:rPr>
          <w:rFonts w:ascii="Times New Roman" w:hAnsi="Times New Roman"/>
          <w:sz w:val="24"/>
        </w:rPr>
        <w:t xml:space="preserve"> e a </w:t>
      </w:r>
      <w:r>
        <w:rPr>
          <w:rFonts w:ascii="Times New Roman" w:hAnsi="Times New Roman"/>
          <w:b/>
          <w:sz w:val="24"/>
        </w:rPr>
        <w:t>poluição</w:t>
      </w:r>
      <w:r>
        <w:rPr>
          <w:rFonts w:ascii="Times New Roman" w:hAnsi="Times New Roman"/>
          <w:sz w:val="24"/>
        </w:rPr>
        <w:t xml:space="preserve">, recorreu-se ao serviço Web Coverage Service (WCS) do </w:t>
      </w:r>
      <w:r>
        <w:rPr>
          <w:rFonts w:ascii="Times New Roman" w:hAnsi="Times New Roman"/>
          <w:b/>
          <w:sz w:val="24"/>
        </w:rPr>
        <w:t>EMODnet Human Activities</w:t>
      </w:r>
      <w:r>
        <w:rPr>
          <w:rFonts w:ascii="Times New Roman" w:hAnsi="Times New Roman"/>
          <w:sz w:val="24"/>
        </w:rPr>
        <w:t xml:space="preserve">, do qual se extraiu a densidade média de embarcações (em horas de presença AIS por célula) para a janela geográfica de Portugal Continental (EPSG:3857), nas categorias de </w:t>
      </w:r>
      <w:r>
        <w:rPr>
          <w:rFonts w:ascii="Times New Roman" w:hAnsi="Times New Roman"/>
          <w:i/>
          <w:sz w:val="24"/>
        </w:rPr>
        <w:t>pesca</w:t>
      </w:r>
      <w:r>
        <w:rPr>
          <w:rFonts w:ascii="Times New Roman" w:hAnsi="Times New Roman"/>
          <w:sz w:val="24"/>
        </w:rPr>
        <w:t xml:space="preserve"> (para a pesca INN) e de </w:t>
      </w:r>
      <w:r>
        <w:rPr>
          <w:rFonts w:ascii="Times New Roman" w:hAnsi="Times New Roman"/>
          <w:i/>
          <w:sz w:val="24"/>
        </w:rPr>
        <w:t>carga</w:t>
      </w:r>
      <w:r>
        <w:rPr>
          <w:rFonts w:ascii="Times New Roman" w:hAnsi="Times New Roman"/>
          <w:sz w:val="24"/>
        </w:rPr>
        <w:t xml:space="preserve"> e </w:t>
      </w:r>
      <w:r>
        <w:rPr>
          <w:rFonts w:ascii="Times New Roman" w:hAnsi="Times New Roman"/>
          <w:i/>
          <w:sz w:val="24"/>
        </w:rPr>
        <w:t>tanque</w:t>
      </w:r>
      <w:r>
        <w:rPr>
          <w:rFonts w:ascii="Times New Roman" w:hAnsi="Times New Roman"/>
          <w:sz w:val="24"/>
        </w:rPr>
        <w:t xml:space="preserve"> (cuja sobreposição constitui o proxy físico do risco de derrame, por coincidir com os corredores de maior tráfego mercante, à semelhança da concentração de alertas do serviço CleanSeaNet da EMSA). Para a </w:t>
      </w:r>
      <w:r>
        <w:rPr>
          <w:rFonts w:ascii="Times New Roman" w:hAnsi="Times New Roman"/>
          <w:b/>
          <w:sz w:val="24"/>
        </w:rPr>
        <w:t>imigração irregular</w:t>
      </w:r>
      <w:r>
        <w:rPr>
          <w:rFonts w:ascii="Times New Roman" w:hAnsi="Times New Roman"/>
          <w:sz w:val="24"/>
        </w:rPr>
        <w:t xml:space="preserve">, compilou-se o ficheiro </w:t>
      </w:r>
      <w:r>
        <w:rPr>
          <w:rFonts w:ascii="Consolas" w:hAnsi="Consolas"/>
          <w:sz w:val="22"/>
        </w:rPr>
        <w:t>dados/fontes/imigracao_pt_costa.csv</w:t>
      </w:r>
      <w:r>
        <w:rPr>
          <w:rFonts w:ascii="Times New Roman" w:hAnsi="Times New Roman"/>
          <w:sz w:val="24"/>
        </w:rPr>
        <w:t xml:space="preserve"> com </w:t>
      </w:r>
      <w:r>
        <w:rPr>
          <w:rFonts w:ascii="Times New Roman" w:hAnsi="Times New Roman"/>
          <w:b/>
          <w:sz w:val="24"/>
        </w:rPr>
        <w:t>20 desembarques marítimos documentados</w:t>
      </w:r>
      <w:r>
        <w:rPr>
          <w:rFonts w:ascii="Times New Roman" w:hAnsi="Times New Roman"/>
          <w:sz w:val="24"/>
        </w:rPr>
        <w:t xml:space="preserve"> em Portugal Continental (Algarve e Setúbal, 2019–2024), a partir de registos públicos SEF/Frontex e comunicações da GNR/CP. Complementarmente, descarregou-se o </w:t>
      </w:r>
      <w:r>
        <w:rPr>
          <w:rFonts w:ascii="Times New Roman" w:hAnsi="Times New Roman"/>
          <w:b/>
          <w:sz w:val="24"/>
        </w:rPr>
        <w:t>IOM Missing Migrants Project</w:t>
      </w:r>
      <w:r>
        <w:rPr>
          <w:rFonts w:ascii="Times New Roman" w:hAnsi="Times New Roman"/>
          <w:sz w:val="24"/>
        </w:rPr>
        <w:t xml:space="preserve"> (HDX, CC-BY 4.0) e filtraram-se incidentes </w:t>
      </w:r>
      <w:r>
        <w:rPr>
          <w:rFonts w:ascii="Times New Roman" w:hAnsi="Times New Roman"/>
          <w:b/>
          <w:sz w:val="24"/>
        </w:rPr>
        <w:t>estritamente em águas marítimas</w:t>
      </w:r>
      <w:r>
        <w:rPr>
          <w:rFonts w:ascii="Times New Roman" w:hAnsi="Times New Roman"/>
          <w:sz w:val="24"/>
        </w:rPr>
        <w:t xml:space="preserve"> (função </w:t>
      </w:r>
      <w:r>
        <w:rPr>
          <w:rFonts w:ascii="Consolas" w:hAnsi="Consolas"/>
          <w:sz w:val="22"/>
        </w:rPr>
        <w:t>ponto_em_mar</w:t>
      </w:r>
      <w:r>
        <w:rPr>
          <w:rFonts w:ascii="Times New Roman" w:hAnsi="Times New Roman"/>
          <w:sz w:val="24"/>
        </w:rPr>
        <w:t xml:space="preserve">, caixa −11,0° a −7,38° W, 36,85° a 42,20° N — sem território continental nem águas espanholas). O campo de imigração combina </w:t>
      </w:r>
      <w:r>
        <w:rPr>
          <w:rFonts w:ascii="Times New Roman" w:hAnsi="Times New Roman"/>
          <w:b/>
          <w:sz w:val="24"/>
        </w:rPr>
        <w:t>70 %</w:t>
      </w:r>
      <w:r>
        <w:rPr>
          <w:rFonts w:ascii="Times New Roman" w:hAnsi="Times New Roman"/>
          <w:sz w:val="24"/>
        </w:rPr>
        <w:t xml:space="preserve"> do KDE dos desembarques nacionais com </w:t>
      </w:r>
      <w:r>
        <w:rPr>
          <w:rFonts w:ascii="Times New Roman" w:hAnsi="Times New Roman"/>
          <w:b/>
          <w:sz w:val="24"/>
        </w:rPr>
        <w:t>30 %</w:t>
      </w:r>
      <w:r>
        <w:rPr>
          <w:rFonts w:ascii="Times New Roman" w:hAnsi="Times New Roman"/>
          <w:sz w:val="24"/>
        </w:rPr>
        <w:t xml:space="preserve"> do KDE IOM marítimo (</w:t>
      </w:r>
      <w:r>
        <w:rPr>
          <w:rFonts w:ascii="Consolas" w:hAnsi="Consolas"/>
          <w:sz w:val="22"/>
        </w:rPr>
        <w:t>campo_imigracao_combinado</w:t>
      </w:r>
      <w:r>
        <w:rPr>
          <w:rFonts w:ascii="Times New Roman" w:hAnsi="Times New Roman"/>
          <w:sz w:val="24"/>
        </w:rPr>
        <w:t xml:space="preserve">), reforçando o sinal no Algarve onde se concentram as chegadas documentadas. Para o </w:t>
      </w:r>
      <w:r>
        <w:rPr>
          <w:rFonts w:ascii="Times New Roman" w:hAnsi="Times New Roman"/>
          <w:b/>
          <w:sz w:val="24"/>
        </w:rPr>
        <w:t>tráfico de droga</w:t>
      </w:r>
      <w:r>
        <w:rPr>
          <w:rFonts w:ascii="Times New Roman" w:hAnsi="Times New Roman"/>
          <w:sz w:val="24"/>
        </w:rPr>
        <w:t>, geocodificaram-se as apreensões de natureza marítima ao nível do distrito costeiro.</w:t>
      </w:r>
    </w:p>
    <w:p>
      <w:pPr>
        <w:spacing w:line="480" w:lineRule="auto"/>
        <w:ind w:firstLine="720"/>
        <w:jc w:val="both"/>
      </w:pPr>
      <w:r>
        <w:rPr>
          <w:rFonts w:ascii="Times New Roman" w:hAnsi="Times New Roman"/>
          <w:sz w:val="24"/>
        </w:rPr>
        <w:t xml:space="preserve">Cada fonte é depois projetada para a grelha de procura comum (Secção 4.5). As fontes pontuais (droga e imigração) são convertidas em campos contínuos por estimação de densidade por núcleos (KDE) gaussianos, ponderada — no caso da imigração — pelo número de vítimas de cada incidente. As grelhas de densidade de embarcações são amostradas em cada célula, comprimidas logaritmicamente (a densidade de tráfego é fortemente assimétrica), suavizadas espacialmente (um pesqueiro ou corredor é uma </w:t>
      </w:r>
      <w:r>
        <w:rPr>
          <w:rFonts w:ascii="Times New Roman" w:hAnsi="Times New Roman"/>
          <w:i/>
          <w:sz w:val="24"/>
        </w:rPr>
        <w:t>área</w:t>
      </w:r>
      <w:r>
        <w:rPr>
          <w:rFonts w:ascii="Times New Roman" w:hAnsi="Times New Roman"/>
          <w:sz w:val="24"/>
        </w:rPr>
        <w:t>, não um ponto) e normalizadas de forma robusta por percentil. Deste modo, as quatro intensidades passam a refletir padrões observados — e não pressupostos —, ficando o sistema original de núcleos fundamentados disponível apenas como mecanismo de salvaguarda (</w:t>
      </w:r>
      <w:r>
        <w:rPr>
          <w:rFonts w:ascii="Times New Roman" w:hAnsi="Times New Roman"/>
          <w:i/>
          <w:sz w:val="24"/>
        </w:rPr>
        <w:t>fallback</w:t>
      </w:r>
      <w:r>
        <w:rPr>
          <w:rFonts w:ascii="Times New Roman" w:hAnsi="Times New Roman"/>
          <w:sz w:val="24"/>
        </w:rPr>
        <w:t>) caso as fontes não estejam acessíveis.</w:t>
      </w:r>
    </w:p>
    <w:p>
      <w:pPr>
        <w:spacing w:line="480" w:lineRule="auto"/>
        <w:ind w:firstLine="720"/>
        <w:jc w:val="both"/>
      </w:pPr>
      <w:r>
        <w:rPr>
          <w:rFonts w:ascii="Times New Roman" w:hAnsi="Times New Roman"/>
          <w:sz w:val="24"/>
        </w:rPr>
        <w:t xml:space="preserve">Para o </w:t>
      </w:r>
      <w:r>
        <w:rPr>
          <w:rFonts w:ascii="Times New Roman" w:hAnsi="Times New Roman"/>
          <w:b/>
          <w:sz w:val="24"/>
        </w:rPr>
        <w:t>tráfico de droga</w:t>
      </w:r>
      <w:r>
        <w:rPr>
          <w:rFonts w:ascii="Times New Roman" w:hAnsi="Times New Roman"/>
          <w:sz w:val="24"/>
        </w:rPr>
        <w:t xml:space="preserve">, cada apreensão marítima geocodificada contribui para um KDE gaussiano com </w:t>
      </w:r>
      <w:r>
        <w:rPr>
          <w:rFonts w:ascii="Times New Roman" w:hAnsi="Times New Roman"/>
          <w:b/>
          <w:sz w:val="24"/>
        </w:rPr>
        <w:t>peso temporal</w:t>
      </w:r>
      <w:r>
        <w:rPr>
          <w:rFonts w:ascii="Times New Roman" w:hAnsi="Times New Roman"/>
          <w:sz w:val="24"/>
        </w:rPr>
        <w:t xml:space="preserve"> exp(−0,15×Δanos), privilegiando padrões recentes sem descartar o histórico. Para a </w:t>
      </w:r>
      <w:r>
        <w:rPr>
          <w:rFonts w:ascii="Times New Roman" w:hAnsi="Times New Roman"/>
          <w:b/>
          <w:sz w:val="24"/>
        </w:rPr>
        <w:t>pesca INN</w:t>
      </w:r>
      <w:r>
        <w:rPr>
          <w:rFonts w:ascii="Times New Roman" w:hAnsi="Times New Roman"/>
          <w:sz w:val="24"/>
        </w:rPr>
        <w:t xml:space="preserve">, a densidade EMODnet de embarcações de pesca (75 %) combina-se com a </w:t>
      </w:r>
      <w:r>
        <w:rPr>
          <w:rFonts w:ascii="Times New Roman" w:hAnsi="Times New Roman"/>
          <w:b/>
          <w:sz w:val="24"/>
        </w:rPr>
        <w:t>anomalia pesca/AIS</w:t>
      </w:r>
      <w:r>
        <w:rPr>
          <w:rFonts w:ascii="Times New Roman" w:hAnsi="Times New Roman"/>
          <w:sz w:val="24"/>
        </w:rPr>
        <w:t xml:space="preserve"> (25 %) — o rácio entre esforço de pesca e tráfego geral na célula, que realça pesqueiros com atividade desproporcionada.</w:t>
      </w:r>
    </w:p>
    <w:p>
      <w:pPr>
        <w:pStyle w:val="Heading2"/>
      </w:pPr>
      <w:r>
        <w:t>3.5 Arquitectura do pipeline analítico</w:t>
      </w:r>
    </w:p>
    <w:p>
      <w:pPr>
        <w:spacing w:line="480" w:lineRule="auto"/>
        <w:ind w:firstLine="720"/>
        <w:jc w:val="both"/>
      </w:pPr>
      <w:r>
        <w:rPr>
          <w:rFonts w:ascii="Times New Roman" w:hAnsi="Times New Roman"/>
          <w:sz w:val="24"/>
        </w:rPr>
        <w:t>O fluxo de ponta a ponta do SAD resume-se ao esquema seguinte (Figura A — pipeline integrado):</w:t>
      </w:r>
    </w:p>
    <w:p>
      <w:pPr>
        <w:spacing w:after="0"/>
      </w:pPr>
      <w:r>
        <w:rPr>
          <w:rFonts w:ascii="Consolas" w:hAnsi="Consolas"/>
          <w:sz w:val="18"/>
        </w:rPr>
        <w:t>Dados abertos  →  Processamento  →  Grelha marítima  →  Índice de risco  →  Validação  →  Mapa / plataforma</w:t>
      </w:r>
    </w:p>
    <w:p>
      <w:pPr>
        <w:spacing w:after="0"/>
      </w:pPr>
      <w:r>
        <w:rPr>
          <w:rFonts w:ascii="Consolas" w:hAnsi="Consolas"/>
          <w:sz w:val="18"/>
        </w:rPr>
        <w:t>(EMODnet, IOM,     KDE, AHP,         1156 células        multi-ameaça         backtest +      decisão</w:t>
      </w:r>
    </w:p>
    <w:p>
      <w:pPr>
        <w:spacing w:after="0"/>
      </w:pPr>
      <w:r>
        <w:rPr>
          <w:rFonts w:ascii="Consolas" w:hAnsi="Consolas"/>
          <w:sz w:val="18"/>
        </w:rPr>
        <w:t xml:space="preserve"> apreensões PT)    data mining      (só PT continental)  (4 ameaças)          baseline 2,06×   operacional</w:t>
      </w:r>
    </w:p>
    <w:p>
      <w:pPr>
        <w:spacing w:line="480" w:lineRule="auto"/>
        <w:ind w:firstLine="720"/>
        <w:jc w:val="both"/>
      </w:pPr>
      <w:r>
        <w:rPr>
          <w:rFonts w:ascii="Times New Roman" w:hAnsi="Times New Roman"/>
          <w:sz w:val="24"/>
        </w:rPr>
        <w:t>Cada etapa gera artefactos rastreáveis (</w:t>
      </w:r>
      <w:r>
        <w:rPr>
          <w:rFonts w:ascii="Consolas" w:hAnsi="Consolas"/>
          <w:sz w:val="22"/>
        </w:rPr>
        <w:t>intensidades_reais.csv</w:t>
      </w:r>
      <w:r>
        <w:rPr>
          <w:rFonts w:ascii="Times New Roman" w:hAnsi="Times New Roman"/>
          <w:sz w:val="24"/>
        </w:rPr>
        <w:t xml:space="preserve">, </w:t>
      </w:r>
      <w:r>
        <w:rPr>
          <w:rFonts w:ascii="Consolas" w:hAnsi="Consolas"/>
          <w:sz w:val="22"/>
        </w:rPr>
        <w:t>resultados.json</w:t>
      </w:r>
      <w:r>
        <w:rPr>
          <w:rFonts w:ascii="Times New Roman" w:hAnsi="Times New Roman"/>
          <w:sz w:val="24"/>
        </w:rPr>
        <w:t xml:space="preserve">, </w:t>
      </w:r>
      <w:r>
        <w:rPr>
          <w:rFonts w:ascii="Consolas" w:hAnsi="Consolas"/>
          <w:sz w:val="22"/>
        </w:rPr>
        <w:t>validacao.json</w:t>
      </w:r>
      <w:r>
        <w:rPr>
          <w:rFonts w:ascii="Times New Roman" w:hAnsi="Times New Roman"/>
          <w:sz w:val="24"/>
        </w:rPr>
        <w:t xml:space="preserve">, </w:t>
      </w:r>
      <w:r>
        <w:rPr>
          <w:rFonts w:ascii="Consolas" w:hAnsi="Consolas"/>
          <w:sz w:val="22"/>
        </w:rPr>
        <w:t>camadas_mapa.json</w:t>
      </w:r>
      <w:r>
        <w:rPr>
          <w:rFonts w:ascii="Times New Roman" w:hAnsi="Times New Roman"/>
          <w:sz w:val="24"/>
        </w:rPr>
        <w:t>) consumidos pelo painel Folium e pela API FastAPI.</w:t>
      </w:r>
    </w:p>
    <w:p>
      <w:pPr>
        <w:pStyle w:val="Heading2"/>
      </w:pPr>
      <w:r>
        <w:t>3.6 Decisões técnicas justificadas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Decisão</w:t>
            </w:r>
          </w:p>
        </w:tc>
        <w:tc>
          <w:tcPr>
            <w:tcW w:type="dxa" w:w="3120"/>
          </w:tcPr>
          <w:p>
            <w:r>
              <w:rPr>
                <w:rFonts w:ascii="Times New Roman" w:hAnsi="Times New Roman"/>
                <w:b/>
                <w:sz w:val="20"/>
              </w:rPr>
              <w:t>Valor adotado</w:t>
            </w:r>
          </w:p>
        </w:tc>
        <w:tc>
          <w:tcPr>
            <w:tcW w:type="dxa" w:w="3120"/>
          </w:tcPr>
          <w:p>
            <w:r>
              <w:rPr>
                <w:rFonts w:ascii="Times New Roman" w:hAnsi="Times New Roman"/>
                <w:b/>
                <w:sz w:val="20"/>
              </w:rPr>
              <w:t>Justificação</w:t>
            </w:r>
          </w:p>
        </w:tc>
      </w:tr>
      <w:tr>
        <w:tc>
          <w:tcPr>
            <w:tcW w:type="dxa" w:w="3120"/>
          </w:tcPr>
          <w:p>
            <w:r>
              <w:rPr>
                <w:rFonts w:ascii="Times New Roman" w:hAnsi="Times New Roman"/>
                <w:sz w:val="20"/>
              </w:rPr>
              <w:t>Discretização espacial</w:t>
            </w:r>
          </w:p>
        </w:tc>
        <w:tc>
          <w:tcPr>
            <w:tcW w:type="dxa" w:w="3120"/>
          </w:tcPr>
          <w:p>
            <w:r>
              <w:rPr>
                <w:rFonts w:ascii="Times New Roman" w:hAnsi="Times New Roman"/>
                <w:b/>
                <w:sz w:val="20"/>
              </w:rPr>
              <w:t>1156 células</w:t>
            </w:r>
            <w:r>
              <w:rPr>
                <w:rFonts w:ascii="Times New Roman" w:hAnsi="Times New Roman"/>
                <w:sz w:val="20"/>
              </w:rPr>
              <w:t xml:space="preserve"> (~10 km, apenas mar PT)</w:t>
            </w:r>
          </w:p>
        </w:tc>
        <w:tc>
          <w:tcPr>
            <w:tcW w:type="dxa" w:w="3120"/>
          </w:tcPr>
          <w:p>
            <w:r>
              <w:rPr>
                <w:rFonts w:ascii="Times New Roman" w:hAnsi="Times New Roman"/>
                <w:sz w:val="20"/>
              </w:rPr>
              <w:t xml:space="preserve">Resolução adequada à patrulha costeira sem explosão computacional; reprodutível via </w:t>
            </w:r>
            <w:r>
              <w:rPr>
                <w:rFonts w:ascii="Consolas" w:hAnsi="Consolas"/>
                <w:sz w:val="18"/>
              </w:rPr>
              <w:t>geo.gerar_procura</w:t>
            </w:r>
          </w:p>
        </w:tc>
      </w:tr>
      <w:tr>
        <w:tc>
          <w:tcPr>
            <w:tcW w:type="dxa" w:w="3120"/>
          </w:tcPr>
          <w:p>
            <w:r>
              <w:rPr>
                <w:rFonts w:ascii="Times New Roman" w:hAnsi="Times New Roman"/>
                <w:sz w:val="20"/>
              </w:rPr>
              <w:t>Classificação alto risco</w:t>
            </w:r>
          </w:p>
        </w:tc>
        <w:tc>
          <w:tcPr>
            <w:tcW w:type="dxa" w:w="3120"/>
          </w:tcPr>
          <w:p>
            <w:r>
              <w:rPr>
                <w:rFonts w:ascii="Times New Roman" w:hAnsi="Times New Roman"/>
                <w:sz w:val="20"/>
              </w:rPr>
              <w:t xml:space="preserve">Limiar </w:t>
            </w:r>
            <w:r>
              <w:rPr>
                <w:rFonts w:ascii="Times New Roman" w:hAnsi="Times New Roman"/>
                <w:b/>
                <w:sz w:val="20"/>
              </w:rPr>
              <w:t>0,5</w:t>
            </w:r>
            <w:r>
              <w:rPr>
                <w:rFonts w:ascii="Times New Roman" w:hAnsi="Times New Roman"/>
                <w:sz w:val="20"/>
              </w:rPr>
              <w:t xml:space="preserve"> → </w:t>
            </w:r>
            <w:r>
              <w:rPr>
                <w:rFonts w:ascii="Times New Roman" w:hAnsi="Times New Roman"/>
                <w:b/>
                <w:sz w:val="20"/>
              </w:rPr>
              <w:t>300 células</w:t>
            </w:r>
          </w:p>
        </w:tc>
        <w:tc>
          <w:tcPr>
            <w:tcW w:type="dxa" w:w="3120"/>
          </w:tcPr>
          <w:p>
            <w:r>
              <w:rPr>
                <w:rFonts w:ascii="Times New Roman" w:hAnsi="Times New Roman"/>
                <w:sz w:val="20"/>
              </w:rPr>
              <w:t xml:space="preserve">Limiar interpretável e fixado </w:t>
            </w:r>
            <w:r>
              <w:rPr>
                <w:rFonts w:ascii="Times New Roman" w:hAnsi="Times New Roman"/>
                <w:i/>
                <w:sz w:val="20"/>
              </w:rPr>
              <w:t>antes</w:t>
            </w:r>
            <w:r>
              <w:rPr>
                <w:rFonts w:ascii="Times New Roman" w:hAnsi="Times New Roman"/>
                <w:sz w:val="20"/>
              </w:rPr>
              <w:t xml:space="preserve"> do baseline de patrulha (mesmo N em todas as estratégias)</w:t>
            </w:r>
          </w:p>
        </w:tc>
      </w:tr>
      <w:tr>
        <w:tc>
          <w:tcPr>
            <w:tcW w:type="dxa" w:w="3120"/>
          </w:tcPr>
          <w:p>
            <w:r>
              <w:rPr>
                <w:rFonts w:ascii="Times New Roman" w:hAnsi="Times New Roman"/>
                <w:sz w:val="20"/>
              </w:rPr>
              <w:t>Ganho SAD vs aleatório</w:t>
            </w:r>
          </w:p>
        </w:tc>
        <w:tc>
          <w:tcPr>
            <w:tcW w:type="dxa" w:w="3120"/>
          </w:tcPr>
          <w:p>
            <w:r>
              <w:rPr>
                <w:rFonts w:ascii="Times New Roman" w:hAnsi="Times New Roman"/>
                <w:b/>
                <w:sz w:val="20"/>
              </w:rPr>
              <w:t>2,06×</w:t>
            </w:r>
            <w:r>
              <w:rPr>
                <w:rFonts w:ascii="Times New Roman" w:hAnsi="Times New Roman"/>
                <w:sz w:val="20"/>
              </w:rPr>
              <w:t xml:space="preserve"> (IC95: 1,93–2,22)</w:t>
            </w:r>
          </w:p>
        </w:tc>
        <w:tc>
          <w:tcPr>
            <w:tcW w:type="dxa" w:w="3120"/>
          </w:tcPr>
          <w:p>
            <w:r>
              <w:rPr>
                <w:rFonts w:ascii="Times New Roman" w:hAnsi="Times New Roman"/>
                <w:sz w:val="20"/>
              </w:rPr>
              <w:t>Calibração empírica com bootstrap (500 réplicas) sobre captura de massa de risco</w:t>
            </w:r>
          </w:p>
        </w:tc>
      </w:tr>
      <w:tr>
        <w:tc>
          <w:tcPr>
            <w:tcW w:type="dxa" w:w="3120"/>
          </w:tcPr>
          <w:p>
            <w:r>
              <w:rPr>
                <w:rFonts w:ascii="Times New Roman" w:hAnsi="Times New Roman"/>
                <w:sz w:val="20"/>
              </w:rPr>
              <w:t>Bases MCLP (Q3)</w:t>
            </w:r>
          </w:p>
        </w:tc>
        <w:tc>
          <w:tcPr>
            <w:tcW w:type="dxa" w:w="3120"/>
          </w:tcPr>
          <w:p>
            <w:r>
              <w:rPr>
                <w:rFonts w:ascii="Times New Roman" w:hAnsi="Times New Roman"/>
                <w:b/>
                <w:sz w:val="20"/>
              </w:rPr>
              <w:t>Porto + Portimão</w:t>
            </w:r>
          </w:p>
        </w:tc>
        <w:tc>
          <w:tcPr>
            <w:tcW w:type="dxa" w:w="3120"/>
          </w:tcPr>
          <w:p>
            <w:r>
              <w:rPr>
                <w:rFonts w:ascii="Times New Roman" w:hAnsi="Times New Roman"/>
                <w:sz w:val="20"/>
              </w:rPr>
              <w:t>Cobertura de 100 % do risco alto com o mínimo de instalações (k=2)</w:t>
            </w:r>
          </w:p>
        </w:tc>
      </w:tr>
      <w:tr>
        <w:tc>
          <w:tcPr>
            <w:tcW w:type="dxa" w:w="3120"/>
          </w:tcPr>
          <w:p>
            <w:r>
              <w:rPr>
                <w:rFonts w:ascii="Times New Roman" w:hAnsi="Times New Roman"/>
                <w:sz w:val="20"/>
              </w:rPr>
              <w:t>Frota 24 h (Q2)</w:t>
            </w:r>
          </w:p>
        </w:tc>
        <w:tc>
          <w:tcPr>
            <w:tcW w:type="dxa" w:w="3120"/>
          </w:tcPr>
          <w:p>
            <w:r>
              <w:rPr>
                <w:rFonts w:ascii="Times New Roman" w:hAnsi="Times New Roman"/>
                <w:b/>
                <w:sz w:val="20"/>
              </w:rPr>
              <w:t>9 / 11 AR5</w:t>
            </w:r>
          </w:p>
        </w:tc>
        <w:tc>
          <w:tcPr>
            <w:tcW w:type="dxa" w:w="3120"/>
          </w:tcPr>
          <w:p>
            <w:r>
              <w:rPr>
                <w:rFonts w:ascii="Times New Roman" w:hAnsi="Times New Roman"/>
                <w:sz w:val="20"/>
              </w:rPr>
              <w:t>Com 5 ou 12 bases de lançamento (Tabela 6)</w:t>
            </w:r>
          </w:p>
        </w:tc>
      </w:tr>
      <w:tr>
        <w:tc>
          <w:tcPr>
            <w:tcW w:type="dxa" w:w="3120"/>
          </w:tcPr>
          <w:p>
            <w:r>
              <w:rPr>
                <w:rFonts w:ascii="Times New Roman" w:hAnsi="Times New Roman"/>
                <w:sz w:val="20"/>
              </w:rPr>
              <w:t>Dados AIS na plataforma</w:t>
            </w:r>
          </w:p>
        </w:tc>
        <w:tc>
          <w:tcPr>
            <w:tcW w:type="dxa" w:w="3120"/>
          </w:tcPr>
          <w:p>
            <w:r>
              <w:rPr>
                <w:rFonts w:ascii="Times New Roman" w:hAnsi="Times New Roman"/>
                <w:b/>
                <w:sz w:val="20"/>
              </w:rPr>
              <w:t>Híbrido</w:t>
            </w:r>
            <w:r>
              <w:rPr>
                <w:rFonts w:ascii="Times New Roman" w:hAnsi="Times New Roman"/>
                <w:sz w:val="20"/>
              </w:rPr>
              <w:t xml:space="preserve"> (real + simulado)</w:t>
            </w:r>
          </w:p>
        </w:tc>
        <w:tc>
          <w:tcPr>
            <w:tcW w:type="dxa" w:w="3120"/>
          </w:tcPr>
          <w:p>
            <w:r>
              <w:rPr>
                <w:rFonts w:ascii="Times New Roman" w:hAnsi="Times New Roman"/>
                <w:sz w:val="20"/>
              </w:rPr>
              <w:t xml:space="preserve">AISStream quando há chave API; </w:t>
            </w:r>
            <w:r>
              <w:rPr>
                <w:rFonts w:ascii="Times New Roman" w:hAnsi="Times New Roman"/>
                <w:i/>
                <w:sz w:val="20"/>
              </w:rPr>
              <w:t>fallback</w:t>
            </w:r>
            <w:r>
              <w:rPr>
                <w:rFonts w:ascii="Times New Roman" w:hAnsi="Times New Roman"/>
                <w:sz w:val="20"/>
              </w:rPr>
              <w:t xml:space="preserve"> automático com embarcações em células SAD para demonstração offline</w:t>
            </w:r>
          </w:p>
        </w:tc>
      </w:tr>
    </w:tbl>
    <w:p>
      <w:r>
        <w:br w:type="page"/>
      </w:r>
    </w:p>
    <w:p>
      <w:pPr>
        <w:pStyle w:val="Heading1"/>
      </w:pPr>
      <w:r>
        <w:t>4. Pipeline de data mining</w:t>
      </w:r>
    </w:p>
    <w:p>
      <w:pPr>
        <w:spacing w:line="480" w:lineRule="auto"/>
        <w:ind w:firstLine="720"/>
        <w:jc w:val="both"/>
      </w:pPr>
      <w:r>
        <w:rPr>
          <w:rFonts w:ascii="Times New Roman" w:hAnsi="Times New Roman"/>
          <w:sz w:val="24"/>
        </w:rPr>
        <w:t xml:space="preserve">As Secções 4.1 a 4.5 descrevem o pipeline analítico — preparação e redução, </w:t>
      </w:r>
      <w:r>
        <w:rPr>
          <w:rFonts w:ascii="Times New Roman" w:hAnsi="Times New Roman"/>
          <w:i/>
          <w:sz w:val="24"/>
        </w:rPr>
        <w:t>clustering</w:t>
      </w:r>
      <w:r>
        <w:rPr>
          <w:rFonts w:ascii="Times New Roman" w:hAnsi="Times New Roman"/>
          <w:sz w:val="24"/>
        </w:rPr>
        <w:t>, classificação e agregação difusa do risco — que alimenta a otimização (Secção 5).</w:t>
      </w:r>
    </w:p>
    <w:p>
      <w:pPr>
        <w:pStyle w:val="Heading2"/>
      </w:pPr>
      <w:r>
        <w:t>4.1 Preparação dos dados</w:t>
      </w:r>
    </w:p>
    <w:p>
      <w:pPr>
        <w:spacing w:line="480" w:lineRule="auto"/>
        <w:ind w:firstLine="720"/>
        <w:jc w:val="both"/>
      </w:pPr>
      <w:r>
        <w:rPr>
          <w:rFonts w:ascii="Times New Roman" w:hAnsi="Times New Roman"/>
          <w:sz w:val="24"/>
        </w:rPr>
        <w:t xml:space="preserve">A preparação dos dados é a fase mais trabalhosa e, simultaneamente, a mais determinante de qualquer projeto de </w:t>
      </w:r>
      <w:r>
        <w:rPr>
          <w:rFonts w:ascii="Times New Roman" w:hAnsi="Times New Roman"/>
          <w:i/>
          <w:sz w:val="24"/>
        </w:rPr>
        <w:t>data mining</w:t>
      </w:r>
      <w:r>
        <w:rPr>
          <w:rFonts w:ascii="Times New Roman" w:hAnsi="Times New Roman"/>
          <w:sz w:val="24"/>
        </w:rPr>
        <w:t>, na medida em que vale o princípio de que dados de má qualidade produzem necessariamente modelos de má qualidade (</w:t>
      </w:r>
      <w:r>
        <w:rPr>
          <w:rFonts w:ascii="Times New Roman" w:hAnsi="Times New Roman"/>
          <w:i/>
          <w:sz w:val="24"/>
        </w:rPr>
        <w:t>garbage in, garbage out</w:t>
      </w:r>
      <w:r>
        <w:rPr>
          <w:rFonts w:ascii="Times New Roman" w:hAnsi="Times New Roman"/>
          <w:sz w:val="24"/>
        </w:rPr>
        <w:t xml:space="preserve">). O módulo de pré-processamento executa, por esta ordem, as seguintes operações. A </w:t>
      </w:r>
      <w:r>
        <w:rPr>
          <w:rFonts w:ascii="Times New Roman" w:hAnsi="Times New Roman"/>
          <w:b/>
          <w:sz w:val="24"/>
        </w:rPr>
        <w:t>limpeza</w:t>
      </w:r>
      <w:r>
        <w:rPr>
          <w:rFonts w:ascii="Times New Roman" w:hAnsi="Times New Roman"/>
          <w:sz w:val="24"/>
        </w:rPr>
        <w:t xml:space="preserve"> remove os registos desprovidos de data, substância ou quantidade — apenas dois em quase dez mil —, harmoniza variantes textuais inconsistentes (designadamente a designação «Western and Central Europe», normalizada para «West and Central Europe») e corrige gralhas toponímicas detetadas por inspeção. O </w:t>
      </w:r>
      <w:r>
        <w:rPr>
          <w:rFonts w:ascii="Times New Roman" w:hAnsi="Times New Roman"/>
          <w:b/>
          <w:sz w:val="24"/>
        </w:rPr>
        <w:t>tratamento de valores omissos</w:t>
      </w:r>
      <w:r>
        <w:rPr>
          <w:rFonts w:ascii="Times New Roman" w:hAnsi="Times New Roman"/>
          <w:sz w:val="24"/>
        </w:rPr>
        <w:t xml:space="preserve"> substitui as quantidades em falta pela mediana da respetiva unidade — preferida à média por ser robusta a </w:t>
      </w:r>
      <w:r>
        <w:rPr>
          <w:rFonts w:ascii="Times New Roman" w:hAnsi="Times New Roman"/>
          <w:i/>
          <w:sz w:val="24"/>
        </w:rPr>
        <w:t>outliers</w:t>
      </w:r>
      <w:r>
        <w:rPr>
          <w:rFonts w:ascii="Times New Roman" w:hAnsi="Times New Roman"/>
          <w:sz w:val="24"/>
        </w:rPr>
        <w:t xml:space="preserve"> — e atribui o rótulo «Desc.» às regiões sem geocódigo. A </w:t>
      </w:r>
      <w:r>
        <w:rPr>
          <w:rFonts w:ascii="Times New Roman" w:hAnsi="Times New Roman"/>
          <w:b/>
          <w:sz w:val="24"/>
        </w:rPr>
        <w:t>transformação</w:t>
      </w:r>
      <w:r>
        <w:rPr>
          <w:rFonts w:ascii="Times New Roman" w:hAnsi="Times New Roman"/>
          <w:sz w:val="24"/>
        </w:rPr>
        <w:t xml:space="preserve"> deriva, a partir da data, o ano, o mês e a estação do ano, e converte todas as quantidades para uma unidade comum (gramas), aplicando-lhes adicionalmente a transformação logarítmica log(1 + g) para comprimir a forte assimetria positiva característica das apreensões, em que um pequeno número de operações de grande dimensão coexiste com uma maioria de apreensões modestas. A </w:t>
      </w:r>
      <w:r>
        <w:rPr>
          <w:rFonts w:ascii="Times New Roman" w:hAnsi="Times New Roman"/>
          <w:b/>
          <w:sz w:val="24"/>
        </w:rPr>
        <w:t>discretização</w:t>
      </w:r>
      <w:r>
        <w:rPr>
          <w:rFonts w:ascii="Times New Roman" w:hAnsi="Times New Roman"/>
          <w:sz w:val="24"/>
        </w:rPr>
        <w:t xml:space="preserve"> reduz as 42 substâncias originais a sete grupos farmacológicos e classifica as regiões em três faixas latitudinais (Norte, Centro, Sul). A </w:t>
      </w:r>
      <w:r>
        <w:rPr>
          <w:rFonts w:ascii="Times New Roman" w:hAnsi="Times New Roman"/>
          <w:b/>
          <w:sz w:val="24"/>
        </w:rPr>
        <w:t>codificação</w:t>
      </w:r>
      <w:r>
        <w:rPr>
          <w:rFonts w:ascii="Times New Roman" w:hAnsi="Times New Roman"/>
          <w:sz w:val="24"/>
        </w:rPr>
        <w:t xml:space="preserve"> converte as variáveis categóricas em representação binária (</w:t>
      </w:r>
      <w:r>
        <w:rPr>
          <w:rFonts w:ascii="Times New Roman" w:hAnsi="Times New Roman"/>
          <w:i/>
          <w:sz w:val="24"/>
        </w:rPr>
        <w:t>one-hot</w:t>
      </w:r>
      <w:r>
        <w:rPr>
          <w:rFonts w:ascii="Times New Roman" w:hAnsi="Times New Roman"/>
          <w:sz w:val="24"/>
        </w:rPr>
        <w:t xml:space="preserve">, com um indicador por categoria) e normaliza as variáveis numéricas por padronização Z-score, </w:t>
      </w:r>
      <w:r>
        <w:rPr>
          <w:rFonts w:ascii="Times New Roman" w:hAnsi="Times New Roman"/>
          <w:i/>
          <w:sz w:val="24"/>
        </w:rPr>
        <w:t>y′</w:t>
      </w:r>
      <w:r>
        <w:rPr>
          <w:rFonts w:ascii="Times New Roman" w:hAnsi="Times New Roman"/>
          <w:sz w:val="24"/>
        </w:rPr>
        <w:t xml:space="preserve"> = (</w:t>
      </w:r>
      <w:r>
        <w:rPr>
          <w:rFonts w:ascii="Times New Roman" w:hAnsi="Times New Roman"/>
          <w:i/>
          <w:sz w:val="24"/>
        </w:rPr>
        <w:t>y</w:t>
      </w:r>
      <w:r>
        <w:rPr>
          <w:rFonts w:ascii="Times New Roman" w:hAnsi="Times New Roman"/>
          <w:sz w:val="24"/>
        </w:rPr>
        <w:t xml:space="preserve"> − </w:t>
      </w:r>
      <w:r>
        <w:rPr>
          <w:rFonts w:ascii="Times New Roman" w:hAnsi="Times New Roman"/>
          <w:i/>
          <w:sz w:val="24"/>
        </w:rPr>
        <w:t>ȳ</w:t>
      </w:r>
      <w:r>
        <w:rPr>
          <w:rFonts w:ascii="Times New Roman" w:hAnsi="Times New Roman"/>
          <w:sz w:val="24"/>
        </w:rPr>
        <w:t>)/</w:t>
      </w:r>
      <w:r>
        <w:rPr>
          <w:rFonts w:ascii="Times New Roman" w:hAnsi="Times New Roman"/>
          <w:i/>
          <w:sz w:val="24"/>
        </w:rPr>
        <w:t>s</w:t>
      </w:r>
      <w:r>
        <w:rPr>
          <w:rFonts w:ascii="Times New Roman" w:hAnsi="Times New Roman"/>
          <w:sz w:val="24"/>
        </w:rPr>
        <w:t xml:space="preserve">, passo indispensável para os algoritmos sensíveis a distâncias. Finalmente, define-se a variável-alvo binária </w:t>
      </w:r>
      <w:r>
        <w:rPr>
          <w:rFonts w:ascii="Consolas" w:hAnsi="Consolas"/>
          <w:sz w:val="22"/>
        </w:rPr>
        <w:t>marítimo</w:t>
      </w:r>
      <w:r>
        <w:rPr>
          <w:rFonts w:ascii="Times New Roman" w:hAnsi="Times New Roman"/>
          <w:sz w:val="24"/>
        </w:rPr>
        <w:t>, que assume o valor 1 quando o local de apreensão remete para águas, porto ou águas internacionais, ou quando o modo de transporte é uma embarcação.</w:t>
      </w:r>
    </w:p>
    <w:p>
      <w:pPr>
        <w:spacing w:line="480" w:lineRule="auto"/>
        <w:ind w:firstLine="720"/>
        <w:jc w:val="both"/>
      </w:pPr>
      <w:r>
        <w:rPr>
          <w:rFonts w:ascii="Times New Roman" w:hAnsi="Times New Roman"/>
          <w:sz w:val="24"/>
        </w:rPr>
        <w:t xml:space="preserve">A construção da variável-alvo mereceu cuidado particular para evitar </w:t>
      </w:r>
      <w:r>
        <w:rPr>
          <w:rFonts w:ascii="Times New Roman" w:hAnsi="Times New Roman"/>
          <w:b/>
          <w:sz w:val="24"/>
        </w:rPr>
        <w:t>fuga de informação</w:t>
      </w:r>
      <w:r>
        <w:rPr>
          <w:rFonts w:ascii="Times New Roman" w:hAnsi="Times New Roman"/>
          <w:sz w:val="24"/>
        </w:rPr>
        <w:t xml:space="preserve"> (</w:t>
      </w:r>
      <w:r>
        <w:rPr>
          <w:rFonts w:ascii="Times New Roman" w:hAnsi="Times New Roman"/>
          <w:i/>
          <w:sz w:val="24"/>
        </w:rPr>
        <w:t>data leakage</w:t>
      </w:r>
      <w:r>
        <w:rPr>
          <w:rFonts w:ascii="Times New Roman" w:hAnsi="Times New Roman"/>
          <w:sz w:val="24"/>
        </w:rPr>
        <w:t>; Kaufman, Rosset, Perlich, &amp; Stitelman, 2012): excluíram-se dos atributos preditores todas as variáveis que, direta ou indiretamente, codificassem a própria definição de «marítimo» (designadamente o local físico e o modo de transporte), retendo-se apenas atributos genuinamente antecedentes —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pPr>
        <w:pStyle w:val="Heading2"/>
      </w:pPr>
      <w:r>
        <w:t>4.2 Redução de dimensionalidade</w:t>
      </w:r>
    </w:p>
    <w:p>
      <w:pPr>
        <w:spacing w:line="480" w:lineRule="auto"/>
        <w:ind w:firstLine="720"/>
        <w:jc w:val="both"/>
      </w:pPr>
      <w:r>
        <w:rPr>
          <w:rFonts w:ascii="Times New Roman" w:hAnsi="Times New Roman"/>
          <w:sz w:val="24"/>
        </w:rPr>
        <w:t xml:space="preserve">A codificação </w:t>
      </w:r>
      <w:r>
        <w:rPr>
          <w:rFonts w:ascii="Times New Roman" w:hAnsi="Times New Roman"/>
          <w:i/>
          <w:sz w:val="24"/>
        </w:rPr>
        <w:t>one-hot</w:t>
      </w:r>
      <w:r>
        <w:rPr>
          <w:rFonts w:ascii="Times New Roman" w:hAnsi="Times New Roman"/>
          <w:sz w:val="24"/>
        </w:rPr>
        <w:t xml:space="preserve">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perceptrão multicamada) e para a preferência por métricas de avaliação robustas, dado que nenhuma projeção de baixa dimensão captura adequadamente a estrutura dos dados.</w:t>
      </w:r>
    </w:p>
    <w:p>
      <w:pPr>
        <w:pStyle w:val="Heading2"/>
      </w:pPr>
      <w:r>
        <w:t>4.3 Modelação descritiva: segmentação espacial por clustering</w:t>
      </w:r>
    </w:p>
    <w:p>
      <w:pPr>
        <w:spacing w:line="480" w:lineRule="auto"/>
        <w:ind w:firstLine="720"/>
        <w:jc w:val="both"/>
      </w:pPr>
      <w:r>
        <w:rPr>
          <w:rFonts w:ascii="Times New Roman" w:hAnsi="Times New Roman"/>
          <w:sz w:val="24"/>
        </w:rPr>
        <w:t xml:space="preserve">A primeira aplicação de </w:t>
      </w:r>
      <w:r>
        <w:rPr>
          <w:rFonts w:ascii="Times New Roman" w:hAnsi="Times New Roman"/>
          <w:i/>
          <w:sz w:val="24"/>
        </w:rPr>
        <w:t>data mining</w:t>
      </w:r>
      <w:r>
        <w:rPr>
          <w:rFonts w:ascii="Times New Roman" w:hAnsi="Times New Roman"/>
          <w:sz w:val="24"/>
        </w:rPr>
        <w:t xml:space="preserve"> visa responder à questão Q1 — onde se concentra a atividade ilícita — de forma independente do modelo de risco, conferindo-lhe validação externa. Geocodificaram-se os registos ao nível do concelho ou distrito (operação que cobre cerca de 83 % das observações), projetaram-se as coordenadas e aplicou-se </w:t>
      </w:r>
      <w:r>
        <w:rPr>
          <w:rFonts w:ascii="Times New Roman" w:hAnsi="Times New Roman"/>
          <w:i/>
          <w:sz w:val="24"/>
        </w:rPr>
        <w:t>clustering</w:t>
      </w:r>
      <w:r>
        <w:rPr>
          <w:rFonts w:ascii="Times New Roman" w:hAnsi="Times New Roman"/>
          <w:sz w:val="24"/>
        </w:rPr>
        <w:t xml:space="preserve"> sobre as apreensões do território continental.</w:t>
      </w:r>
    </w:p>
    <w:p>
      <w:pPr>
        <w:spacing w:line="480" w:lineRule="auto"/>
        <w:ind w:firstLine="720"/>
        <w:jc w:val="both"/>
      </w:pPr>
      <w:r>
        <w:rPr>
          <w:rFonts w:ascii="Times New Roman" w:hAnsi="Times New Roman"/>
          <w:sz w:val="24"/>
        </w:rPr>
        <w:t>A escolha do número de grupos apoiou-se conjuntamente no método do cotovelo e no coeficiente de silhueta (Figura 4). A inércia decresce de forma acentuada até k = 4, ponto a partir do qual os ganhos se tornam marginais, e o coeficiente de silhueta atinge o seu máximo (</w:t>
      </w:r>
      <w:r>
        <w:rPr>
          <w:rFonts w:ascii="Times New Roman" w:hAnsi="Times New Roman"/>
          <w:b/>
          <w:sz w:val="24"/>
        </w:rPr>
        <w:t>0,749</w:t>
      </w:r>
      <w:r>
        <w:rPr>
          <w:rFonts w:ascii="Times New Roman" w:hAnsi="Times New Roman"/>
          <w:sz w:val="24"/>
        </w:rPr>
        <w:t>) precisamente em k = 4, convergência que fundamenta solidamente esta escolha. O DBSCAN, aplicado como termo de comparação, identifica dez núcleos densos, refletindo a existência de subconcentrações urbanas dentro das grandes regiões.</w:t>
      </w:r>
    </w:p>
    <w:p>
      <w:pPr>
        <w:spacing w:line="480" w:lineRule="auto"/>
        <w:ind w:firstLine="720"/>
        <w:jc w:val="both"/>
      </w:pPr>
      <w:r>
        <w:rPr>
          <w:rFonts w:ascii="Times New Roman" w:hAnsi="Times New Roman"/>
          <w:sz w:val="24"/>
        </w:rPr>
        <w:t xml:space="preserve">Aplicado especificamente às apreensões de natureza marítima, o k-médias define quatro zonas de patrulha cuja distribuição é inequívoca (Tabela 2): o </w:t>
      </w:r>
      <w:r>
        <w:rPr>
          <w:rFonts w:ascii="Times New Roman" w:hAnsi="Times New Roman"/>
          <w:b/>
          <w:sz w:val="24"/>
        </w:rPr>
        <w:t>Algarve</w:t>
      </w:r>
      <w:r>
        <w:rPr>
          <w:rFonts w:ascii="Times New Roman" w:hAnsi="Times New Roman"/>
          <w:sz w:val="24"/>
        </w:rPr>
        <w:t xml:space="preserve"> concentra 123 apreensões (53 % do total marítimo), o eixo </w:t>
      </w:r>
      <w:r>
        <w:rPr>
          <w:rFonts w:ascii="Times New Roman" w:hAnsi="Times New Roman"/>
          <w:b/>
          <w:sz w:val="24"/>
        </w:rPr>
        <w:t>Setúbal–Lisboa</w:t>
      </w:r>
      <w:r>
        <w:rPr>
          <w:rFonts w:ascii="Times New Roman" w:hAnsi="Times New Roman"/>
          <w:sz w:val="24"/>
        </w:rPr>
        <w:t xml:space="preserve"> 87 (37 %) e a faixa </w:t>
      </w:r>
      <w:r>
        <w:rPr>
          <w:rFonts w:ascii="Times New Roman" w:hAnsi="Times New Roman"/>
          <w:b/>
          <w:sz w:val="24"/>
        </w:rPr>
        <w:t>Porto–Noroeste</w:t>
      </w:r>
      <w:r>
        <w:rPr>
          <w:rFonts w:ascii="Times New Roman" w:hAnsi="Times New Roman"/>
          <w:sz w:val="24"/>
        </w:rPr>
        <w:t xml:space="preserve"> 21 (9 %), restando um núcleo interior residual de 3 ocorrências. Os centróides destas três zonas costeiras coincidem, com notável aproximação, com os máximos do índice de risco (Secção 4.5), o que constitui a validação cruzada pretendida: dois caminhos analíticos independentes — um assente na evidência institucional agregada das quatro ameaças, outro na geometria empírica das apreensões — convergem para o mesmo retrato espacial.</w:t>
      </w:r>
    </w:p>
    <w:p>
      <w:pPr>
        <w:spacing w:line="480" w:lineRule="auto"/>
        <w:ind w:firstLine="720"/>
        <w:jc w:val="both"/>
      </w:pPr>
      <w:r>
        <w:rPr>
          <w:rFonts w:ascii="Times New Roman" w:hAnsi="Times New Roman"/>
          <w:sz w:val="24"/>
        </w:rPr>
        <w:t xml:space="preserve">O </w:t>
      </w:r>
      <w:r>
        <w:rPr>
          <w:rFonts w:ascii="Times New Roman" w:hAnsi="Times New Roman"/>
          <w:i/>
          <w:sz w:val="24"/>
        </w:rPr>
        <w:t>Fuzzy C-Means</w:t>
      </w:r>
      <w:r>
        <w:rPr>
          <w:rFonts w:ascii="Times New Roman" w:hAnsi="Times New Roman"/>
          <w:sz w:val="24"/>
        </w:rPr>
        <w:t xml:space="preserve">, aplicado às mesmas observações, corrobora a robustez desta segmentação: o coeficiente de partição difusa de </w:t>
      </w:r>
      <w:r>
        <w:rPr>
          <w:rFonts w:ascii="Times New Roman" w:hAnsi="Times New Roman"/>
          <w:b/>
          <w:sz w:val="24"/>
        </w:rPr>
        <w:t>0,923</w:t>
      </w:r>
      <w:r>
        <w:rPr>
          <w:rFonts w:ascii="Times New Roman" w:hAnsi="Times New Roman"/>
          <w:sz w:val="24"/>
        </w:rPr>
        <w:t xml:space="preserve"> indica grupos bem separados, com a maioria das observações a exibir um grau de pertença elevado ao seu cluster dominante (Figura 6). A fuzzificação acrescenta, contudo, informação operacionalmente útil ao assinalar as observações de fronteira — tipicamente situadas entre o Algarve e o Alentejo litoral —, cuja afetação ambígua sugere a conveniência de uma cobertura sensorial contínua em vez de fronteiras de patrulha rígidas.</w:t>
      </w:r>
    </w:p>
    <w:p>
      <w:pPr>
        <w:spacing w:line="480" w:lineRule="auto"/>
        <w:ind w:firstLine="0"/>
        <w:jc w:val="center"/>
      </w:pPr>
      <w:r>
        <w:rPr>
          <w:rFonts w:ascii="Times New Roman" w:hAnsi="Times New Roman"/>
          <w:b/>
          <w:sz w:val="22"/>
        </w:rPr>
        <w:t>Tabela 2 -</w:t>
      </w:r>
      <w:r>
        <w:rPr>
          <w:rFonts w:ascii="Times New Roman" w:hAnsi="Times New Roman"/>
          <w:sz w:val="22"/>
        </w:rPr>
        <w:t xml:space="preserve"> </w:t>
      </w:r>
      <w:r>
        <w:rPr>
          <w:rFonts w:ascii="Times New Roman" w:hAnsi="Times New Roman"/>
          <w:i/>
          <w:sz w:val="22"/>
        </w:rPr>
        <w:t>Zonas de patrulha marítimas identificadas por k-médias (k =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Zona</w:t>
            </w:r>
          </w:p>
        </w:tc>
        <w:tc>
          <w:tcPr>
            <w:tcW w:type="dxa" w:w="2340"/>
          </w:tcPr>
          <w:p>
            <w:r>
              <w:rPr>
                <w:rFonts w:ascii="Times New Roman" w:hAnsi="Times New Roman"/>
                <w:b/>
                <w:sz w:val="20"/>
              </w:rPr>
              <w:t>Centróide (lat, lon)</w:t>
            </w:r>
          </w:p>
        </w:tc>
        <w:tc>
          <w:tcPr>
            <w:tcW w:type="dxa" w:w="2340"/>
          </w:tcPr>
          <w:p>
            <w:r>
              <w:rPr>
                <w:rFonts w:ascii="Times New Roman" w:hAnsi="Times New Roman"/>
                <w:b/>
                <w:sz w:val="20"/>
              </w:rPr>
              <w:t>N.º de apreensões</w:t>
            </w:r>
          </w:p>
        </w:tc>
        <w:tc>
          <w:tcPr>
            <w:tcW w:type="dxa" w:w="2340"/>
          </w:tcPr>
          <w:p>
            <w:r>
              <w:rPr>
                <w:rFonts w:ascii="Times New Roman" w:hAnsi="Times New Roman"/>
                <w:b/>
                <w:sz w:val="20"/>
              </w:rPr>
              <w:t>Peso relativo</w:t>
            </w:r>
          </w:p>
        </w:tc>
      </w:tr>
      <w:tr>
        <w:tc>
          <w:tcPr>
            <w:tcW w:type="dxa" w:w="2340"/>
          </w:tcPr>
          <w:p>
            <w:r>
              <w:rPr>
                <w:rFonts w:ascii="Times New Roman" w:hAnsi="Times New Roman"/>
                <w:sz w:val="20"/>
              </w:rPr>
              <w:t>Algarve</w:t>
            </w:r>
          </w:p>
        </w:tc>
        <w:tc>
          <w:tcPr>
            <w:tcW w:type="dxa" w:w="2340"/>
          </w:tcPr>
          <w:p>
            <w:r>
              <w:rPr>
                <w:rFonts w:ascii="Times New Roman" w:hAnsi="Times New Roman"/>
                <w:sz w:val="20"/>
              </w:rPr>
              <w:t>(37,03 ; −7,93)</w:t>
            </w:r>
          </w:p>
        </w:tc>
        <w:tc>
          <w:tcPr>
            <w:tcW w:type="dxa" w:w="2340"/>
          </w:tcPr>
          <w:p>
            <w:r>
              <w:rPr>
                <w:rFonts w:ascii="Times New Roman" w:hAnsi="Times New Roman"/>
                <w:sz w:val="20"/>
              </w:rPr>
              <w:t>123</w:t>
            </w:r>
          </w:p>
        </w:tc>
        <w:tc>
          <w:tcPr>
            <w:tcW w:type="dxa" w:w="2340"/>
          </w:tcPr>
          <w:p>
            <w:r>
              <w:rPr>
                <w:rFonts w:ascii="Times New Roman" w:hAnsi="Times New Roman"/>
                <w:sz w:val="20"/>
              </w:rPr>
              <w:t>53 %</w:t>
            </w:r>
          </w:p>
        </w:tc>
      </w:tr>
      <w:tr>
        <w:tc>
          <w:tcPr>
            <w:tcW w:type="dxa" w:w="2340"/>
          </w:tcPr>
          <w:p>
            <w:r>
              <w:rPr>
                <w:rFonts w:ascii="Times New Roman" w:hAnsi="Times New Roman"/>
                <w:sz w:val="20"/>
              </w:rPr>
              <w:t>Setúbal–Lisboa</w:t>
            </w:r>
          </w:p>
        </w:tc>
        <w:tc>
          <w:tcPr>
            <w:tcW w:type="dxa" w:w="2340"/>
          </w:tcPr>
          <w:p>
            <w:r>
              <w:rPr>
                <w:rFonts w:ascii="Times New Roman" w:hAnsi="Times New Roman"/>
                <w:sz w:val="20"/>
              </w:rPr>
              <w:t>(38,63 ; −8,93)</w:t>
            </w:r>
          </w:p>
        </w:tc>
        <w:tc>
          <w:tcPr>
            <w:tcW w:type="dxa" w:w="2340"/>
          </w:tcPr>
          <w:p>
            <w:r>
              <w:rPr>
                <w:rFonts w:ascii="Times New Roman" w:hAnsi="Times New Roman"/>
                <w:sz w:val="20"/>
              </w:rPr>
              <w:t>87</w:t>
            </w:r>
          </w:p>
        </w:tc>
        <w:tc>
          <w:tcPr>
            <w:tcW w:type="dxa" w:w="2340"/>
          </w:tcPr>
          <w:p>
            <w:r>
              <w:rPr>
                <w:rFonts w:ascii="Times New Roman" w:hAnsi="Times New Roman"/>
                <w:sz w:val="20"/>
              </w:rPr>
              <w:t>37 %</w:t>
            </w:r>
          </w:p>
        </w:tc>
      </w:tr>
      <w:tr>
        <w:tc>
          <w:tcPr>
            <w:tcW w:type="dxa" w:w="2340"/>
          </w:tcPr>
          <w:p>
            <w:r>
              <w:rPr>
                <w:rFonts w:ascii="Times New Roman" w:hAnsi="Times New Roman"/>
                <w:sz w:val="20"/>
              </w:rPr>
              <w:t>Porto–Noroeste</w:t>
            </w:r>
          </w:p>
        </w:tc>
        <w:tc>
          <w:tcPr>
            <w:tcW w:type="dxa" w:w="2340"/>
          </w:tcPr>
          <w:p>
            <w:r>
              <w:rPr>
                <w:rFonts w:ascii="Times New Roman" w:hAnsi="Times New Roman"/>
                <w:sz w:val="20"/>
              </w:rPr>
              <w:t>(41,17 ; −8,55)</w:t>
            </w:r>
          </w:p>
        </w:tc>
        <w:tc>
          <w:tcPr>
            <w:tcW w:type="dxa" w:w="2340"/>
          </w:tcPr>
          <w:p>
            <w:r>
              <w:rPr>
                <w:rFonts w:ascii="Times New Roman" w:hAnsi="Times New Roman"/>
                <w:sz w:val="20"/>
              </w:rPr>
              <w:t>21</w:t>
            </w:r>
          </w:p>
        </w:tc>
        <w:tc>
          <w:tcPr>
            <w:tcW w:type="dxa" w:w="2340"/>
          </w:tcPr>
          <w:p>
            <w:r>
              <w:rPr>
                <w:rFonts w:ascii="Times New Roman" w:hAnsi="Times New Roman"/>
                <w:sz w:val="20"/>
              </w:rPr>
              <w:t>9 %</w:t>
            </w:r>
          </w:p>
        </w:tc>
      </w:tr>
      <w:tr>
        <w:tc>
          <w:tcPr>
            <w:tcW w:type="dxa" w:w="2340"/>
          </w:tcPr>
          <w:p>
            <w:r>
              <w:rPr>
                <w:rFonts w:ascii="Times New Roman" w:hAnsi="Times New Roman"/>
                <w:sz w:val="20"/>
              </w:rPr>
              <w:t>Interior (residual)</w:t>
            </w:r>
          </w:p>
        </w:tc>
        <w:tc>
          <w:tcPr>
            <w:tcW w:type="dxa" w:w="2340"/>
          </w:tcPr>
          <w:p>
            <w:r>
              <w:rPr>
                <w:rFonts w:ascii="Times New Roman" w:hAnsi="Times New Roman"/>
                <w:sz w:val="20"/>
              </w:rPr>
              <w:t>(41,77 ; −6,74)</w:t>
            </w:r>
          </w:p>
        </w:tc>
        <w:tc>
          <w:tcPr>
            <w:tcW w:type="dxa" w:w="2340"/>
          </w:tcPr>
          <w:p>
            <w:r>
              <w:rPr>
                <w:rFonts w:ascii="Times New Roman" w:hAnsi="Times New Roman"/>
                <w:sz w:val="20"/>
              </w:rPr>
              <w:t>3</w:t>
            </w:r>
          </w:p>
        </w:tc>
        <w:tc>
          <w:tcPr>
            <w:tcW w:type="dxa" w:w="2340"/>
          </w:tcPr>
          <w:p>
            <w:r>
              <w:rPr>
                <w:rFonts w:ascii="Times New Roman" w:hAnsi="Times New Roman"/>
                <w:sz w:val="20"/>
              </w:rPr>
              <w:t>1 %</w:t>
            </w:r>
          </w:p>
        </w:tc>
      </w:tr>
    </w:tbl>
    <w:p>
      <w:pPr>
        <w:pStyle w:val="Heading2"/>
      </w:pPr>
      <w:r>
        <w:t>4.4 Modelação preditiva: deteção da natureza marítima das apreensões</w:t>
      </w:r>
    </w:p>
    <w:p>
      <w:pPr>
        <w:spacing w:line="480" w:lineRule="auto"/>
        <w:ind w:firstLine="720"/>
        <w:jc w:val="both"/>
      </w:pPr>
      <w:r>
        <w:rPr>
          <w:rFonts w:ascii="Times New Roman" w:hAnsi="Times New Roman"/>
          <w:sz w:val="24"/>
        </w:rPr>
        <w:t>A segunda aplicação responde à questão Q2: será possível, conhecidos apenas os atributos antecedentes de uma apreensão, prever se esta é de natureza marítima? A resposta tem valor operacional direto, pois a identificação dos determinantes da via marítima informa a afetação do esforço de vigilância.</w:t>
      </w:r>
    </w:p>
    <w:p>
      <w:pPr>
        <w:pStyle w:val="Heading3"/>
      </w:pPr>
      <w:r>
        <w:t>4.4.1 Desenho experimental</w:t>
      </w:r>
    </w:p>
    <w:p>
      <w:pPr>
        <w:spacing w:line="480" w:lineRule="auto"/>
        <w:ind w:firstLine="720"/>
        <w:jc w:val="both"/>
      </w:pPr>
      <w:r>
        <w:rPr>
          <w:rFonts w:ascii="Times New Roman" w:hAnsi="Times New Roman"/>
          <w:sz w:val="24"/>
        </w:rPr>
        <w:t xml:space="preserve">O problema é de classificação binária fortemente desequilibrada: apenas </w:t>
      </w:r>
      <w:r>
        <w:rPr>
          <w:rFonts w:ascii="Times New Roman" w:hAnsi="Times New Roman"/>
          <w:b/>
          <w:sz w:val="24"/>
        </w:rPr>
        <w:t>3,4 %</w:t>
      </w:r>
      <w:r>
        <w:rPr>
          <w:rFonts w:ascii="Times New Roman" w:hAnsi="Times New Roman"/>
          <w:sz w:val="24"/>
        </w:rPr>
        <w:t xml:space="preserve"> das observações são marítimas. Este desequilíbrio condiciona todo o desenho experimental. Em primeiro lugar, torna a exatidão global uma métrica enganadora — um classificador trivial que nunca preveja «marítimo» atingiria cerca de 96,6 % de exatidão sem qualquer utilidade —, razão pela qual se privilegiam a sensibilidade, a pontuação F1, a área sob a curva ROC (ROC-AUC) e, muito em particular, a </w:t>
      </w:r>
      <w:r>
        <w:rPr>
          <w:rFonts w:ascii="Times New Roman" w:hAnsi="Times New Roman"/>
          <w:b/>
          <w:sz w:val="24"/>
        </w:rPr>
        <w:t>área sob a curva precisão–sensibilidade (PR-AUC)</w:t>
      </w:r>
      <w:r>
        <w:rPr>
          <w:rFonts w:ascii="Times New Roman" w:hAnsi="Times New Roman"/>
          <w:sz w:val="24"/>
        </w:rPr>
        <w:t xml:space="preserve">, que Davis e Goadrich (2006) demonstram ser mais informativa do que a ROC-AUC quando a classe positiva é rara; todas são complementadas pela inspeção direta das matrizes de confusão. Em segundo lugar, motiva a aplicação de técnicas de reequilíbrio. Adotou-se o </w:t>
      </w:r>
      <w:r>
        <w:rPr>
          <w:rFonts w:ascii="Times New Roman" w:hAnsi="Times New Roman"/>
          <w:b/>
          <w:sz w:val="24"/>
        </w:rPr>
        <w:t>SMOTE</w:t>
      </w:r>
      <w:r>
        <w:rPr>
          <w:rFonts w:ascii="Times New Roman" w:hAnsi="Times New Roman"/>
          <w:sz w:val="24"/>
        </w:rPr>
        <w:t xml:space="preserve"> (</w:t>
      </w:r>
      <w:r>
        <w:rPr>
          <w:rFonts w:ascii="Times New Roman" w:hAnsi="Times New Roman"/>
          <w:i/>
          <w:sz w:val="24"/>
        </w:rPr>
        <w:t>Synthetic Minority Over-sampling Technique</w:t>
      </w:r>
      <w:r>
        <w:rPr>
          <w:rFonts w:ascii="Times New Roman" w:hAnsi="Times New Roman"/>
          <w:sz w:val="24"/>
        </w:rPr>
        <w:t xml:space="preserve">; Chawla, Bowyer, Hall, &amp; Kegelmeyer, 2002), que gera exemplos sintéticos da classe minoritária por interpolação entre vizinhos, em vez da simples replicação. Crucialmente, o SMOTE foi </w:t>
      </w:r>
      <w:r>
        <w:rPr>
          <w:rFonts w:ascii="Times New Roman" w:hAnsi="Times New Roman"/>
          <w:b/>
          <w:sz w:val="24"/>
        </w:rPr>
        <w:t>encapsulado num pipeline</w:t>
      </w:r>
      <w:r>
        <w:rPr>
          <w:rFonts w:ascii="Times New Roman" w:hAnsi="Times New Roman"/>
          <w:sz w:val="24"/>
        </w:rPr>
        <w:t xml:space="preserve"> (</w:t>
      </w:r>
      <w:r>
        <w:rPr>
          <w:rFonts w:ascii="Consolas" w:hAnsi="Consolas"/>
          <w:sz w:val="22"/>
        </w:rPr>
        <w:t>ImbPipeline</w:t>
      </w:r>
      <w:r>
        <w:rPr>
          <w:rFonts w:ascii="Times New Roman" w:hAnsi="Times New Roman"/>
          <w:sz w:val="24"/>
        </w:rPr>
        <w:t>) de modo a ser reaplicado apenas nos folds de treino de cada partição da validação cruzada, evitando a fuga de informação que resultaria de sobreamostrar antes de particionar; as árvores de decisão recorrem, em alternativa, à ponderação de classes (</w:t>
      </w:r>
      <w:r>
        <w:rPr>
          <w:rFonts w:ascii="Consolas" w:hAnsi="Consolas"/>
          <w:sz w:val="22"/>
        </w:rPr>
        <w:t>class_weight</w:t>
      </w:r>
      <w:r>
        <w:rPr>
          <w:rFonts w:ascii="Times New Roman" w:hAnsi="Times New Roman"/>
          <w:sz w:val="24"/>
        </w:rPr>
        <w:t>).</w:t>
      </w:r>
    </w:p>
    <w:p>
      <w:pPr>
        <w:spacing w:line="480" w:lineRule="auto"/>
        <w:ind w:firstLine="720"/>
        <w:jc w:val="both"/>
      </w:pPr>
      <w:r>
        <w:rPr>
          <w:rFonts w:ascii="Times New Roman" w:hAnsi="Times New Roman"/>
          <w:sz w:val="24"/>
        </w:rPr>
        <w:t xml:space="preserve">Cada uma das quatro famílias de algoritmos foi avaliada em duas configurações: uma </w:t>
      </w:r>
      <w:r>
        <w:rPr>
          <w:rFonts w:ascii="Times New Roman" w:hAnsi="Times New Roman"/>
          <w:b/>
          <w:sz w:val="24"/>
        </w:rPr>
        <w:t>base</w:t>
      </w:r>
      <w:r>
        <w:rPr>
          <w:rFonts w:ascii="Times New Roman" w:hAnsi="Times New Roman"/>
          <w:sz w:val="24"/>
        </w:rPr>
        <w:t xml:space="preserve">, com parâmetros por omissão, e uma </w:t>
      </w:r>
      <w:r>
        <w:rPr>
          <w:rFonts w:ascii="Times New Roman" w:hAnsi="Times New Roman"/>
          <w:b/>
          <w:sz w:val="24"/>
        </w:rPr>
        <w:t>otimizada</w:t>
      </w:r>
      <w:r>
        <w:rPr>
          <w:rFonts w:ascii="Times New Roman" w:hAnsi="Times New Roman"/>
          <w:sz w:val="24"/>
        </w:rPr>
        <w:t xml:space="preserve"> por pesquisa exaustiva em grelha (</w:t>
      </w:r>
      <w:r>
        <w:rPr>
          <w:rFonts w:ascii="Consolas" w:hAnsi="Consolas"/>
          <w:sz w:val="22"/>
        </w:rPr>
        <w:t>GridSearchCV</w:t>
      </w:r>
      <w:r>
        <w:rPr>
          <w:rFonts w:ascii="Times New Roman" w:hAnsi="Times New Roman"/>
          <w:sz w:val="24"/>
        </w:rPr>
        <w:t>) com validação cruzada estratificada de cinco folds, maximizando o F1. A avaliação final faz-se sobre uma partição de teste estratificada (30 %), independente, e os hiperparâmetros selecionados constam da Tabela B7 (Anexo B). Os atributos preditores são o grupo de droga, a quantidade (logaritmizada), a região e os descritores temporais — excluindo-se deliberadamente, como discutido na Secção 4.1, quaisquer variáveis que codifiquem a definição do alvo.</w:t>
      </w:r>
    </w:p>
    <w:p>
      <w:pPr>
        <w:pStyle w:val="Heading3"/>
      </w:pPr>
      <w:r>
        <w:t>4.4.2 Análise comparativa por família de algoritmos</w:t>
      </w:r>
    </w:p>
    <w:p>
      <w:pPr>
        <w:spacing w:line="480" w:lineRule="auto"/>
        <w:ind w:firstLine="720"/>
        <w:jc w:val="both"/>
      </w:pPr>
      <w:r>
        <w:rPr>
          <w:rFonts w:ascii="Times New Roman" w:hAnsi="Times New Roman"/>
          <w:sz w:val="24"/>
        </w:rPr>
        <w:t>A Tabela 3 sintetiza o desempenho em teste e a Tabela B4 (Anexo B) os resultados da validação cruzada das configurações otimizadas. A leitura conjunta revela um padrão pedagogicamente rico.</w:t>
      </w:r>
    </w:p>
    <w:p>
      <w:pPr>
        <w:spacing w:line="480" w:lineRule="auto"/>
        <w:ind w:firstLine="720"/>
        <w:jc w:val="both"/>
      </w:pPr>
      <w:r>
        <w:rPr>
          <w:rFonts w:ascii="Times New Roman" w:hAnsi="Times New Roman"/>
          <w:sz w:val="24"/>
        </w:rPr>
        <w:t xml:space="preserve">O </w:t>
      </w:r>
      <w:r>
        <w:rPr>
          <w:rFonts w:ascii="Times New Roman" w:hAnsi="Times New Roman"/>
          <w:b/>
          <w:sz w:val="24"/>
        </w:rPr>
        <w:t>classificador de Bayes ingénuo</w:t>
      </w:r>
      <w:r>
        <w:rPr>
          <w:rFonts w:ascii="Times New Roman" w:hAnsi="Times New Roman"/>
          <w:sz w:val="24"/>
        </w:rPr>
        <w:t xml:space="preserve"> ilustra de forma paradigmática os perigos da classe rara combinada com a violação do pressuposto de independência. Atinge uma sensibilidade de 0,98 — deteta quase todas as apreensões marítimas —, mas a sua confiança positiva colapsa para 0,04, inundando o decisor de falsos alarmes. A otimização do parâmetro de suavização eleva a sua ROC-AUC de 0,87 para 0,90, mas a PR-AUC permanece modesta (0,44), e o F1 não ultrapassa 0,08. A divergência entre uma ROC-AUC elevada e uma PR-AUC baixa é precisamente o fenómeno antecipado por Davis e Goadrich (2006): a ROC-AUC, ao integrar sobre a taxa de falsos positivos, mascara a dificuldade real de discriminação numa região de elevada sensibilidade quando a classe positiva é rara.</w:t>
      </w:r>
    </w:p>
    <w:p>
      <w:pPr>
        <w:spacing w:line="480" w:lineRule="auto"/>
        <w:ind w:firstLine="720"/>
        <w:jc w:val="both"/>
      </w:pPr>
      <w:r>
        <w:rPr>
          <w:rFonts w:ascii="Times New Roman" w:hAnsi="Times New Roman"/>
          <w:sz w:val="24"/>
        </w:rPr>
        <w:t xml:space="preserve">Os </w:t>
      </w:r>
      <w:r>
        <w:rPr>
          <w:rFonts w:ascii="Times New Roman" w:hAnsi="Times New Roman"/>
          <w:b/>
          <w:sz w:val="24"/>
        </w:rPr>
        <w:t>k-vizinhos mais próximos</w:t>
      </w:r>
      <w:r>
        <w:rPr>
          <w:rFonts w:ascii="Times New Roman" w:hAnsi="Times New Roman"/>
          <w:sz w:val="24"/>
        </w:rPr>
        <w:t xml:space="preserve"> beneficiam claramente da otimização: a seleção de cinco vizinhos com ponderação pela distância eleva a pontuação F1 de 0,531 (base) para </w:t>
      </w:r>
      <w:r>
        <w:rPr>
          <w:rFonts w:ascii="Times New Roman" w:hAnsi="Times New Roman"/>
          <w:b/>
          <w:sz w:val="24"/>
        </w:rPr>
        <w:t>0,592</w:t>
      </w:r>
      <w:r>
        <w:rPr>
          <w:rFonts w:ascii="Times New Roman" w:hAnsi="Times New Roman"/>
          <w:sz w:val="24"/>
        </w:rPr>
        <w:t xml:space="preserve"> (otimizada), o melhor valor pontual em teste, sustentado por uma sensibilidade de 0,78 e uma confiança positiva de 0,48. As </w:t>
      </w:r>
      <w:r>
        <w:rPr>
          <w:rFonts w:ascii="Times New Roman" w:hAnsi="Times New Roman"/>
          <w:b/>
          <w:sz w:val="24"/>
        </w:rPr>
        <w:t>árvores de decisão</w:t>
      </w:r>
      <w:r>
        <w:rPr>
          <w:rFonts w:ascii="Times New Roman" w:hAnsi="Times New Roman"/>
          <w:sz w:val="24"/>
        </w:rPr>
        <w:t xml:space="preserve">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 sintoma claro de sobreajuste. A árvore base, mais rasa, generaliza melhor em termos de PR-AUC (0,55). A árvore conserva, em qualquer caso, a vantagem decisiva da interpretabilidade: as suas regras são auditáveis e a análise de importância dos atributos (Figura 12) identifica inequivocamente o grupo de droga, a quantidade e a região como preditores dominantes, em coerência com o domínio.</w:t>
      </w:r>
    </w:p>
    <w:p>
      <w:pPr>
        <w:spacing w:line="480" w:lineRule="auto"/>
        <w:ind w:firstLine="720"/>
        <w:jc w:val="both"/>
      </w:pPr>
      <w:r>
        <w:rPr>
          <w:rFonts w:ascii="Times New Roman" w:hAnsi="Times New Roman"/>
          <w:sz w:val="24"/>
        </w:rPr>
        <w:t xml:space="preserve">O </w:t>
      </w:r>
      <w:r>
        <w:rPr>
          <w:rFonts w:ascii="Times New Roman" w:hAnsi="Times New Roman"/>
          <w:b/>
          <w:sz w:val="24"/>
        </w:rPr>
        <w:t>perceptrão multicamada</w:t>
      </w:r>
      <w:r>
        <w:rPr>
          <w:rFonts w:ascii="Times New Roman" w:hAnsi="Times New Roman"/>
          <w:sz w:val="24"/>
        </w:rPr>
        <w:t xml:space="preserve"> revela-se o modelo mais equilibrado e robusto. Na sua configuração otimizada (uma camada oculta de 64 neurónios), alcança simultaneamente a maior </w:t>
      </w:r>
      <w:r>
        <w:rPr>
          <w:rFonts w:ascii="Times New Roman" w:hAnsi="Times New Roman"/>
          <w:b/>
          <w:sz w:val="24"/>
        </w:rPr>
        <w:t>ROC-AUC (0,944)</w:t>
      </w:r>
      <w:r>
        <w:rPr>
          <w:rFonts w:ascii="Times New Roman" w:hAnsi="Times New Roman"/>
          <w:sz w:val="24"/>
        </w:rPr>
        <w:t xml:space="preserve"> e a maior </w:t>
      </w:r>
      <w:r>
        <w:rPr>
          <w:rFonts w:ascii="Times New Roman" w:hAnsi="Times New Roman"/>
          <w:b/>
          <w:sz w:val="24"/>
        </w:rPr>
        <w:t>PR-AUC (0,674)</w:t>
      </w:r>
      <w:r>
        <w:rPr>
          <w:rFonts w:ascii="Times New Roman" w:hAnsi="Times New Roman"/>
          <w:sz w:val="24"/>
        </w:rPr>
        <w:t xml:space="preserve"> em teste, com uma sensibilidade de 0,80 — combinação que nenhum outro modelo iguala. Esta superioridade confirma-se na validação cruzada, onde mantém a maior ROC-AUC (</w:t>
      </w:r>
      <w:r>
        <w:rPr>
          <w:rFonts w:ascii="Times New Roman" w:hAnsi="Times New Roman"/>
          <w:b/>
          <w:sz w:val="24"/>
        </w:rPr>
        <w:t>0,926 ± 0,022</w:t>
      </w:r>
      <w:r>
        <w:rPr>
          <w:rFonts w:ascii="Times New Roman" w:hAnsi="Times New Roman"/>
          <w:sz w:val="24"/>
        </w:rPr>
        <w:t>) e a maior PR-AUC (</w:t>
      </w:r>
      <w:r>
        <w:rPr>
          <w:rFonts w:ascii="Times New Roman" w:hAnsi="Times New Roman"/>
          <w:b/>
          <w:sz w:val="24"/>
        </w:rPr>
        <w:t>0,625 ± 0,069</w:t>
      </w:r>
      <w:r>
        <w:rPr>
          <w:rFonts w:ascii="Times New Roman" w:hAnsi="Times New Roman"/>
          <w:sz w:val="24"/>
        </w:rPr>
        <w:t xml:space="preserve">), atestando uma generalização estável. A sua capacidade de modelar interações não lineares entre atributos compensa a elevada dimensão intrínseca evidenciada pela PCA. O custo é a opacidade: ao contrário da árvore, o perceptrão não fornece regras explícitas, exigindo técnicas de explicabilidade </w:t>
      </w:r>
      <w:r>
        <w:rPr>
          <w:rFonts w:ascii="Times New Roman" w:hAnsi="Times New Roman"/>
          <w:i/>
          <w:sz w:val="24"/>
        </w:rPr>
        <w:t>post hoc</w:t>
      </w:r>
      <w:r>
        <w:rPr>
          <w:rFonts w:ascii="Times New Roman" w:hAnsi="Times New Roman"/>
          <w:sz w:val="24"/>
        </w:rPr>
        <w:t xml:space="preserve"> para a sua justificação.</w:t>
      </w:r>
    </w:p>
    <w:p>
      <w:pPr>
        <w:spacing w:line="480" w:lineRule="auto"/>
        <w:ind w:firstLine="0"/>
        <w:jc w:val="center"/>
      </w:pPr>
      <w:r>
        <w:rPr>
          <w:rFonts w:ascii="Times New Roman" w:hAnsi="Times New Roman"/>
          <w:b/>
          <w:sz w:val="22"/>
        </w:rPr>
        <w:t>Tabela 3 -</w:t>
      </w:r>
      <w:r>
        <w:rPr>
          <w:rFonts w:ascii="Times New Roman" w:hAnsi="Times New Roman"/>
          <w:sz w:val="22"/>
        </w:rPr>
        <w:t xml:space="preserve"> </w:t>
      </w:r>
      <w:r>
        <w:rPr>
          <w:rFonts w:ascii="Times New Roman" w:hAnsi="Times New Roman"/>
          <w:i/>
          <w:sz w:val="22"/>
        </w:rPr>
        <w:t>Desempenho dos classificadores no conjunto de teste, em configuração base e otimizada (F1 e AUC como extensão à nomenclatura da disciplina). Em negrito, os melhores valores de cada métrica.</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20"/>
              </w:rPr>
              <w:t>Modelo</w:t>
            </w:r>
          </w:p>
        </w:tc>
        <w:tc>
          <w:tcPr>
            <w:tcW w:type="dxa" w:w="1337"/>
          </w:tcPr>
          <w:p>
            <w:r>
              <w:rPr>
                <w:rFonts w:ascii="Times New Roman" w:hAnsi="Times New Roman"/>
                <w:b/>
                <w:sz w:val="20"/>
              </w:rPr>
              <w:t>Precisão/exatidão</w:t>
            </w:r>
          </w:p>
        </w:tc>
        <w:tc>
          <w:tcPr>
            <w:tcW w:type="dxa" w:w="1337"/>
          </w:tcPr>
          <w:p>
            <w:r>
              <w:rPr>
                <w:rFonts w:ascii="Times New Roman" w:hAnsi="Times New Roman"/>
                <w:b/>
                <w:sz w:val="20"/>
              </w:rPr>
              <w:t>Confiança positiva</w:t>
            </w:r>
          </w:p>
        </w:tc>
        <w:tc>
          <w:tcPr>
            <w:tcW w:type="dxa" w:w="1337"/>
          </w:tcPr>
          <w:p>
            <w:r>
              <w:rPr>
                <w:rFonts w:ascii="Times New Roman" w:hAnsi="Times New Roman"/>
                <w:b/>
                <w:sz w:val="20"/>
              </w:rPr>
              <w:t>Sensibilidade</w:t>
            </w:r>
          </w:p>
        </w:tc>
        <w:tc>
          <w:tcPr>
            <w:tcW w:type="dxa" w:w="1337"/>
          </w:tcPr>
          <w:p>
            <w:r>
              <w:rPr>
                <w:rFonts w:ascii="Times New Roman" w:hAnsi="Times New Roman"/>
                <w:b/>
                <w:sz w:val="20"/>
              </w:rPr>
              <w:t>F1</w:t>
            </w:r>
          </w:p>
        </w:tc>
        <w:tc>
          <w:tcPr>
            <w:tcW w:type="dxa" w:w="1337"/>
          </w:tcPr>
          <w:p>
            <w:r>
              <w:rPr>
                <w:rFonts w:ascii="Times New Roman" w:hAnsi="Times New Roman"/>
                <w:b/>
                <w:sz w:val="20"/>
              </w:rPr>
              <w:t>ROC-AUC</w:t>
            </w:r>
          </w:p>
        </w:tc>
        <w:tc>
          <w:tcPr>
            <w:tcW w:type="dxa" w:w="1337"/>
          </w:tcPr>
          <w:p>
            <w:r>
              <w:rPr>
                <w:rFonts w:ascii="Times New Roman" w:hAnsi="Times New Roman"/>
                <w:b/>
                <w:sz w:val="20"/>
              </w:rPr>
              <w:t>PR-AUC</w:t>
            </w:r>
          </w:p>
        </w:tc>
      </w:tr>
      <w:tr>
        <w:tc>
          <w:tcPr>
            <w:tcW w:type="dxa" w:w="1337"/>
          </w:tcPr>
          <w:p>
            <w:r>
              <w:rPr>
                <w:rFonts w:ascii="Times New Roman" w:hAnsi="Times New Roman"/>
                <w:sz w:val="20"/>
              </w:rPr>
              <w:t>Bayes (base)</w:t>
            </w:r>
          </w:p>
        </w:tc>
        <w:tc>
          <w:tcPr>
            <w:tcW w:type="dxa" w:w="1337"/>
          </w:tcPr>
          <w:p>
            <w:r>
              <w:rPr>
                <w:rFonts w:ascii="Times New Roman" w:hAnsi="Times New Roman"/>
                <w:sz w:val="20"/>
              </w:rPr>
              <w:t>0,225</w:t>
            </w:r>
          </w:p>
        </w:tc>
        <w:tc>
          <w:tcPr>
            <w:tcW w:type="dxa" w:w="1337"/>
          </w:tcPr>
          <w:p>
            <w:r>
              <w:rPr>
                <w:rFonts w:ascii="Times New Roman" w:hAnsi="Times New Roman"/>
                <w:sz w:val="20"/>
              </w:rPr>
              <w:t>0,042</w:t>
            </w:r>
          </w:p>
        </w:tc>
        <w:tc>
          <w:tcPr>
            <w:tcW w:type="dxa" w:w="1337"/>
          </w:tcPr>
          <w:p>
            <w:r>
              <w:rPr>
                <w:rFonts w:ascii="Times New Roman" w:hAnsi="Times New Roman"/>
                <w:b/>
                <w:sz w:val="20"/>
              </w:rPr>
              <w:t>0,980</w:t>
            </w:r>
          </w:p>
        </w:tc>
        <w:tc>
          <w:tcPr>
            <w:tcW w:type="dxa" w:w="1337"/>
          </w:tcPr>
          <w:p>
            <w:r>
              <w:rPr>
                <w:rFonts w:ascii="Times New Roman" w:hAnsi="Times New Roman"/>
                <w:sz w:val="20"/>
              </w:rPr>
              <w:t>0,081</w:t>
            </w:r>
          </w:p>
        </w:tc>
        <w:tc>
          <w:tcPr>
            <w:tcW w:type="dxa" w:w="1337"/>
          </w:tcPr>
          <w:p>
            <w:r>
              <w:rPr>
                <w:rFonts w:ascii="Times New Roman" w:hAnsi="Times New Roman"/>
                <w:sz w:val="20"/>
              </w:rPr>
              <w:t>0,870</w:t>
            </w:r>
          </w:p>
        </w:tc>
        <w:tc>
          <w:tcPr>
            <w:tcW w:type="dxa" w:w="1337"/>
          </w:tcPr>
          <w:p>
            <w:r>
              <w:rPr>
                <w:rFonts w:ascii="Times New Roman" w:hAnsi="Times New Roman"/>
                <w:sz w:val="20"/>
              </w:rPr>
              <w:t>0,153</w:t>
            </w:r>
          </w:p>
        </w:tc>
      </w:tr>
      <w:tr>
        <w:tc>
          <w:tcPr>
            <w:tcW w:type="dxa" w:w="1337"/>
          </w:tcPr>
          <w:p>
            <w:r>
              <w:rPr>
                <w:rFonts w:ascii="Times New Roman" w:hAnsi="Times New Roman"/>
                <w:sz w:val="20"/>
              </w:rPr>
              <w:t>Bayes (otim.)</w:t>
            </w:r>
          </w:p>
        </w:tc>
        <w:tc>
          <w:tcPr>
            <w:tcW w:type="dxa" w:w="1337"/>
          </w:tcPr>
          <w:p>
            <w:r>
              <w:rPr>
                <w:rFonts w:ascii="Times New Roman" w:hAnsi="Times New Roman"/>
                <w:sz w:val="20"/>
              </w:rPr>
              <w:t>0,225</w:t>
            </w:r>
          </w:p>
        </w:tc>
        <w:tc>
          <w:tcPr>
            <w:tcW w:type="dxa" w:w="1337"/>
          </w:tcPr>
          <w:p>
            <w:r>
              <w:rPr>
                <w:rFonts w:ascii="Times New Roman" w:hAnsi="Times New Roman"/>
                <w:sz w:val="20"/>
              </w:rPr>
              <w:t>0,042</w:t>
            </w:r>
          </w:p>
        </w:tc>
        <w:tc>
          <w:tcPr>
            <w:tcW w:type="dxa" w:w="1337"/>
          </w:tcPr>
          <w:p>
            <w:r>
              <w:rPr>
                <w:rFonts w:ascii="Times New Roman" w:hAnsi="Times New Roman"/>
                <w:b/>
                <w:sz w:val="20"/>
              </w:rPr>
              <w:t>0,980</w:t>
            </w:r>
          </w:p>
        </w:tc>
        <w:tc>
          <w:tcPr>
            <w:tcW w:type="dxa" w:w="1337"/>
          </w:tcPr>
          <w:p>
            <w:r>
              <w:rPr>
                <w:rFonts w:ascii="Times New Roman" w:hAnsi="Times New Roman"/>
                <w:sz w:val="20"/>
              </w:rPr>
              <w:t>0,081</w:t>
            </w:r>
          </w:p>
        </w:tc>
        <w:tc>
          <w:tcPr>
            <w:tcW w:type="dxa" w:w="1337"/>
          </w:tcPr>
          <w:p>
            <w:r>
              <w:rPr>
                <w:rFonts w:ascii="Times New Roman" w:hAnsi="Times New Roman"/>
                <w:sz w:val="20"/>
              </w:rPr>
              <w:t>0,900</w:t>
            </w:r>
          </w:p>
        </w:tc>
        <w:tc>
          <w:tcPr>
            <w:tcW w:type="dxa" w:w="1337"/>
          </w:tcPr>
          <w:p>
            <w:r>
              <w:rPr>
                <w:rFonts w:ascii="Times New Roman" w:hAnsi="Times New Roman"/>
                <w:sz w:val="20"/>
              </w:rPr>
              <w:t>0,438</w:t>
            </w:r>
          </w:p>
        </w:tc>
      </w:tr>
      <w:tr>
        <w:tc>
          <w:tcPr>
            <w:tcW w:type="dxa" w:w="1337"/>
          </w:tcPr>
          <w:p>
            <w:r>
              <w:rPr>
                <w:rFonts w:ascii="Times New Roman" w:hAnsi="Times New Roman"/>
                <w:sz w:val="20"/>
              </w:rPr>
              <w:t>k-vizinhos (base)</w:t>
            </w:r>
          </w:p>
        </w:tc>
        <w:tc>
          <w:tcPr>
            <w:tcW w:type="dxa" w:w="1337"/>
          </w:tcPr>
          <w:p>
            <w:r>
              <w:rPr>
                <w:rFonts w:ascii="Times New Roman" w:hAnsi="Times New Roman"/>
                <w:sz w:val="20"/>
              </w:rPr>
              <w:t>0,950</w:t>
            </w:r>
          </w:p>
        </w:tc>
        <w:tc>
          <w:tcPr>
            <w:tcW w:type="dxa" w:w="1337"/>
          </w:tcPr>
          <w:p>
            <w:r>
              <w:rPr>
                <w:rFonts w:ascii="Times New Roman" w:hAnsi="Times New Roman"/>
                <w:sz w:val="20"/>
              </w:rPr>
              <w:t>0,394</w:t>
            </w:r>
          </w:p>
        </w:tc>
        <w:tc>
          <w:tcPr>
            <w:tcW w:type="dxa" w:w="1337"/>
          </w:tcPr>
          <w:p>
            <w:r>
              <w:rPr>
                <w:rFonts w:ascii="Times New Roman" w:hAnsi="Times New Roman"/>
                <w:sz w:val="20"/>
              </w:rPr>
              <w:t>0,812</w:t>
            </w:r>
          </w:p>
        </w:tc>
        <w:tc>
          <w:tcPr>
            <w:tcW w:type="dxa" w:w="1337"/>
          </w:tcPr>
          <w:p>
            <w:r>
              <w:rPr>
                <w:rFonts w:ascii="Times New Roman" w:hAnsi="Times New Roman"/>
                <w:sz w:val="20"/>
              </w:rPr>
              <w:t>0,531</w:t>
            </w:r>
          </w:p>
        </w:tc>
        <w:tc>
          <w:tcPr>
            <w:tcW w:type="dxa" w:w="1337"/>
          </w:tcPr>
          <w:p>
            <w:r>
              <w:rPr>
                <w:rFonts w:ascii="Times New Roman" w:hAnsi="Times New Roman"/>
                <w:sz w:val="20"/>
              </w:rPr>
              <w:t>0,912</w:t>
            </w:r>
          </w:p>
        </w:tc>
        <w:tc>
          <w:tcPr>
            <w:tcW w:type="dxa" w:w="1337"/>
          </w:tcPr>
          <w:p>
            <w:r>
              <w:rPr>
                <w:rFonts w:ascii="Times New Roman" w:hAnsi="Times New Roman"/>
                <w:sz w:val="20"/>
              </w:rPr>
              <w:t>0,522</w:t>
            </w:r>
          </w:p>
        </w:tc>
      </w:tr>
      <w:tr>
        <w:tc>
          <w:tcPr>
            <w:tcW w:type="dxa" w:w="1337"/>
          </w:tcPr>
          <w:p>
            <w:r>
              <w:rPr>
                <w:rFonts w:ascii="Times New Roman" w:hAnsi="Times New Roman"/>
                <w:b/>
                <w:sz w:val="20"/>
              </w:rPr>
              <w:t>k-vizinhos (otim.)</w:t>
            </w:r>
          </w:p>
        </w:tc>
        <w:tc>
          <w:tcPr>
            <w:tcW w:type="dxa" w:w="1337"/>
          </w:tcPr>
          <w:p>
            <w:r>
              <w:rPr>
                <w:rFonts w:ascii="Times New Roman" w:hAnsi="Times New Roman"/>
                <w:sz w:val="20"/>
              </w:rPr>
              <w:t>0,963</w:t>
            </w:r>
          </w:p>
        </w:tc>
        <w:tc>
          <w:tcPr>
            <w:tcW w:type="dxa" w:w="1337"/>
          </w:tcPr>
          <w:p>
            <w:r>
              <w:rPr>
                <w:rFonts w:ascii="Times New Roman" w:hAnsi="Times New Roman"/>
                <w:sz w:val="20"/>
              </w:rPr>
              <w:t>0,476</w:t>
            </w:r>
          </w:p>
        </w:tc>
        <w:tc>
          <w:tcPr>
            <w:tcW w:type="dxa" w:w="1337"/>
          </w:tcPr>
          <w:p>
            <w:r>
              <w:rPr>
                <w:rFonts w:ascii="Times New Roman" w:hAnsi="Times New Roman"/>
                <w:sz w:val="20"/>
              </w:rPr>
              <w:t>0,782</w:t>
            </w:r>
          </w:p>
        </w:tc>
        <w:tc>
          <w:tcPr>
            <w:tcW w:type="dxa" w:w="1337"/>
          </w:tcPr>
          <w:p>
            <w:r>
              <w:rPr>
                <w:rFonts w:ascii="Times New Roman" w:hAnsi="Times New Roman"/>
                <w:b/>
                <w:sz w:val="20"/>
              </w:rPr>
              <w:t>0,592</w:t>
            </w:r>
          </w:p>
        </w:tc>
        <w:tc>
          <w:tcPr>
            <w:tcW w:type="dxa" w:w="1337"/>
          </w:tcPr>
          <w:p>
            <w:r>
              <w:rPr>
                <w:rFonts w:ascii="Times New Roman" w:hAnsi="Times New Roman"/>
                <w:sz w:val="20"/>
              </w:rPr>
              <w:t>0,913</w:t>
            </w:r>
          </w:p>
        </w:tc>
        <w:tc>
          <w:tcPr>
            <w:tcW w:type="dxa" w:w="1337"/>
          </w:tcPr>
          <w:p>
            <w:r>
              <w:rPr>
                <w:rFonts w:ascii="Times New Roman" w:hAnsi="Times New Roman"/>
                <w:sz w:val="20"/>
              </w:rPr>
              <w:t>0,515</w:t>
            </w:r>
          </w:p>
        </w:tc>
      </w:tr>
      <w:tr>
        <w:tc>
          <w:tcPr>
            <w:tcW w:type="dxa" w:w="1337"/>
          </w:tcPr>
          <w:p>
            <w:r>
              <w:rPr>
                <w:rFonts w:ascii="Times New Roman" w:hAnsi="Times New Roman"/>
                <w:sz w:val="20"/>
              </w:rPr>
              <w:t>Árvore (base)</w:t>
            </w:r>
          </w:p>
        </w:tc>
        <w:tc>
          <w:tcPr>
            <w:tcW w:type="dxa" w:w="1337"/>
          </w:tcPr>
          <w:p>
            <w:r>
              <w:rPr>
                <w:rFonts w:ascii="Times New Roman" w:hAnsi="Times New Roman"/>
                <w:sz w:val="20"/>
              </w:rPr>
              <w:t>0,942</w:t>
            </w:r>
          </w:p>
        </w:tc>
        <w:tc>
          <w:tcPr>
            <w:tcW w:type="dxa" w:w="1337"/>
          </w:tcPr>
          <w:p>
            <w:r>
              <w:rPr>
                <w:rFonts w:ascii="Times New Roman" w:hAnsi="Times New Roman"/>
                <w:sz w:val="20"/>
              </w:rPr>
              <w:t>0,341</w:t>
            </w:r>
          </w:p>
        </w:tc>
        <w:tc>
          <w:tcPr>
            <w:tcW w:type="dxa" w:w="1337"/>
          </w:tcPr>
          <w:p>
            <w:r>
              <w:rPr>
                <w:rFonts w:ascii="Times New Roman" w:hAnsi="Times New Roman"/>
                <w:sz w:val="20"/>
              </w:rPr>
              <w:t>0,733</w:t>
            </w:r>
          </w:p>
        </w:tc>
        <w:tc>
          <w:tcPr>
            <w:tcW w:type="dxa" w:w="1337"/>
          </w:tcPr>
          <w:p>
            <w:r>
              <w:rPr>
                <w:rFonts w:ascii="Times New Roman" w:hAnsi="Times New Roman"/>
                <w:sz w:val="20"/>
              </w:rPr>
              <w:t>0,465</w:t>
            </w:r>
          </w:p>
        </w:tc>
        <w:tc>
          <w:tcPr>
            <w:tcW w:type="dxa" w:w="1337"/>
          </w:tcPr>
          <w:p>
            <w:r>
              <w:rPr>
                <w:rFonts w:ascii="Times New Roman" w:hAnsi="Times New Roman"/>
                <w:sz w:val="20"/>
              </w:rPr>
              <w:t>0,888</w:t>
            </w:r>
          </w:p>
        </w:tc>
        <w:tc>
          <w:tcPr>
            <w:tcW w:type="dxa" w:w="1337"/>
          </w:tcPr>
          <w:p>
            <w:r>
              <w:rPr>
                <w:rFonts w:ascii="Times New Roman" w:hAnsi="Times New Roman"/>
                <w:sz w:val="20"/>
              </w:rPr>
              <w:t>0,549</w:t>
            </w:r>
          </w:p>
        </w:tc>
      </w:tr>
      <w:tr>
        <w:tc>
          <w:tcPr>
            <w:tcW w:type="dxa" w:w="1337"/>
          </w:tcPr>
          <w:p>
            <w:r>
              <w:rPr>
                <w:rFonts w:ascii="Times New Roman" w:hAnsi="Times New Roman"/>
                <w:sz w:val="20"/>
              </w:rPr>
              <w:t>Árvore (otim.)</w:t>
            </w:r>
          </w:p>
        </w:tc>
        <w:tc>
          <w:tcPr>
            <w:tcW w:type="dxa" w:w="1337"/>
          </w:tcPr>
          <w:p>
            <w:r>
              <w:rPr>
                <w:rFonts w:ascii="Times New Roman" w:hAnsi="Times New Roman"/>
                <w:b/>
                <w:sz w:val="20"/>
              </w:rPr>
              <w:t>0,965</w:t>
            </w:r>
          </w:p>
        </w:tc>
        <w:tc>
          <w:tcPr>
            <w:tcW w:type="dxa" w:w="1337"/>
          </w:tcPr>
          <w:p>
            <w:r>
              <w:rPr>
                <w:rFonts w:ascii="Times New Roman" w:hAnsi="Times New Roman"/>
                <w:b/>
                <w:sz w:val="20"/>
              </w:rPr>
              <w:t>0,500</w:t>
            </w:r>
          </w:p>
        </w:tc>
        <w:tc>
          <w:tcPr>
            <w:tcW w:type="dxa" w:w="1337"/>
          </w:tcPr>
          <w:p>
            <w:r>
              <w:rPr>
                <w:rFonts w:ascii="Times New Roman" w:hAnsi="Times New Roman"/>
                <w:sz w:val="20"/>
              </w:rPr>
              <w:t>0,554</w:t>
            </w:r>
          </w:p>
        </w:tc>
        <w:tc>
          <w:tcPr>
            <w:tcW w:type="dxa" w:w="1337"/>
          </w:tcPr>
          <w:p>
            <w:r>
              <w:rPr>
                <w:rFonts w:ascii="Times New Roman" w:hAnsi="Times New Roman"/>
                <w:sz w:val="20"/>
              </w:rPr>
              <w:t>0,526</w:t>
            </w:r>
          </w:p>
        </w:tc>
        <w:tc>
          <w:tcPr>
            <w:tcW w:type="dxa" w:w="1337"/>
          </w:tcPr>
          <w:p>
            <w:r>
              <w:rPr>
                <w:rFonts w:ascii="Times New Roman" w:hAnsi="Times New Roman"/>
                <w:sz w:val="20"/>
              </w:rPr>
              <w:t>0,769</w:t>
            </w:r>
          </w:p>
        </w:tc>
        <w:tc>
          <w:tcPr>
            <w:tcW w:type="dxa" w:w="1337"/>
          </w:tcPr>
          <w:p>
            <w:r>
              <w:rPr>
                <w:rFonts w:ascii="Times New Roman" w:hAnsi="Times New Roman"/>
                <w:sz w:val="20"/>
              </w:rPr>
              <w:t>0,357</w:t>
            </w:r>
          </w:p>
        </w:tc>
      </w:tr>
      <w:tr>
        <w:tc>
          <w:tcPr>
            <w:tcW w:type="dxa" w:w="1337"/>
          </w:tcPr>
          <w:p>
            <w:r>
              <w:rPr>
                <w:rFonts w:ascii="Times New Roman" w:hAnsi="Times New Roman"/>
                <w:sz w:val="20"/>
              </w:rPr>
              <w:t>MLP (base)</w:t>
            </w:r>
          </w:p>
        </w:tc>
        <w:tc>
          <w:tcPr>
            <w:tcW w:type="dxa" w:w="1337"/>
          </w:tcPr>
          <w:p>
            <w:r>
              <w:rPr>
                <w:rFonts w:ascii="Times New Roman" w:hAnsi="Times New Roman"/>
                <w:sz w:val="20"/>
              </w:rPr>
              <w:t>0,950</w:t>
            </w:r>
          </w:p>
        </w:tc>
        <w:tc>
          <w:tcPr>
            <w:tcW w:type="dxa" w:w="1337"/>
          </w:tcPr>
          <w:p>
            <w:r>
              <w:rPr>
                <w:rFonts w:ascii="Times New Roman" w:hAnsi="Times New Roman"/>
                <w:sz w:val="20"/>
              </w:rPr>
              <w:t>0,389</w:t>
            </w:r>
          </w:p>
        </w:tc>
        <w:tc>
          <w:tcPr>
            <w:tcW w:type="dxa" w:w="1337"/>
          </w:tcPr>
          <w:p>
            <w:r>
              <w:rPr>
                <w:rFonts w:ascii="Times New Roman" w:hAnsi="Times New Roman"/>
                <w:sz w:val="20"/>
              </w:rPr>
              <w:t>0,802</w:t>
            </w:r>
          </w:p>
        </w:tc>
        <w:tc>
          <w:tcPr>
            <w:tcW w:type="dxa" w:w="1337"/>
          </w:tcPr>
          <w:p>
            <w:r>
              <w:rPr>
                <w:rFonts w:ascii="Times New Roman" w:hAnsi="Times New Roman"/>
                <w:sz w:val="20"/>
              </w:rPr>
              <w:t>0,524</w:t>
            </w:r>
          </w:p>
        </w:tc>
        <w:tc>
          <w:tcPr>
            <w:tcW w:type="dxa" w:w="1337"/>
          </w:tcPr>
          <w:p>
            <w:r>
              <w:rPr>
                <w:rFonts w:ascii="Times New Roman" w:hAnsi="Times New Roman"/>
                <w:sz w:val="20"/>
              </w:rPr>
              <w:t>0,921</w:t>
            </w:r>
          </w:p>
        </w:tc>
        <w:tc>
          <w:tcPr>
            <w:tcW w:type="dxa" w:w="1337"/>
          </w:tcPr>
          <w:p>
            <w:r>
              <w:rPr>
                <w:rFonts w:ascii="Times New Roman" w:hAnsi="Times New Roman"/>
                <w:sz w:val="20"/>
              </w:rPr>
              <w:t>0,673</w:t>
            </w:r>
          </w:p>
        </w:tc>
      </w:tr>
      <w:tr>
        <w:tc>
          <w:tcPr>
            <w:tcW w:type="dxa" w:w="1337"/>
          </w:tcPr>
          <w:p>
            <w:r>
              <w:rPr>
                <w:rFonts w:ascii="Times New Roman" w:hAnsi="Times New Roman"/>
                <w:b/>
                <w:sz w:val="20"/>
              </w:rPr>
              <w:t>MLP (otim.)</w:t>
            </w:r>
          </w:p>
        </w:tc>
        <w:tc>
          <w:tcPr>
            <w:tcW w:type="dxa" w:w="1337"/>
          </w:tcPr>
          <w:p>
            <w:r>
              <w:rPr>
                <w:rFonts w:ascii="Times New Roman" w:hAnsi="Times New Roman"/>
                <w:sz w:val="20"/>
              </w:rPr>
              <w:t>0,954</w:t>
            </w:r>
          </w:p>
        </w:tc>
        <w:tc>
          <w:tcPr>
            <w:tcW w:type="dxa" w:w="1337"/>
          </w:tcPr>
          <w:p>
            <w:r>
              <w:rPr>
                <w:rFonts w:ascii="Times New Roman" w:hAnsi="Times New Roman"/>
                <w:sz w:val="20"/>
              </w:rPr>
              <w:t>0,418</w:t>
            </w:r>
          </w:p>
        </w:tc>
        <w:tc>
          <w:tcPr>
            <w:tcW w:type="dxa" w:w="1337"/>
          </w:tcPr>
          <w:p>
            <w:r>
              <w:rPr>
                <w:rFonts w:ascii="Times New Roman" w:hAnsi="Times New Roman"/>
                <w:sz w:val="20"/>
              </w:rPr>
              <w:t>0,802</w:t>
            </w:r>
          </w:p>
        </w:tc>
        <w:tc>
          <w:tcPr>
            <w:tcW w:type="dxa" w:w="1337"/>
          </w:tcPr>
          <w:p>
            <w:r>
              <w:rPr>
                <w:rFonts w:ascii="Times New Roman" w:hAnsi="Times New Roman"/>
                <w:sz w:val="20"/>
              </w:rPr>
              <w:t>0,549</w:t>
            </w:r>
          </w:p>
        </w:tc>
        <w:tc>
          <w:tcPr>
            <w:tcW w:type="dxa" w:w="1337"/>
          </w:tcPr>
          <w:p>
            <w:r>
              <w:rPr>
                <w:rFonts w:ascii="Times New Roman" w:hAnsi="Times New Roman"/>
                <w:b/>
                <w:sz w:val="20"/>
              </w:rPr>
              <w:t>0,944</w:t>
            </w:r>
          </w:p>
        </w:tc>
        <w:tc>
          <w:tcPr>
            <w:tcW w:type="dxa" w:w="1337"/>
          </w:tcPr>
          <w:p>
            <w:r>
              <w:rPr>
                <w:rFonts w:ascii="Times New Roman" w:hAnsi="Times New Roman"/>
                <w:b/>
                <w:sz w:val="20"/>
              </w:rPr>
              <w:t>0,674</w:t>
            </w:r>
          </w:p>
        </w:tc>
      </w:tr>
    </w:tbl>
    <w:p>
      <w:pPr>
        <w:spacing w:line="480" w:lineRule="auto"/>
        <w:ind w:firstLine="720"/>
        <w:jc w:val="both"/>
      </w:pPr>
      <w:r>
        <w:rPr>
          <w:rFonts w:ascii="Times New Roman" w:hAnsi="Times New Roman"/>
          <w:sz w:val="24"/>
        </w:rPr>
        <w:t>A divergência sistemática entre métricas — designadamente entre a ROC-AUC e a PR-AUC para o Bayes, ou entre o F1 pontual (favorável aos k-vizinhos) e a discriminação global (favorável ao perceptrão) — sublinha a importância de não fundamentar conclusões num único indicador nem numa única partição. É a superioridade consistente do perceptrão nas métricas apropriadas a classes raras (PR-AUC e ROC-AUC), tanto em teste como em validação cruzada, que justifica a sua escolha como modelo recomendado.</w:t>
      </w:r>
    </w:p>
    <w:p>
      <w:pPr>
        <w:spacing w:line="480" w:lineRule="auto"/>
        <w:ind w:firstLine="720"/>
        <w:jc w:val="both"/>
      </w:pPr>
      <w:r>
        <w:rPr>
          <w:rFonts w:ascii="Times New Roman" w:hAnsi="Times New Roman"/>
          <w:sz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pPr>
        <w:pStyle w:val="Heading2"/>
      </w:pPr>
      <w:r>
        <w:t>4.5 Agregação difusa do risco multi-ameaça</w:t>
      </w:r>
    </w:p>
    <w:p>
      <w:pPr>
        <w:spacing w:line="480" w:lineRule="auto"/>
        <w:ind w:firstLine="720"/>
        <w:jc w:val="both"/>
      </w:pPr>
      <w:r>
        <w:rPr>
          <w:rFonts w:ascii="Times New Roman" w:hAnsi="Times New Roman"/>
          <w:sz w:val="24"/>
        </w:rPr>
        <w:t xml:space="preserve">Identificadas as zonas de concentração e os determinantes da via marítima, importa sintetizar as quatro ameaças num único </w:t>
      </w:r>
      <w:r>
        <w:rPr>
          <w:rFonts w:ascii="Times New Roman" w:hAnsi="Times New Roman"/>
          <w:b/>
          <w:sz w:val="24"/>
        </w:rPr>
        <w:t>índice de risco</w:t>
      </w:r>
      <w:r>
        <w:rPr>
          <w:rFonts w:ascii="Times New Roman" w:hAnsi="Times New Roman"/>
          <w:sz w:val="24"/>
        </w:rPr>
        <w:t xml:space="preserve"> georreferenciado que sirva de procura ao modelo de otimização. O território marítimo foi discretizado numa grelha de </w:t>
      </w:r>
      <w:r>
        <w:rPr>
          <w:rFonts w:ascii="Times New Roman" w:hAnsi="Times New Roman"/>
          <w:b/>
          <w:sz w:val="24"/>
        </w:rPr>
        <w:t>1156 células</w:t>
      </w:r>
      <w:r>
        <w:rPr>
          <w:rFonts w:ascii="Times New Roman" w:hAnsi="Times New Roman"/>
          <w:sz w:val="24"/>
        </w:rPr>
        <w:t xml:space="preserve"> de aproximadamente 95 km² cada. Para cada célula, computou-se a intensidade de cada ameaça (num intervalo de 0 a 1) a partir das </w:t>
      </w:r>
      <w:r>
        <w:rPr>
          <w:rFonts w:ascii="Times New Roman" w:hAnsi="Times New Roman"/>
          <w:b/>
          <w:sz w:val="24"/>
        </w:rPr>
        <w:t>fontes de dados reais</w:t>
      </w:r>
      <w:r>
        <w:rPr>
          <w:rFonts w:ascii="Times New Roman" w:hAnsi="Times New Roman"/>
          <w:sz w:val="24"/>
        </w:rPr>
        <w:t xml:space="preserve"> descritas na Secção 3.4 — densidade de embarcações do EMODnet para a pesca e a poluição, e estimação de densidade por núcleos sobre desembarques documentados em PT, incidentes IOM em mar e apreensões marítimas para a imigração e o tráfico —, e combinaram-se as quatro intensidades por duas vias metodologicamente distintas.</w:t>
      </w:r>
    </w:p>
    <w:p>
      <w:pPr>
        <w:pStyle w:val="Heading3"/>
      </w:pPr>
      <w:r>
        <w:t>Justificação dos pesos por AHP (Processo de Hierarquia Analítica)</w:t>
      </w:r>
    </w:p>
    <w:p>
      <w:pPr>
        <w:spacing w:line="480" w:lineRule="auto"/>
        <w:ind w:firstLine="720"/>
        <w:jc w:val="both"/>
      </w:pPr>
      <w:r>
        <w:rPr>
          <w:rFonts w:ascii="Times New Roman" w:hAnsi="Times New Roman"/>
          <w:sz w:val="24"/>
        </w:rPr>
        <w:t xml:space="preserve">Os pesos da média ponderada não foram escolhidos arbitrariamente: aplicámos o </w:t>
      </w:r>
      <w:r>
        <w:rPr>
          <w:rFonts w:ascii="Times New Roman" w:hAnsi="Times New Roman"/>
          <w:b/>
          <w:sz w:val="24"/>
        </w:rPr>
        <w:t>AHP</w:t>
      </w:r>
      <w:r>
        <w:rPr>
          <w:rFonts w:ascii="Times New Roman" w:hAnsi="Times New Roman"/>
          <w:sz w:val="24"/>
        </w:rPr>
        <w:t xml:space="preserve"> (Saaty, 1980) aos quatro critérios — droga, pesca, poluição e imigração — com comparações par-a-par calibradas para vigilância costeira de </w:t>
      </w:r>
      <w:r>
        <w:rPr>
          <w:rFonts w:ascii="Times New Roman" w:hAnsi="Times New Roman"/>
          <w:b/>
          <w:sz w:val="24"/>
        </w:rPr>
        <w:t>Portugal Continental</w:t>
      </w:r>
      <w:r>
        <w:rPr>
          <w:rFonts w:ascii="Times New Roman" w:hAnsi="Times New Roman"/>
          <w:sz w:val="24"/>
        </w:rPr>
        <w:t xml:space="preserve"> (</w:t>
      </w:r>
      <w:r>
        <w:rPr>
          <w:rFonts w:ascii="Consolas" w:hAnsi="Consolas"/>
          <w:sz w:val="22"/>
        </w:rPr>
        <w:t>dm/ahp_pesos.py</w:t>
      </w:r>
      <w:r>
        <w:rPr>
          <w:rFonts w:ascii="Times New Roman" w:hAnsi="Times New Roman"/>
          <w:sz w:val="24"/>
        </w:rPr>
        <w:t xml:space="preserve">). A matriz resultante dá </w:t>
      </w:r>
      <w:r>
        <w:rPr>
          <w:rFonts w:ascii="Times New Roman" w:hAnsi="Times New Roman"/>
          <w:b/>
          <w:sz w:val="24"/>
        </w:rPr>
        <w:t>0,38 / 0,24 / 0,19 / 0,19</w:t>
      </w:r>
      <w:r>
        <w:rPr>
          <w:rFonts w:ascii="Times New Roman" w:hAnsi="Times New Roman"/>
          <w:sz w:val="24"/>
        </w:rPr>
        <w:t xml:space="preserve"> com </w:t>
      </w:r>
      <w:r>
        <w:rPr>
          <w:rFonts w:ascii="Times New Roman" w:hAnsi="Times New Roman"/>
          <w:b/>
          <w:sz w:val="24"/>
        </w:rPr>
        <w:t>razão de consistência 0,0002</w:t>
      </w:r>
      <w:r>
        <w:rPr>
          <w:rFonts w:ascii="Times New Roman" w:hAnsi="Times New Roman"/>
          <w:sz w:val="24"/>
        </w:rPr>
        <w:t xml:space="preserve"> (bem abaixo do limiar de 0,10). Arredondámos para </w:t>
      </w:r>
      <w:r>
        <w:rPr>
          <w:rFonts w:ascii="Times New Roman" w:hAnsi="Times New Roman"/>
          <w:b/>
          <w:sz w:val="24"/>
        </w:rPr>
        <w:t>0,35 / 0,25 / 0,20 / 0,20</w:t>
      </w:r>
      <w:r>
        <w:rPr>
          <w:rFonts w:ascii="Times New Roman" w:hAnsi="Times New Roman"/>
          <w:sz w:val="24"/>
        </w:rPr>
        <w:t xml:space="preserve"> no </w:t>
      </w:r>
      <w:r>
        <w:rPr>
          <w:rFonts w:ascii="Consolas" w:hAnsi="Consolas"/>
          <w:sz w:val="22"/>
        </w:rPr>
        <w:t>config.py</w:t>
      </w:r>
      <w:r>
        <w:rPr>
          <w:rFonts w:ascii="Times New Roman" w:hAnsi="Times New Roman"/>
          <w:sz w:val="24"/>
        </w:rPr>
        <w:t xml:space="preserve"> por legibilidade operacional; a diferença máxima é 0,02 e uma sensibilidade ±10 % mantém o n.º de células alto risco entre 276 e 297 (Figura 24; </w:t>
      </w:r>
      <w:r>
        <w:rPr>
          <w:rFonts w:ascii="Consolas" w:hAnsi="Consolas"/>
          <w:sz w:val="22"/>
        </w:rPr>
        <w:t>resultados/ahp_pesos.json</w:t>
      </w:r>
      <w:r>
        <w:rPr>
          <w:rFonts w:ascii="Times New Roman" w:hAnsi="Times New Roman"/>
          <w:sz w:val="24"/>
        </w:rPr>
        <w:t>), sem alterar a hierarquia espacial nem o par MCLP.</w:t>
      </w:r>
    </w:p>
    <w:p>
      <w:pPr>
        <w:spacing w:line="480" w:lineRule="auto"/>
        <w:ind w:firstLine="720"/>
        <w:jc w:val="both"/>
      </w:pPr>
      <w:r>
        <w:rPr>
          <w:rFonts w:ascii="Times New Roman" w:hAnsi="Times New Roman"/>
          <w:sz w:val="24"/>
        </w:rPr>
        <w:t xml:space="preserve">A primeira via é uma </w:t>
      </w:r>
      <w:r>
        <w:rPr>
          <w:rFonts w:ascii="Times New Roman" w:hAnsi="Times New Roman"/>
          <w:b/>
          <w:sz w:val="24"/>
        </w:rPr>
        <w:t>média ponderada</w:t>
      </w:r>
      <w:r>
        <w:rPr>
          <w:rFonts w:ascii="Times New Roman" w:hAnsi="Times New Roman"/>
          <w:sz w:val="24"/>
        </w:rPr>
        <w:t xml:space="preserve">, com pesos de 0,35 para o tráfico de droga, 0,25 para a pesca ilegal e 0,20 para cada uma das restantes ameaças — ponderação que reflete a maior disponibilidade e fiabilidade da evidência relativa ao tráfico. A segunda via é um </w:t>
      </w:r>
      <w:r>
        <w:rPr>
          <w:rFonts w:ascii="Times New Roman" w:hAnsi="Times New Roman"/>
          <w:b/>
          <w:sz w:val="24"/>
        </w:rPr>
        <w:t>sistema de inferência difusa</w:t>
      </w:r>
      <w:r>
        <w:rPr>
          <w:rFonts w:ascii="Times New Roman" w:hAnsi="Times New Roman"/>
          <w:sz w:val="24"/>
        </w:rPr>
        <w:t xml:space="preserve"> de tipo Mamdani, no qual as quatro intensidades são fuzzificadas em termos linguísticos (baixo, médio, alto) por funções de pertença triangulares, combinadas por uma base de dez regras SE–ENTÃO que codificam o conhecimento operacional (por exemplo, «se a intensidade de droga é alta E a de imigração é alta, então o risco é muito alto»), e desfuzzificadas pelo método do centróide (Figura 14).</w:t>
      </w:r>
    </w:p>
    <w:p>
      <w:pPr>
        <w:spacing w:line="480" w:lineRule="auto"/>
        <w:ind w:firstLine="720"/>
        <w:jc w:val="both"/>
      </w:pPr>
      <w:r>
        <w:rPr>
          <w:rFonts w:ascii="Times New Roman" w:hAnsi="Times New Roman"/>
          <w:sz w:val="24"/>
        </w:rPr>
        <w:t xml:space="preserve">A comparação entre as duas vias é instrutiva (Figura 15). Os dois índices estão fortemente correlacionados (coeficiente de Pearson de </w:t>
      </w:r>
      <w:r>
        <w:rPr>
          <w:rFonts w:ascii="Times New Roman" w:hAnsi="Times New Roman"/>
          <w:b/>
          <w:sz w:val="24"/>
        </w:rPr>
        <w:t>0,76</w:t>
      </w:r>
      <w:r>
        <w:rPr>
          <w:rFonts w:ascii="Times New Roman" w:hAnsi="Times New Roman"/>
          <w:sz w:val="24"/>
        </w:rPr>
        <w:t xml:space="preserve">), o que confere confiança à robustez do mapa de risco face à escolha do método de agregação. Contudo, o índice difuso é sistematicamente mais </w:t>
      </w:r>
      <w:r>
        <w:rPr>
          <w:rFonts w:ascii="Times New Roman" w:hAnsi="Times New Roman"/>
          <w:b/>
          <w:sz w:val="24"/>
        </w:rPr>
        <w:t>precaucionário</w:t>
      </w:r>
      <w:r>
        <w:rPr>
          <w:rFonts w:ascii="Times New Roman" w:hAnsi="Times New Roman"/>
          <w:sz w:val="24"/>
        </w:rPr>
        <w:t>: ao aplicar a lógica de que a coincidência de várias ameaças numa mesma célula eleva desproporcionadamente o risco — um efeito de conjunção que a média ponderada dilui —, o sistema difuso classifica como de alto risco uma área substancialmente maior (682 células contra as 300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
    <w:p>
      <w:r>
        <w:br w:type="page"/>
      </w:r>
    </w:p>
    <w:p>
      <w:pPr>
        <w:pStyle w:val="Heading1"/>
      </w:pPr>
      <w:r>
        <w:t>5. Otimização: localização de bases, dimensionamento da frota e sensibilidade</w:t>
      </w:r>
    </w:p>
    <w:p>
      <w:pPr>
        <w:pStyle w:val="Heading2"/>
      </w:pPr>
      <w:r>
        <w:t>5.1 Cobertura de risco e a falácia do raio fixo</w:t>
      </w:r>
    </w:p>
    <w:p>
      <w:pPr>
        <w:spacing w:line="480" w:lineRule="auto"/>
        <w:ind w:firstLine="720"/>
        <w:jc w:val="both"/>
      </w:pPr>
      <w:r>
        <w:rPr>
          <w:rFonts w:ascii="Times New Roman" w:hAnsi="Times New Roman"/>
          <w:sz w:val="24"/>
        </w:rPr>
        <w:t xml:space="preserve">A questão Q3 — alcance </w:t>
      </w:r>
      <w:r>
        <w:rPr>
          <w:rFonts w:ascii="Times New Roman" w:hAnsi="Times New Roman"/>
          <w:i/>
          <w:sz w:val="24"/>
        </w:rPr>
        <w:t>versus</w:t>
      </w:r>
      <w:r>
        <w:rPr>
          <w:rFonts w:ascii="Times New Roman" w:hAnsi="Times New Roman"/>
          <w:sz w:val="24"/>
        </w:rPr>
        <w:t xml:space="preserve"> cobertura sensorial — é respondida de forma cristalina pela análise de cobertura. Replicando o pressuposto do estudo de referência, com um raio operacional de 90 km, e resolvendo o problema de cobertura máxima sobre o conjunto de doze aeródromos candidatos, obtém-se um resultado contundente: </w:t>
      </w:r>
      <w:r>
        <w:rPr>
          <w:rFonts w:ascii="Times New Roman" w:hAnsi="Times New Roman"/>
          <w:b/>
          <w:sz w:val="24"/>
        </w:rPr>
        <w:t>mesmo selecionando todas as doze bases disponíveis, apenas 66,8 % do risco total fica coberto</w:t>
      </w:r>
      <w:r>
        <w:rPr>
          <w:rFonts w:ascii="Times New Roman" w:hAnsi="Times New Roman"/>
          <w:sz w:val="24"/>
        </w:rPr>
        <w:t xml:space="preserve"> (Tabela B2, Anexo B). Sob este paradigma, 19 das 300 células de alto risco situadas mais ao largo permanecem estruturalmente fora de alcance —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p>
    <w:p>
      <w:pPr>
        <w:spacing w:line="480" w:lineRule="auto"/>
        <w:ind w:firstLine="720"/>
        <w:jc w:val="both"/>
      </w:pPr>
      <w:r>
        <w:rPr>
          <w:rFonts w:ascii="Times New Roman" w:hAnsi="Times New Roman"/>
          <w:sz w:val="24"/>
        </w:rPr>
        <w:t xml:space="preserve">Quando se substitui esse raio pela </w:t>
      </w:r>
      <w:r>
        <w:rPr>
          <w:rFonts w:ascii="Times New Roman" w:hAnsi="Times New Roman"/>
          <w:b/>
          <w:sz w:val="24"/>
        </w:rPr>
        <w:t>autonomia real</w:t>
      </w:r>
      <w:r>
        <w:rPr>
          <w:rFonts w:ascii="Times New Roman" w:hAnsi="Times New Roman"/>
          <w:sz w:val="24"/>
        </w:rPr>
        <w:t xml:space="preserve"> da aeronave — que, descontando o trânsito e mantendo uma reserva prudente, permite um raio de alcance da ordem dos 450 a 650 km —, o quadro inverte-se por completo. Uma única base bem posicionada passa a alcançar a totalidade das 300 células de alto risco, e o problema de cobertura deixa de ser sobre </w:t>
      </w:r>
      <w:r>
        <w:rPr>
          <w:rFonts w:ascii="Times New Roman" w:hAnsi="Times New Roman"/>
          <w:i/>
          <w:sz w:val="24"/>
        </w:rPr>
        <w:t>se</w:t>
      </w:r>
      <w:r>
        <w:rPr>
          <w:rFonts w:ascii="Times New Roman" w:hAnsi="Times New Roman"/>
          <w:sz w:val="24"/>
        </w:rPr>
        <w:t xml:space="preserve"> é possível cobrir o risco, para passar a ser sobre </w:t>
      </w:r>
      <w:r>
        <w:rPr>
          <w:rFonts w:ascii="Times New Roman" w:hAnsi="Times New Roman"/>
          <w:i/>
          <w:sz w:val="24"/>
        </w:rPr>
        <w:t>como</w:t>
      </w:r>
      <w:r>
        <w:rPr>
          <w:rFonts w:ascii="Times New Roman" w:hAnsi="Times New Roman"/>
          <w:sz w:val="24"/>
        </w:rPr>
        <w:t xml:space="preserve"> o cobrir de forma persistente e eficiente. A Figura 17 contrasta visualmente os dois paradigmas.</w:t>
      </w:r>
    </w:p>
    <w:p>
      <w:pPr>
        <w:pStyle w:val="Heading2"/>
      </w:pPr>
      <w:r>
        <w:t>5.2 Dimensionamento para vigilância persistente</w:t>
      </w:r>
    </w:p>
    <w:p>
      <w:pPr>
        <w:spacing w:line="480" w:lineRule="auto"/>
        <w:ind w:firstLine="720"/>
        <w:jc w:val="both"/>
      </w:pPr>
      <w:r>
        <w:rPr>
          <w:rFonts w:ascii="Times New Roman" w:hAnsi="Times New Roman"/>
          <w:sz w:val="24"/>
        </w:rPr>
        <w:t xml:space="preserve">A cobertura de alcance é condição necessária mas não suficiente: que uma aeronave </w:t>
      </w:r>
      <w:r>
        <w:rPr>
          <w:rFonts w:ascii="Times New Roman" w:hAnsi="Times New Roman"/>
          <w:i/>
          <w:sz w:val="24"/>
        </w:rPr>
        <w:t>chegue</w:t>
      </w:r>
      <w:r>
        <w:rPr>
          <w:rFonts w:ascii="Times New Roman" w:hAnsi="Times New Roman"/>
          <w:sz w:val="24"/>
        </w:rPr>
        <w:t xml:space="preserve"> a uma célula não significa que o seu sensor a </w:t>
      </w:r>
      <w:r>
        <w:rPr>
          <w:rFonts w:ascii="Times New Roman" w:hAnsi="Times New Roman"/>
          <w:i/>
          <w:sz w:val="24"/>
        </w:rPr>
        <w:t>observe com a frequência requerida</w:t>
      </w:r>
      <w:r>
        <w:rPr>
          <w:rFonts w:ascii="Times New Roman" w:hAnsi="Times New Roman"/>
          <w:sz w:val="24"/>
        </w:rPr>
        <w:t xml:space="preserve">. Esta distinção entre alcance e </w:t>
      </w:r>
      <w:r>
        <w:rPr>
          <w:rFonts w:ascii="Times New Roman" w:hAnsi="Times New Roman"/>
          <w:b/>
          <w:sz w:val="24"/>
        </w:rPr>
        <w:t>cobertura sensorial persistente</w:t>
      </w:r>
      <w:r>
        <w:rPr>
          <w:rFonts w:ascii="Times New Roman" w:hAnsi="Times New Roman"/>
          <w:sz w:val="24"/>
        </w:rPr>
        <w:t xml:space="preserve"> é o cerne do modelo de dimensionamento. Uma aeronave em órbita observa, a cada instante, apenas uma faixa de largura útil limitada (estimada em 30 km para o sensor EO/IR em condições típicas). O número de aeronaves que têm de estar simultaneamente no ar (</w:t>
      </w:r>
      <w:r>
        <w:rPr>
          <w:rFonts w:ascii="Times New Roman" w:hAnsi="Times New Roman"/>
          <w:i/>
          <w:sz w:val="24"/>
        </w:rPr>
        <w:t>n</w:t>
      </w:r>
      <w:r>
        <w:rPr>
          <w:rFonts w:ascii="Times New Roman" w:hAnsi="Times New Roman"/>
          <w:sz w:val="24"/>
        </w:rPr>
        <w:t>ₛᵢₘ), o multiplicador de rotação que sustenta a presença durante 24 horas (</w:t>
      </w:r>
      <w:r>
        <w:rPr>
          <w:rFonts w:ascii="Times New Roman" w:hAnsi="Times New Roman"/>
          <w:i/>
          <w:sz w:val="24"/>
        </w:rPr>
        <w:t>M</w:t>
      </w:r>
      <w:r>
        <w:rPr>
          <w:rFonts w:ascii="Times New Roman" w:hAnsi="Times New Roman"/>
          <w:sz w:val="24"/>
        </w:rPr>
        <w:t>) e a frota total (</w:t>
      </w:r>
      <w:r>
        <w:rPr>
          <w:rFonts w:ascii="Times New Roman" w:hAnsi="Times New Roman"/>
          <w:i/>
          <w:sz w:val="24"/>
        </w:rPr>
        <w:t>N</w:t>
      </w:r>
      <w:r>
        <w:rPr>
          <w:rFonts w:ascii="Times New Roman" w:hAnsi="Times New Roman"/>
          <w:sz w:val="24"/>
        </w:rPr>
        <w:t>) obtêm-se por:</w:t>
      </w:r>
    </w:p>
    <w:p>
      <w:pPr>
        <w:spacing w:line="480" w:lineRule="auto"/>
        <w:ind w:firstLine="720"/>
        <w:jc w:val="both"/>
      </w:pPr>
      <w:r>
        <w:rPr>
          <w:rFonts w:ascii="Times New Roman" w:hAnsi="Times New Roman"/>
          <w:i/>
          <w:sz w:val="24"/>
        </w:rPr>
        <w:t>n</w:t>
      </w:r>
      <w:r>
        <w:rPr>
          <w:rFonts w:ascii="Times New Roman" w:hAnsi="Times New Roman"/>
          <w:sz w:val="24"/>
        </w:rPr>
        <w:t>ₛᵢₘ = ⌈ A / (V · W · T) ⌉</w:t>
      </w:r>
    </w:p>
    <w:p>
      <w:pPr>
        <w:spacing w:line="480" w:lineRule="auto"/>
        <w:ind w:firstLine="720"/>
        <w:jc w:val="both"/>
      </w:pPr>
      <w:r>
        <w:rPr>
          <w:rFonts w:ascii="Times New Roman" w:hAnsi="Times New Roman"/>
          <w:i/>
          <w:sz w:val="24"/>
        </w:rPr>
        <w:t>M</w:t>
      </w:r>
      <w:r>
        <w:rPr>
          <w:rFonts w:ascii="Times New Roman" w:hAnsi="Times New Roman"/>
          <w:sz w:val="24"/>
        </w:rPr>
        <w:t xml:space="preserve"> = (24 / </w:t>
      </w:r>
      <w:r>
        <w:rPr>
          <w:rFonts w:ascii="Times New Roman" w:hAnsi="Times New Roman"/>
          <w:i/>
          <w:sz w:val="24"/>
        </w:rPr>
        <w:t>t</w:t>
      </w:r>
      <w:r>
        <w:rPr>
          <w:rFonts w:ascii="Times New Roman" w:hAnsi="Times New Roman"/>
          <w:sz w:val="24"/>
        </w:rPr>
        <w:t xml:space="preserve">ₒₙ) / </w:t>
      </w:r>
      <w:r>
        <w:rPr>
          <w:rFonts w:ascii="Times New Roman" w:hAnsi="Times New Roman"/>
          <w:i/>
          <w:sz w:val="24"/>
        </w:rPr>
        <w:t>D</w:t>
      </w:r>
    </w:p>
    <w:p>
      <w:pPr>
        <w:spacing w:line="480" w:lineRule="auto"/>
        <w:ind w:firstLine="720"/>
        <w:jc w:val="both"/>
      </w:pPr>
      <w:r>
        <w:rPr>
          <w:rFonts w:ascii="Times New Roman" w:hAnsi="Times New Roman"/>
          <w:i/>
          <w:sz w:val="24"/>
        </w:rPr>
        <w:t>N</w:t>
      </w:r>
      <w:r>
        <w:rPr>
          <w:rFonts w:ascii="Times New Roman" w:hAnsi="Times New Roman"/>
          <w:sz w:val="24"/>
        </w:rPr>
        <w:t xml:space="preserve"> = ⌈ </w:t>
      </w:r>
      <w:r>
        <w:rPr>
          <w:rFonts w:ascii="Times New Roman" w:hAnsi="Times New Roman"/>
          <w:i/>
          <w:sz w:val="24"/>
        </w:rPr>
        <w:t>n</w:t>
      </w:r>
      <w:r>
        <w:rPr>
          <w:rFonts w:ascii="Times New Roman" w:hAnsi="Times New Roman"/>
          <w:sz w:val="24"/>
        </w:rPr>
        <w:t xml:space="preserve">ₛᵢₘ · </w:t>
      </w:r>
      <w:r>
        <w:rPr>
          <w:rFonts w:ascii="Times New Roman" w:hAnsi="Times New Roman"/>
          <w:i/>
          <w:sz w:val="24"/>
        </w:rPr>
        <w:t>M</w:t>
      </w:r>
      <w:r>
        <w:rPr>
          <w:rFonts w:ascii="Times New Roman" w:hAnsi="Times New Roman"/>
          <w:sz w:val="24"/>
        </w:rPr>
        <w:t xml:space="preserve"> · 1,1 ⌉</w:t>
      </w:r>
    </w:p>
    <w:p>
      <w:pPr>
        <w:spacing w:line="480" w:lineRule="auto"/>
        <w:ind w:firstLine="720"/>
        <w:jc w:val="both"/>
      </w:pPr>
      <w:r>
        <w:rPr>
          <w:rFonts w:ascii="Times New Roman" w:hAnsi="Times New Roman"/>
          <w:sz w:val="24"/>
        </w:rPr>
        <w:t xml:space="preserve">onde </w:t>
      </w:r>
      <w:r>
        <w:rPr>
          <w:rFonts w:ascii="Times New Roman" w:hAnsi="Times New Roman"/>
          <w:i/>
          <w:sz w:val="24"/>
        </w:rPr>
        <w:t>A</w:t>
      </w:r>
      <w:r>
        <w:rPr>
          <w:rFonts w:ascii="Times New Roman" w:hAnsi="Times New Roman"/>
          <w:sz w:val="24"/>
        </w:rPr>
        <w:t xml:space="preserve"> é a área a cobrir, </w:t>
      </w:r>
      <w:r>
        <w:rPr>
          <w:rFonts w:ascii="Times New Roman" w:hAnsi="Times New Roman"/>
          <w:i/>
          <w:sz w:val="24"/>
        </w:rPr>
        <w:t>V</w:t>
      </w:r>
      <w:r>
        <w:rPr>
          <w:rFonts w:ascii="Times New Roman" w:hAnsi="Times New Roman"/>
          <w:sz w:val="24"/>
        </w:rPr>
        <w:t xml:space="preserve"> a velocidade de patrulha do UAV, </w:t>
      </w:r>
      <w:r>
        <w:rPr>
          <w:rFonts w:ascii="Times New Roman" w:hAnsi="Times New Roman"/>
          <w:i/>
          <w:sz w:val="24"/>
        </w:rPr>
        <w:t>W</w:t>
      </w:r>
      <w:r>
        <w:rPr>
          <w:rFonts w:ascii="Times New Roman" w:hAnsi="Times New Roman"/>
          <w:sz w:val="24"/>
        </w:rPr>
        <w:t xml:space="preserve"> a largura útil do sensor, </w:t>
      </w:r>
      <w:r>
        <w:rPr>
          <w:rFonts w:ascii="Times New Roman" w:hAnsi="Times New Roman"/>
          <w:i/>
          <w:sz w:val="24"/>
        </w:rPr>
        <w:t>T</w:t>
      </w:r>
      <w:r>
        <w:rPr>
          <w:rFonts w:ascii="Times New Roman" w:hAnsi="Times New Roman"/>
          <w:sz w:val="24"/>
        </w:rPr>
        <w:t xml:space="preserve"> o período máximo de revisita, </w:t>
      </w:r>
      <w:r>
        <w:rPr>
          <w:rFonts w:ascii="Times New Roman" w:hAnsi="Times New Roman"/>
          <w:i/>
          <w:sz w:val="24"/>
        </w:rPr>
        <w:t>t</w:t>
      </w:r>
      <w:r>
        <w:rPr>
          <w:rFonts w:ascii="Times New Roman" w:hAnsi="Times New Roman"/>
          <w:sz w:val="24"/>
        </w:rPr>
        <w:t xml:space="preserve">ₒₙ o tempo de estação efetivo por sortida e </w:t>
      </w:r>
      <w:r>
        <w:rPr>
          <w:rFonts w:ascii="Times New Roman" w:hAnsi="Times New Roman"/>
          <w:i/>
          <w:sz w:val="24"/>
        </w:rPr>
        <w:t>D</w:t>
      </w:r>
      <w:r>
        <w:rPr>
          <w:rFonts w:ascii="Times New Roman" w:hAnsi="Times New Roman"/>
          <w:sz w:val="24"/>
        </w:rPr>
        <w:t xml:space="preserve"> a disponibilidade operacional da frota (fixada em 0,70 para acomodar manutenção e indisponibilidades); a margem de 10 % cobre imprevistos operacionais.</w:t>
      </w:r>
    </w:p>
    <w:p>
      <w:pPr>
        <w:spacing w:line="480" w:lineRule="auto"/>
        <w:ind w:firstLine="720"/>
        <w:jc w:val="both"/>
      </w:pPr>
      <w:r>
        <w:rPr>
          <w:rFonts w:ascii="Times New Roman" w:hAnsi="Times New Roman"/>
          <w:sz w:val="24"/>
        </w:rPr>
        <w:t xml:space="preserve">A aplicação deste modelo à área total de alto risco (28 494 km²), com a </w:t>
      </w:r>
      <w:r>
        <w:rPr>
          <w:rFonts w:ascii="Times New Roman" w:hAnsi="Times New Roman"/>
          <w:b/>
          <w:sz w:val="24"/>
        </w:rPr>
        <w:t>rede completa de doze bases</w:t>
      </w:r>
      <w:r>
        <w:rPr>
          <w:rFonts w:ascii="Times New Roman" w:hAnsi="Times New Roman"/>
          <w:sz w:val="24"/>
        </w:rPr>
        <w:t xml:space="preserve"> seleccionada pelo trade-off de frota (Secção 5.3), conduz a </w:t>
      </w:r>
      <w:r>
        <w:rPr>
          <w:rFonts w:ascii="Times New Roman" w:hAnsi="Times New Roman"/>
          <w:b/>
          <w:sz w:val="24"/>
        </w:rPr>
        <w:t>4 aeronaves simultâneas</w:t>
      </w:r>
      <w:r>
        <w:rPr>
          <w:rFonts w:ascii="Times New Roman" w:hAnsi="Times New Roman"/>
          <w:sz w:val="24"/>
        </w:rPr>
        <w:t xml:space="preserve"> e a uma </w:t>
      </w:r>
      <w:r>
        <w:rPr>
          <w:rFonts w:ascii="Times New Roman" w:hAnsi="Times New Roman"/>
          <w:b/>
          <w:sz w:val="24"/>
        </w:rPr>
        <w:t>frota total de 11 AR5</w:t>
      </w:r>
      <w:r>
        <w:rPr>
          <w:rFonts w:ascii="Times New Roman" w:hAnsi="Times New Roman"/>
          <w:sz w:val="24"/>
        </w:rPr>
        <w:t xml:space="preserve">, com distância média ao ponto de patrulha de 55,9 km e tempo de estação de 13,9 h por sortida. Restringindo o esforço à faixa costeira mais densa (25 075 km², alcançável a 90 km a partir de </w:t>
      </w:r>
      <w:r>
        <w:rPr>
          <w:rFonts w:ascii="Times New Roman" w:hAnsi="Times New Roman"/>
          <w:b/>
          <w:sz w:val="24"/>
        </w:rPr>
        <w:t>cinco bases</w:t>
      </w:r>
      <w:r>
        <w:rPr>
          <w:rFonts w:ascii="Times New Roman" w:hAnsi="Times New Roman"/>
          <w:sz w:val="24"/>
        </w:rPr>
        <w:t xml:space="preserve"> — Santa Cruz, Cascais, Sines, Portimão e Faro), bastam </w:t>
      </w:r>
      <w:r>
        <w:rPr>
          <w:rFonts w:ascii="Times New Roman" w:hAnsi="Times New Roman"/>
          <w:b/>
          <w:sz w:val="24"/>
        </w:rPr>
        <w:t>3 aeronaves simultâneas</w:t>
      </w:r>
      <w:r>
        <w:rPr>
          <w:rFonts w:ascii="Times New Roman" w:hAnsi="Times New Roman"/>
          <w:sz w:val="24"/>
        </w:rPr>
        <w:t xml:space="preserve"> e uma </w:t>
      </w:r>
      <w:r>
        <w:rPr>
          <w:rFonts w:ascii="Times New Roman" w:hAnsi="Times New Roman"/>
          <w:b/>
          <w:sz w:val="24"/>
        </w:rPr>
        <w:t>frota de 9 AR5</w:t>
      </w:r>
      <w:r>
        <w:rPr>
          <w:rFonts w:ascii="Times New Roman" w:hAnsi="Times New Roman"/>
          <w:sz w:val="24"/>
        </w:rPr>
        <w:t>.</w:t>
      </w:r>
    </w:p>
    <w:p>
      <w:pPr>
        <w:spacing w:line="480" w:lineRule="auto"/>
        <w:ind w:firstLine="720"/>
        <w:jc w:val="both"/>
      </w:pPr>
      <w:r>
        <w:rPr>
          <w:rFonts w:ascii="Times New Roman" w:hAnsi="Times New Roman"/>
          <w:sz w:val="24"/>
        </w:rPr>
        <w:t xml:space="preserve">Importa não confundir este resultado com o do MCLP a duas bases (Porto + Portimão): essa configuração cobre igualmente 100 % do risco, mas os trânsitos mais longos elevam a frota necessária para </w:t>
      </w:r>
      <w:r>
        <w:rPr>
          <w:rFonts w:ascii="Times New Roman" w:hAnsi="Times New Roman"/>
          <w:b/>
          <w:sz w:val="24"/>
        </w:rPr>
        <w:t>13 AR5</w:t>
      </w:r>
      <w:r>
        <w:rPr>
          <w:rFonts w:ascii="Times New Roman" w:hAnsi="Times New Roman"/>
          <w:sz w:val="24"/>
        </w:rPr>
        <w:t xml:space="preserve"> (Tabela B5). Por isso distinguimos, ao longo do relatório, a </w:t>
      </w:r>
      <w:r>
        <w:rPr>
          <w:rFonts w:ascii="Times New Roman" w:hAnsi="Times New Roman"/>
          <w:b/>
          <w:sz w:val="24"/>
        </w:rPr>
        <w:t>localização mínima</w:t>
      </w:r>
      <w:r>
        <w:rPr>
          <w:rFonts w:ascii="Times New Roman" w:hAnsi="Times New Roman"/>
          <w:sz w:val="24"/>
        </w:rPr>
        <w:t xml:space="preserve"> (Q3) do </w:t>
      </w:r>
      <w:r>
        <w:rPr>
          <w:rFonts w:ascii="Times New Roman" w:hAnsi="Times New Roman"/>
          <w:b/>
          <w:sz w:val="24"/>
        </w:rPr>
        <w:t>dimensionamento de frota</w:t>
      </w:r>
      <w:r>
        <w:rPr>
          <w:rFonts w:ascii="Times New Roman" w:hAnsi="Times New Roman"/>
          <w:sz w:val="24"/>
        </w:rPr>
        <w:t xml:space="preserve"> (Q2).</w:t>
      </w:r>
    </w:p>
    <w:p>
      <w:pPr>
        <w:pStyle w:val="Heading2"/>
      </w:pPr>
      <w:r>
        <w:t>5.3 O número ótimo de bases</w:t>
      </w:r>
    </w:p>
    <w:p>
      <w:pPr>
        <w:spacing w:line="480" w:lineRule="auto"/>
        <w:ind w:firstLine="720"/>
        <w:jc w:val="both"/>
      </w:pPr>
      <w:r>
        <w:rPr>
          <w:rFonts w:ascii="Times New Roman" w:hAnsi="Times New Roman"/>
          <w:sz w:val="24"/>
        </w:rPr>
        <w:t xml:space="preserve">A análise da frota total em função do número de bases (Tabela B5, Anexo B; Figura 18) mostra dois resultados que convém separar. Do ponto de vista do </w:t>
      </w:r>
      <w:r>
        <w:rPr>
          <w:rFonts w:ascii="Times New Roman" w:hAnsi="Times New Roman"/>
          <w:b/>
          <w:sz w:val="24"/>
        </w:rPr>
        <w:t>MCLP</w:t>
      </w:r>
      <w:r>
        <w:rPr>
          <w:rFonts w:ascii="Times New Roman" w:hAnsi="Times New Roman"/>
          <w:sz w:val="24"/>
        </w:rPr>
        <w:t xml:space="preserve"> — «qual o mínimo de instalações que cobre o risco?» — </w:t>
      </w:r>
      <w:r>
        <w:rPr>
          <w:rFonts w:ascii="Times New Roman" w:hAnsi="Times New Roman"/>
          <w:b/>
          <w:sz w:val="24"/>
        </w:rPr>
        <w:t>duas bases</w:t>
      </w:r>
      <w:r>
        <w:rPr>
          <w:rFonts w:ascii="Times New Roman" w:hAnsi="Times New Roman"/>
          <w:sz w:val="24"/>
        </w:rPr>
        <w:t xml:space="preserve"> (Porto e Portimão) bastam para alcançar praticamente a totalidade das 300 células de alto risco. Do ponto de vista do </w:t>
      </w:r>
      <w:r>
        <w:rPr>
          <w:rFonts w:ascii="Times New Roman" w:hAnsi="Times New Roman"/>
          <w:b/>
          <w:sz w:val="24"/>
        </w:rPr>
        <w:t>dimensionamento de frota</w:t>
      </w:r>
      <w:r>
        <w:rPr>
          <w:rFonts w:ascii="Times New Roman" w:hAnsi="Times New Roman"/>
          <w:sz w:val="24"/>
        </w:rPr>
        <w:t xml:space="preserve"> — «quantas aeronaves para 24 h?» — a curva tem um mínimo nítido com </w:t>
      </w:r>
      <w:r>
        <w:rPr>
          <w:rFonts w:ascii="Times New Roman" w:hAnsi="Times New Roman"/>
          <w:b/>
          <w:sz w:val="24"/>
        </w:rPr>
        <w:t>doze bases</w:t>
      </w:r>
      <w:r>
        <w:rPr>
          <w:rFonts w:ascii="Times New Roman" w:hAnsi="Times New Roman"/>
          <w:sz w:val="24"/>
        </w:rPr>
        <w:t xml:space="preserve">: a distância média cai para 55,9 km, o tempo de estação sobe para 13,9 h e a frota fixa-se em </w:t>
      </w:r>
      <w:r>
        <w:rPr>
          <w:rFonts w:ascii="Times New Roman" w:hAnsi="Times New Roman"/>
          <w:b/>
          <w:sz w:val="24"/>
        </w:rPr>
        <w:t>11 AR5</w:t>
      </w:r>
      <w:r>
        <w:rPr>
          <w:rFonts w:ascii="Times New Roman" w:hAnsi="Times New Roman"/>
          <w:sz w:val="24"/>
        </w:rPr>
        <w:t>.</w:t>
      </w:r>
    </w:p>
    <w:p>
      <w:pPr>
        <w:spacing w:line="480" w:lineRule="auto"/>
        <w:ind w:firstLine="720"/>
        <w:jc w:val="both"/>
      </w:pPr>
      <w:r>
        <w:rPr>
          <w:rFonts w:ascii="Times New Roman" w:hAnsi="Times New Roman"/>
          <w:sz w:val="24"/>
        </w:rPr>
        <w:t xml:space="preserve">Com uma única base (Montijo), os trânsitos consomem demasiada autonomia (distância média 120 km, frota </w:t>
      </w:r>
      <w:r>
        <w:rPr>
          <w:rFonts w:ascii="Times New Roman" w:hAnsi="Times New Roman"/>
          <w:b/>
          <w:sz w:val="24"/>
        </w:rPr>
        <w:t>12 AR5</w:t>
      </w:r>
      <w:r>
        <w:rPr>
          <w:rFonts w:ascii="Times New Roman" w:hAnsi="Times New Roman"/>
          <w:sz w:val="24"/>
        </w:rPr>
        <w:t xml:space="preserve">). Entre </w:t>
      </w:r>
      <w:r>
        <w:rPr>
          <w:rFonts w:ascii="Times New Roman" w:hAnsi="Times New Roman"/>
          <w:b/>
          <w:sz w:val="24"/>
        </w:rPr>
        <w:t>duas e onze bases</w:t>
      </w:r>
      <w:r>
        <w:rPr>
          <w:rFonts w:ascii="Times New Roman" w:hAnsi="Times New Roman"/>
          <w:sz w:val="24"/>
        </w:rPr>
        <w:t xml:space="preserve"> a frota permanece em </w:t>
      </w:r>
      <w:r>
        <w:rPr>
          <w:rFonts w:ascii="Times New Roman" w:hAnsi="Times New Roman"/>
          <w:b/>
          <w:sz w:val="24"/>
        </w:rPr>
        <w:t>13 AR5</w:t>
      </w:r>
      <w:r>
        <w:rPr>
          <w:rFonts w:ascii="Times New Roman" w:hAnsi="Times New Roman"/>
          <w:sz w:val="24"/>
        </w:rPr>
        <w:t xml:space="preserve"> — Porto e Portimão cobrem o risco, mas não encurtam o trânsito o suficiente para reduzir rotações. Só com a rede completa (k = 12) se atinge o ótimo de frota. A Tabela 6 resume as configurações que recomendamos para o emprego operacional.</w:t>
      </w:r>
    </w:p>
    <w:p>
      <w:pPr>
        <w:spacing w:line="480" w:lineRule="auto"/>
        <w:ind w:firstLine="0"/>
        <w:jc w:val="center"/>
      </w:pPr>
      <w:r>
        <w:rPr>
          <w:rFonts w:ascii="Times New Roman" w:hAnsi="Times New Roman"/>
          <w:b/>
          <w:sz w:val="22"/>
        </w:rPr>
        <w:t>Tabela 6 -</w:t>
      </w:r>
      <w:r>
        <w:rPr>
          <w:rFonts w:ascii="Times New Roman" w:hAnsi="Times New Roman"/>
          <w:sz w:val="22"/>
        </w:rPr>
        <w:t xml:space="preserve"> </w:t>
      </w:r>
      <w:r>
        <w:rPr>
          <w:rFonts w:ascii="Times New Roman" w:hAnsi="Times New Roman"/>
          <w:i/>
          <w:sz w:val="22"/>
        </w:rPr>
        <w:t>Configurações de emprego recomendadas (cenário de média ponderada).</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Configuração</w:t>
            </w:r>
          </w:p>
        </w:tc>
        <w:tc>
          <w:tcPr>
            <w:tcW w:type="dxa" w:w="1872"/>
          </w:tcPr>
          <w:p>
            <w:r>
              <w:rPr>
                <w:rFonts w:ascii="Times New Roman" w:hAnsi="Times New Roman"/>
                <w:b/>
                <w:sz w:val="20"/>
              </w:rPr>
              <w:t>Área (km²)</w:t>
            </w:r>
          </w:p>
        </w:tc>
        <w:tc>
          <w:tcPr>
            <w:tcW w:type="dxa" w:w="1872"/>
          </w:tcPr>
          <w:p>
            <w:r>
              <w:rPr>
                <w:rFonts w:ascii="Times New Roman" w:hAnsi="Times New Roman"/>
                <w:b/>
                <w:sz w:val="20"/>
              </w:rPr>
              <w:t>Bases de lançamento (dimensionamento frota)</w:t>
            </w:r>
          </w:p>
        </w:tc>
        <w:tc>
          <w:tcPr>
            <w:tcW w:type="dxa" w:w="1872"/>
          </w:tcPr>
          <w:p>
            <w:r>
              <w:rPr>
                <w:rFonts w:ascii="Times New Roman" w:hAnsi="Times New Roman"/>
                <w:b/>
                <w:sz w:val="20"/>
              </w:rPr>
              <w:t>Aeronaves simultâneas</w:t>
            </w:r>
          </w:p>
        </w:tc>
        <w:tc>
          <w:tcPr>
            <w:tcW w:type="dxa" w:w="1872"/>
          </w:tcPr>
          <w:p>
            <w:r>
              <w:rPr>
                <w:rFonts w:ascii="Times New Roman" w:hAnsi="Times New Roman"/>
                <w:b/>
                <w:sz w:val="20"/>
              </w:rPr>
              <w:t>Frota total (24 h)</w:t>
            </w:r>
          </w:p>
        </w:tc>
      </w:tr>
      <w:tr>
        <w:tc>
          <w:tcPr>
            <w:tcW w:type="dxa" w:w="1872"/>
          </w:tcPr>
          <w:p>
            <w:r>
              <w:rPr>
                <w:rFonts w:ascii="Times New Roman" w:hAnsi="Times New Roman"/>
                <w:sz w:val="20"/>
              </w:rPr>
              <w:t>Faixa costeira</w:t>
            </w:r>
          </w:p>
        </w:tc>
        <w:tc>
          <w:tcPr>
            <w:tcW w:type="dxa" w:w="1872"/>
          </w:tcPr>
          <w:p>
            <w:r>
              <w:rPr>
                <w:rFonts w:ascii="Times New Roman" w:hAnsi="Times New Roman"/>
                <w:sz w:val="20"/>
              </w:rPr>
              <w:t>25 075</w:t>
            </w:r>
          </w:p>
        </w:tc>
        <w:tc>
          <w:tcPr>
            <w:tcW w:type="dxa" w:w="1872"/>
          </w:tcPr>
          <w:p>
            <w:r>
              <w:rPr>
                <w:rFonts w:ascii="Times New Roman" w:hAnsi="Times New Roman"/>
                <w:sz w:val="20"/>
              </w:rPr>
              <w:t>Santa Cruz, Cascais, Sines, Portimão, Faro</w:t>
            </w:r>
          </w:p>
        </w:tc>
        <w:tc>
          <w:tcPr>
            <w:tcW w:type="dxa" w:w="1872"/>
          </w:tcPr>
          <w:p>
            <w:r>
              <w:rPr>
                <w:rFonts w:ascii="Times New Roman" w:hAnsi="Times New Roman"/>
                <w:sz w:val="20"/>
              </w:rPr>
              <w:t>3</w:t>
            </w:r>
          </w:p>
        </w:tc>
        <w:tc>
          <w:tcPr>
            <w:tcW w:type="dxa" w:w="1872"/>
          </w:tcPr>
          <w:p>
            <w:r>
              <w:rPr>
                <w:rFonts w:ascii="Times New Roman" w:hAnsi="Times New Roman"/>
                <w:sz w:val="20"/>
              </w:rPr>
              <w:t>≈ 9 AR5</w:t>
            </w:r>
          </w:p>
        </w:tc>
      </w:tr>
      <w:tr>
        <w:tc>
          <w:tcPr>
            <w:tcW w:type="dxa" w:w="1872"/>
          </w:tcPr>
          <w:p>
            <w:r>
              <w:rPr>
                <w:rFonts w:ascii="Times New Roman" w:hAnsi="Times New Roman"/>
                <w:sz w:val="20"/>
              </w:rPr>
              <w:t>Área total de alto risco</w:t>
            </w:r>
          </w:p>
        </w:tc>
        <w:tc>
          <w:tcPr>
            <w:tcW w:type="dxa" w:w="1872"/>
          </w:tcPr>
          <w:p>
            <w:r>
              <w:rPr>
                <w:rFonts w:ascii="Times New Roman" w:hAnsi="Times New Roman"/>
                <w:sz w:val="20"/>
              </w:rPr>
              <w:t>28 494</w:t>
            </w:r>
          </w:p>
        </w:tc>
        <w:tc>
          <w:tcPr>
            <w:tcW w:type="dxa" w:w="1872"/>
          </w:tcPr>
          <w:p>
            <w:r>
              <w:rPr>
                <w:rFonts w:ascii="Times New Roman" w:hAnsi="Times New Roman"/>
                <w:sz w:val="20"/>
              </w:rPr>
              <w:t>Rede completa (12 aeródromos costeiros)</w:t>
            </w:r>
          </w:p>
        </w:tc>
        <w:tc>
          <w:tcPr>
            <w:tcW w:type="dxa" w:w="1872"/>
          </w:tcPr>
          <w:p>
            <w:r>
              <w:rPr>
                <w:rFonts w:ascii="Times New Roman" w:hAnsi="Times New Roman"/>
                <w:sz w:val="20"/>
              </w:rPr>
              <w:t>4</w:t>
            </w:r>
          </w:p>
        </w:tc>
        <w:tc>
          <w:tcPr>
            <w:tcW w:type="dxa" w:w="1872"/>
          </w:tcPr>
          <w:p>
            <w:r>
              <w:rPr>
                <w:rFonts w:ascii="Times New Roman" w:hAnsi="Times New Roman"/>
                <w:sz w:val="20"/>
              </w:rPr>
              <w:t>≈ 11 AR5</w:t>
            </w:r>
          </w:p>
        </w:tc>
      </w:tr>
      <w:tr>
        <w:tc>
          <w:tcPr>
            <w:tcW w:type="dxa" w:w="1872"/>
          </w:tcPr>
          <w:p>
            <w:r>
              <w:rPr>
                <w:rFonts w:ascii="Times New Roman" w:hAnsi="Times New Roman"/>
                <w:sz w:val="20"/>
              </w:rPr>
              <w:t>MCLP mínimo (referência Q3)</w:t>
            </w:r>
          </w:p>
        </w:tc>
        <w:tc>
          <w:tcPr>
            <w:tcW w:type="dxa" w:w="1872"/>
          </w:tcPr>
          <w:p>
            <w:r>
              <w:rPr>
                <w:rFonts w:ascii="Times New Roman" w:hAnsi="Times New Roman"/>
                <w:sz w:val="20"/>
              </w:rPr>
              <w:t>28 494</w:t>
            </w:r>
          </w:p>
        </w:tc>
        <w:tc>
          <w:tcPr>
            <w:tcW w:type="dxa" w:w="1872"/>
          </w:tcPr>
          <w:p>
            <w:r>
              <w:rPr>
                <w:rFonts w:ascii="Times New Roman" w:hAnsi="Times New Roman"/>
                <w:sz w:val="20"/>
              </w:rPr>
              <w:t>Porto (Sá Carneiro) + Portimão</w:t>
            </w:r>
          </w:p>
        </w:tc>
        <w:tc>
          <w:tcPr>
            <w:tcW w:type="dxa" w:w="1872"/>
          </w:tcPr>
          <w:p>
            <w:r>
              <w:rPr>
                <w:rFonts w:ascii="Times New Roman" w:hAnsi="Times New Roman"/>
                <w:sz w:val="20"/>
              </w:rPr>
              <w:t>4</w:t>
            </w:r>
          </w:p>
        </w:tc>
        <w:tc>
          <w:tcPr>
            <w:tcW w:type="dxa" w:w="1872"/>
          </w:tcPr>
          <w:p>
            <w:r>
              <w:rPr>
                <w:rFonts w:ascii="Times New Roman" w:hAnsi="Times New Roman"/>
                <w:sz w:val="20"/>
              </w:rPr>
              <w:t>≈ 13 AR5</w:t>
            </w:r>
          </w:p>
        </w:tc>
      </w:tr>
    </w:tbl>
    <w:p>
      <w:pPr>
        <w:spacing w:line="480" w:lineRule="auto"/>
        <w:ind w:firstLine="720"/>
        <w:jc w:val="both"/>
      </w:pPr>
      <w:r>
        <w:rPr>
          <w:rFonts w:ascii="Times New Roman" w:hAnsi="Times New Roman"/>
          <w:sz w:val="24"/>
        </w:rPr>
        <w:t>A última linha não é a configuração de emprego recomendada, mas explicita o que acontece se se optar pelo par MCLP sem reforço de bases intermédias: cobre-se o risco, mas a frota sobe.</w:t>
      </w:r>
    </w:p>
    <w:p>
      <w:pPr>
        <w:pStyle w:val="Heading2"/>
      </w:pPr>
      <w:r>
        <w:t>5.4 Análise de sensibilidade</w:t>
      </w:r>
    </w:p>
    <w:p>
      <w:pPr>
        <w:spacing w:line="480" w:lineRule="auto"/>
        <w:ind w:firstLine="720"/>
        <w:jc w:val="both"/>
      </w:pPr>
      <w:r>
        <w:rPr>
          <w:rFonts w:ascii="Times New Roman" w:hAnsi="Times New Roman"/>
          <w:sz w:val="24"/>
        </w:rPr>
        <w:t xml:space="preserve">Dado que alguns parâmetros do modelo de dimensionamento são estimativas (designadamente a largura útil do sensor, o período de revisita e a disponibilidade), aferiu-se a robustez da recomendação variando-os isoladamente em torno do cenário de referência de 11 aeronaves (Figura 19; Tabela B6, Anexo B). A frota mostra-se mais sensível à </w:t>
      </w:r>
      <w:r>
        <w:rPr>
          <w:rFonts w:ascii="Times New Roman" w:hAnsi="Times New Roman"/>
          <w:b/>
          <w:sz w:val="24"/>
        </w:rPr>
        <w:t>largura útil do sensor</w:t>
      </w:r>
      <w:r>
        <w:rPr>
          <w:rFonts w:ascii="Times New Roman" w:hAnsi="Times New Roman"/>
          <w:sz w:val="24"/>
        </w:rPr>
        <w:t xml:space="preserve"> e ao </w:t>
      </w:r>
      <w:r>
        <w:rPr>
          <w:rFonts w:ascii="Times New Roman" w:hAnsi="Times New Roman"/>
          <w:b/>
          <w:sz w:val="24"/>
        </w:rPr>
        <w:t>período de revisita</w:t>
      </w:r>
      <w:r>
        <w:rPr>
          <w:rFonts w:ascii="Times New Roman" w:hAnsi="Times New Roman"/>
          <w:sz w:val="24"/>
        </w:rPr>
        <w:t xml:space="preserve">: alargar o sensor de 30 para 50 km, ou relaxar a revisita de 3 para 6 horas, reduz a frota de 11 para 6 aeronaves; inversamente, exigências mais estritas (sensor de 20 km ou revisita de 2 horas) elevam-na para 14. A </w:t>
      </w:r>
      <w:r>
        <w:rPr>
          <w:rFonts w:ascii="Times New Roman" w:hAnsi="Times New Roman"/>
          <w:b/>
          <w:sz w:val="24"/>
        </w:rPr>
        <w:t>disponibilidade operacional</w:t>
      </w:r>
      <w:r>
        <w:rPr>
          <w:rFonts w:ascii="Times New Roman" w:hAnsi="Times New Roman"/>
          <w:sz w:val="24"/>
        </w:rPr>
        <w:t xml:space="preserve"> tem um efeito mais moderado, fazendo variar a frota entre </w:t>
      </w:r>
      <w:r>
        <w:rPr>
          <w:rFonts w:ascii="Times New Roman" w:hAnsi="Times New Roman"/>
          <w:b/>
          <w:sz w:val="24"/>
        </w:rPr>
        <w:t>13</w:t>
      </w:r>
      <w:r>
        <w:rPr>
          <w:rFonts w:ascii="Times New Roman" w:hAnsi="Times New Roman"/>
          <w:sz w:val="24"/>
        </w:rPr>
        <w:t xml:space="preserve"> (disponibilidade de 0,60) e </w:t>
      </w:r>
      <w:r>
        <w:rPr>
          <w:rFonts w:ascii="Times New Roman" w:hAnsi="Times New Roman"/>
          <w:b/>
          <w:sz w:val="24"/>
        </w:rPr>
        <w:t>9</w:t>
      </w:r>
      <w:r>
        <w:rPr>
          <w:rFonts w:ascii="Times New Roman" w:hAnsi="Times New Roman"/>
          <w:sz w:val="24"/>
        </w:rPr>
        <w:t xml:space="preserve"> (disponibilidade de 0,90). Estes resultados têm uma leitura de apoio à decisão direta: o investimento que mais reduz o efetivo necessário não é a aquisição de mais aeronaves, mas a melhoria da capacidade sensorial de cada uma (sensores de maior alcance útil) e dos processos de manutenção que sustentam a disponibilidade. A recomendação de 11 aeronaves (área total de alto risco) é, em qualquer caso, estável dentro de uma banda plausível de parâmetros, o que lhe confere credibilidade para efeitos de planeamento.</w:t>
      </w:r>
    </w:p>
    <w:p>
      <w:r>
        <w:br w:type="page"/>
      </w:r>
    </w:p>
    <w:p>
      <w:pPr>
        <w:pStyle w:val="Heading1"/>
      </w:pPr>
      <w:r>
        <w:t>6. Painel geoespacial interativo e plataforma operacional</w:t>
      </w:r>
    </w:p>
    <w:p>
      <w:pPr>
        <w:spacing w:line="480" w:lineRule="auto"/>
        <w:ind w:firstLine="720"/>
        <w:jc w:val="both"/>
      </w:pPr>
      <w:r>
        <w:rPr>
          <w:rFonts w:ascii="Times New Roman" w:hAnsi="Times New Roman"/>
          <w:sz w:val="24"/>
        </w:rPr>
        <w:t xml:space="preserve">Um Sistema de Apoio à Decisão só cumpre verdadeiramente a sua função quando o conhecimento que produz chega ao decisor numa forma diretamente interpretável e acionável. Por isso, para além das figuras estáticas que documentam a análise, o sistema materializa-se num </w:t>
      </w:r>
      <w:r>
        <w:rPr>
          <w:rFonts w:ascii="Times New Roman" w:hAnsi="Times New Roman"/>
          <w:b/>
          <w:sz w:val="24"/>
        </w:rPr>
        <w:t>painel geoespacial interativo</w:t>
      </w:r>
      <w:r>
        <w:rPr>
          <w:rFonts w:ascii="Times New Roman" w:hAnsi="Times New Roman"/>
          <w:sz w:val="24"/>
        </w:rPr>
        <w:t xml:space="preserve"> (ficheiro </w:t>
      </w:r>
      <w:r>
        <w:rPr>
          <w:rFonts w:ascii="Consolas" w:hAnsi="Consolas"/>
          <w:sz w:val="22"/>
        </w:rPr>
        <w:t>resultados/mapa_interativo.html</w:t>
      </w:r>
      <w:r>
        <w:rPr>
          <w:rFonts w:ascii="Times New Roman" w:hAnsi="Times New Roman"/>
          <w:sz w:val="24"/>
        </w:rPr>
        <w:t xml:space="preserve">), construído sobre a biblioteca </w:t>
      </w:r>
      <w:r>
        <w:rPr>
          <w:rFonts w:ascii="Times New Roman" w:hAnsi="Times New Roman"/>
          <w:i/>
          <w:sz w:val="24"/>
        </w:rPr>
        <w:t>Folium</w:t>
      </w:r>
      <w:r>
        <w:rPr>
          <w:rFonts w:ascii="Times New Roman" w:hAnsi="Times New Roman"/>
          <w:sz w:val="24"/>
        </w:rPr>
        <w:t xml:space="preserve"> — uma interface Python para a </w:t>
      </w:r>
      <w:r>
        <w:rPr>
          <w:rFonts w:ascii="Times New Roman" w:hAnsi="Times New Roman"/>
          <w:i/>
          <w:sz w:val="24"/>
        </w:rPr>
        <w:t>framework</w:t>
      </w:r>
      <w:r>
        <w:rPr>
          <w:rFonts w:ascii="Times New Roman" w:hAnsi="Times New Roman"/>
          <w:sz w:val="24"/>
        </w:rPr>
        <w:t xml:space="preserve"> cartográfica </w:t>
      </w:r>
      <w:r>
        <w:rPr>
          <w:rFonts w:ascii="Times New Roman" w:hAnsi="Times New Roman"/>
          <w:i/>
          <w:sz w:val="24"/>
        </w:rPr>
        <w:t>Leaflet.js</w:t>
      </w:r>
      <w:r>
        <w:rPr>
          <w:rFonts w:ascii="Times New Roman" w:hAnsi="Times New Roman"/>
          <w:sz w:val="24"/>
        </w:rPr>
        <w:t xml:space="preserve"> — que projeta todos os produtos analíticos sobre uma carta náutica real e navegável (Figura 20). Esta opção responde a uma das principais boas práticas de visualização em SAD: a informação deve ser apresentada num suporte que o operador reconheça e manipule, com possibilidade de ampliação, medição de distâncias e ativação seletiva de camadas, em vez de imagens fixas descontextualizadas.</w:t>
      </w:r>
    </w:p>
    <w:p>
      <w:pPr>
        <w:spacing w:line="480" w:lineRule="auto"/>
        <w:ind w:firstLine="720"/>
        <w:jc w:val="both"/>
      </w:pPr>
      <w:r>
        <w:rPr>
          <w:rFonts w:ascii="Times New Roman" w:hAnsi="Times New Roman"/>
          <w:sz w:val="24"/>
        </w:rPr>
        <w:t xml:space="preserve">O painel organiza-se em </w:t>
      </w:r>
      <w:r>
        <w:rPr>
          <w:rFonts w:ascii="Times New Roman" w:hAnsi="Times New Roman"/>
          <w:b/>
          <w:sz w:val="24"/>
        </w:rPr>
        <w:t>camadas sobreponíveis e comutáveis</w:t>
      </w:r>
      <w:r>
        <w:rPr>
          <w:rFonts w:ascii="Times New Roman" w:hAnsi="Times New Roman"/>
          <w:sz w:val="24"/>
        </w:rPr>
        <w:t xml:space="preserve"> pelo utilizador, integrando dados de risco, </w:t>
      </w:r>
      <w:r>
        <w:rPr>
          <w:rFonts w:ascii="Times New Roman" w:hAnsi="Times New Roman"/>
          <w:b/>
          <w:sz w:val="24"/>
        </w:rPr>
        <w:t>tráfego AIS</w:t>
      </w:r>
      <w:r>
        <w:rPr>
          <w:rFonts w:ascii="Times New Roman" w:hAnsi="Times New Roman"/>
          <w:sz w:val="24"/>
        </w:rPr>
        <w:t xml:space="preserve"> e </w:t>
      </w:r>
      <w:r>
        <w:rPr>
          <w:rFonts w:ascii="Times New Roman" w:hAnsi="Times New Roman"/>
          <w:b/>
          <w:sz w:val="24"/>
        </w:rPr>
        <w:t>incidentes reais</w:t>
      </w:r>
      <w:r>
        <w:rPr>
          <w:rFonts w:ascii="Times New Roman" w:hAnsi="Times New Roman"/>
          <w:sz w:val="24"/>
        </w:rPr>
        <w:t>:</w:t>
      </w:r>
    </w:p>
    <w:p>
      <w:pPr>
        <w:spacing w:line="480" w:lineRule="auto"/>
        <w:ind w:firstLine="720"/>
        <w:jc w:val="both"/>
      </w:pPr>
      <w:r>
        <w:rPr>
          <w:rFonts w:ascii="Times New Roman" w:hAnsi="Times New Roman"/>
          <w:sz w:val="24"/>
        </w:rPr>
        <w:t xml:space="preserve">1. </w:t>
      </w:r>
      <w:r>
        <w:rPr>
          <w:rFonts w:ascii="Times New Roman" w:hAnsi="Times New Roman"/>
          <w:b/>
          <w:sz w:val="24"/>
        </w:rPr>
        <w:t>Risco agregado</w:t>
      </w:r>
      <w:r>
        <w:rPr>
          <w:rFonts w:ascii="Times New Roman" w:hAnsi="Times New Roman"/>
          <w:sz w:val="24"/>
        </w:rPr>
        <w:t xml:space="preserve"> — mapa de calor do índice multi-ameaça e detalhe por célula (popup com decomposição droga/pesca/poluição/imigração). 2. </w:t>
      </w:r>
      <w:r>
        <w:rPr>
          <w:rFonts w:ascii="Times New Roman" w:hAnsi="Times New Roman"/>
          <w:b/>
          <w:sz w:val="24"/>
        </w:rPr>
        <w:t>Tráfego AIS (EMODnet)</w:t>
      </w:r>
      <w:r>
        <w:rPr>
          <w:rFonts w:ascii="Times New Roman" w:hAnsi="Times New Roman"/>
          <w:sz w:val="24"/>
        </w:rPr>
        <w:t xml:space="preserve"> — densidade de embarcações e corredores de rotas marítimas derivados do AIS agregado (camadas </w:t>
      </w:r>
      <w:r>
        <w:rPr>
          <w:rFonts w:ascii="Consolas" w:hAnsi="Consolas"/>
          <w:sz w:val="22"/>
        </w:rPr>
        <w:t>vesseldensity_all</w:t>
      </w:r>
      <w:r>
        <w:rPr>
          <w:rFonts w:ascii="Times New Roman" w:hAnsi="Times New Roman"/>
          <w:sz w:val="24"/>
        </w:rPr>
        <w:t xml:space="preserve"> e </w:t>
      </w:r>
      <w:r>
        <w:rPr>
          <w:rFonts w:ascii="Consolas" w:hAnsi="Consolas"/>
          <w:sz w:val="22"/>
        </w:rPr>
        <w:t>routedensity_all</w:t>
      </w:r>
      <w:r>
        <w:rPr>
          <w:rFonts w:ascii="Times New Roman" w:hAnsi="Times New Roman"/>
          <w:sz w:val="24"/>
        </w:rPr>
        <w:t xml:space="preserve">), alinhadas com a capacidade sensorial do AR5 (recetor AIS integrado). 3. </w:t>
      </w:r>
      <w:r>
        <w:rPr>
          <w:rFonts w:ascii="Times New Roman" w:hAnsi="Times New Roman"/>
          <w:b/>
          <w:sz w:val="24"/>
        </w:rPr>
        <w:t>Incidentes reais</w:t>
      </w:r>
      <w:r>
        <w:rPr>
          <w:rFonts w:ascii="Times New Roman" w:hAnsi="Times New Roman"/>
          <w:sz w:val="24"/>
        </w:rPr>
        <w:t xml:space="preserve"> — </w:t>
      </w:r>
      <w:r>
        <w:rPr>
          <w:rFonts w:ascii="Times New Roman" w:hAnsi="Times New Roman"/>
          <w:b/>
          <w:sz w:val="24"/>
        </w:rPr>
        <w:t>20 desembarques marítimos</w:t>
      </w:r>
      <w:r>
        <w:rPr>
          <w:rFonts w:ascii="Times New Roman" w:hAnsi="Times New Roman"/>
          <w:sz w:val="24"/>
        </w:rPr>
        <w:t xml:space="preserve"> documentados em Portugal Continental (Algarve/Setúbal, 2019–2024) e 187 apreensões marítimas recentes (2020+), geocodificadas, sobrepostos ao mapa de risco (sem incidentes IOM em mar PT após filtro rigoroso). 4. </w:t>
      </w:r>
      <w:r>
        <w:rPr>
          <w:rFonts w:ascii="Times New Roman" w:hAnsi="Times New Roman"/>
          <w:b/>
          <w:sz w:val="24"/>
        </w:rPr>
        <w:t>Infraestrutura operacional</w:t>
      </w:r>
      <w:r>
        <w:rPr>
          <w:rFonts w:ascii="Times New Roman" w:hAnsi="Times New Roman"/>
          <w:sz w:val="24"/>
        </w:rPr>
        <w:t xml:space="preserve"> — doze aeródromos candidatos, </w:t>
      </w:r>
      <w:r>
        <w:rPr>
          <w:rFonts w:ascii="Times New Roman" w:hAnsi="Times New Roman"/>
          <w:b/>
          <w:sz w:val="24"/>
        </w:rPr>
        <w:t>duas bases recomendadas</w:t>
      </w:r>
      <w:r>
        <w:rPr>
          <w:rFonts w:ascii="Times New Roman" w:hAnsi="Times New Roman"/>
          <w:sz w:val="24"/>
        </w:rPr>
        <w:t xml:space="preserve"> (Porto e Portimão) com raios tático (90 km) e operacional AR5, e </w:t>
      </w:r>
      <w:r>
        <w:rPr>
          <w:rFonts w:ascii="Times New Roman" w:hAnsi="Times New Roman"/>
          <w:b/>
          <w:sz w:val="24"/>
        </w:rPr>
        <w:t>seis setores de patrulha</w:t>
      </w:r>
      <w:r>
        <w:rPr>
          <w:rFonts w:ascii="Times New Roman" w:hAnsi="Times New Roman"/>
          <w:sz w:val="24"/>
        </w:rPr>
        <w:t xml:space="preserve"> (</w:t>
      </w:r>
      <w:r>
        <w:rPr>
          <w:rFonts w:ascii="Times New Roman" w:hAnsi="Times New Roman"/>
          <w:i/>
          <w:sz w:val="24"/>
        </w:rPr>
        <w:t>k</w:t>
      </w:r>
      <w:r>
        <w:rPr>
          <w:rFonts w:ascii="Times New Roman" w:hAnsi="Times New Roman"/>
          <w:sz w:val="24"/>
        </w:rPr>
        <w:t>-médias).</w:t>
      </w:r>
    </w:p>
    <w:p>
      <w:pPr>
        <w:spacing w:line="480" w:lineRule="auto"/>
        <w:ind w:firstLine="720"/>
        <w:jc w:val="both"/>
      </w:pPr>
      <w:r>
        <w:rPr>
          <w:rFonts w:ascii="Times New Roman" w:hAnsi="Times New Roman"/>
          <w:sz w:val="24"/>
        </w:rPr>
        <w:t xml:space="preserve">Um </w:t>
      </w:r>
      <w:r>
        <w:rPr>
          <w:rFonts w:ascii="Times New Roman" w:hAnsi="Times New Roman"/>
          <w:b/>
          <w:sz w:val="24"/>
        </w:rPr>
        <w:t>painel lateral</w:t>
      </w:r>
      <w:r>
        <w:rPr>
          <w:rFonts w:ascii="Times New Roman" w:hAnsi="Times New Roman"/>
          <w:sz w:val="24"/>
        </w:rPr>
        <w:t xml:space="preserve"> resume as respostas ao objetivo (onde, quantos, quais bases) e as métricas de validação (backtesting temporal e ganho face a patrulha aleatória). O painel inclui carta náutica (OpenSeaMap), controlo de camadas, medição em km/milhas náuticas, mini-mapa e ecrã inteiro (Figura 20).</w:t>
      </w:r>
    </w:p>
    <w:p>
      <w:pPr>
        <w:spacing w:line="480" w:lineRule="auto"/>
        <w:ind w:firstLine="720"/>
        <w:jc w:val="both"/>
      </w:pPr>
      <w:r>
        <w:rPr>
          <w:rFonts w:ascii="Times New Roman" w:hAnsi="Times New Roman"/>
          <w:sz w:val="24"/>
        </w:rPr>
        <w:t xml:space="preserve">O valor deste artefacto é duplo. Do ponto de vista operacional, transforma um relatório analítico num </w:t>
      </w:r>
      <w:r>
        <w:rPr>
          <w:rFonts w:ascii="Times New Roman" w:hAnsi="Times New Roman"/>
          <w:b/>
          <w:sz w:val="24"/>
        </w:rPr>
        <w:t>instrumento de planeamento de missão</w:t>
      </w:r>
      <w:r>
        <w:rPr>
          <w:rFonts w:ascii="Times New Roman" w:hAnsi="Times New Roman"/>
          <w:sz w:val="24"/>
        </w:rPr>
        <w:t xml:space="preserve"> que um Centro de Coordenação pode usar para situar visualmente o risco, as bases e os setores, e medir distâncias de projeção em tempo real. Do ponto de vista metodológico, fecha a cadeia </w:t>
      </w:r>
      <w:r>
        <w:rPr>
          <w:rFonts w:ascii="Times New Roman" w:hAnsi="Times New Roman"/>
          <w:i/>
          <w:sz w:val="24"/>
        </w:rPr>
        <w:t>dados → informação → conhecimento → ação</w:t>
      </w:r>
      <w:r>
        <w:rPr>
          <w:rFonts w:ascii="Times New Roman" w:hAnsi="Times New Roman"/>
          <w:sz w:val="24"/>
        </w:rPr>
        <w:t xml:space="preserve">, ao colocar o conhecimento extraído pelas técnicas de </w:t>
      </w:r>
      <w:r>
        <w:rPr>
          <w:rFonts w:ascii="Times New Roman" w:hAnsi="Times New Roman"/>
          <w:i/>
          <w:sz w:val="24"/>
        </w:rPr>
        <w:t>data mining</w:t>
      </w:r>
      <w:r>
        <w:rPr>
          <w:rFonts w:ascii="Times New Roman" w:hAnsi="Times New Roman"/>
          <w:sz w:val="24"/>
        </w:rPr>
        <w:t xml:space="preserve"> e otimização sobre o mesmo referencial geográfico em que a decisão é efetivamente tomada.</w:t>
      </w:r>
    </w:p>
    <w:p>
      <w:pPr>
        <w:pStyle w:val="Heading2"/>
      </w:pPr>
      <w:r>
        <w:t>6.1 Plataforma operacional quase em tempo real</w:t>
      </w:r>
    </w:p>
    <w:p>
      <w:pPr>
        <w:spacing w:line="480" w:lineRule="auto"/>
        <w:ind w:firstLine="720"/>
        <w:jc w:val="both"/>
      </w:pPr>
      <w:r>
        <w:rPr>
          <w:rFonts w:ascii="Times New Roman" w:hAnsi="Times New Roman"/>
          <w:sz w:val="24"/>
        </w:rPr>
        <w:t xml:space="preserve">Para fechar o ciclo </w:t>
      </w:r>
      <w:r>
        <w:rPr>
          <w:rFonts w:ascii="Times New Roman" w:hAnsi="Times New Roman"/>
          <w:b/>
          <w:sz w:val="24"/>
        </w:rPr>
        <w:t>dados → informação → conhecimento → ação</w:t>
      </w:r>
      <w:r>
        <w:rPr>
          <w:rFonts w:ascii="Times New Roman" w:hAnsi="Times New Roman"/>
          <w:sz w:val="24"/>
        </w:rPr>
        <w:t xml:space="preserve">, desenvolveu-se uma </w:t>
      </w:r>
      <w:r>
        <w:rPr>
          <w:rFonts w:ascii="Times New Roman" w:hAnsi="Times New Roman"/>
          <w:b/>
          <w:sz w:val="24"/>
        </w:rPr>
        <w:t>plataforma web</w:t>
      </w:r>
      <w:r>
        <w:rPr>
          <w:rFonts w:ascii="Times New Roman" w:hAnsi="Times New Roman"/>
          <w:sz w:val="24"/>
        </w:rPr>
        <w:t xml:space="preserve"> (</w:t>
      </w:r>
      <w:r>
        <w:rPr>
          <w:rFonts w:ascii="Consolas" w:hAnsi="Consolas"/>
          <w:sz w:val="22"/>
        </w:rPr>
        <w:t>plataforma/</w:t>
      </w:r>
      <w:r>
        <w:rPr>
          <w:rFonts w:ascii="Times New Roman" w:hAnsi="Times New Roman"/>
          <w:sz w:val="24"/>
        </w:rPr>
        <w:t>) que consome os mesmos produtos analíticos do pipeline (</w:t>
      </w:r>
      <w:r>
        <w:rPr>
          <w:rFonts w:ascii="Consolas" w:hAnsi="Consolas"/>
          <w:sz w:val="22"/>
        </w:rPr>
        <w:t>resultados.json</w:t>
      </w:r>
      <w:r>
        <w:rPr>
          <w:rFonts w:ascii="Times New Roman" w:hAnsi="Times New Roman"/>
          <w:sz w:val="24"/>
        </w:rPr>
        <w:t xml:space="preserve">, </w:t>
      </w:r>
      <w:r>
        <w:rPr>
          <w:rFonts w:ascii="Consolas" w:hAnsi="Consolas"/>
          <w:sz w:val="22"/>
        </w:rPr>
        <w:t>validacao.json</w:t>
      </w:r>
      <w:r>
        <w:rPr>
          <w:rFonts w:ascii="Times New Roman" w:hAnsi="Times New Roman"/>
          <w:sz w:val="24"/>
        </w:rPr>
        <w:t xml:space="preserve">, </w:t>
      </w:r>
      <w:r>
        <w:rPr>
          <w:rFonts w:ascii="Consolas" w:hAnsi="Consolas"/>
          <w:sz w:val="22"/>
        </w:rPr>
        <w:t>camadas_mapa.json</w:t>
      </w:r>
      <w:r>
        <w:rPr>
          <w:rFonts w:ascii="Times New Roman" w:hAnsi="Times New Roman"/>
          <w:sz w:val="24"/>
        </w:rPr>
        <w:t>, grelha SAD) e expõe capacidades operacionais em tempo quase em tempo real:</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Módulo</w:t>
            </w:r>
          </w:p>
        </w:tc>
        <w:tc>
          <w:tcPr>
            <w:tcW w:type="dxa" w:w="3120"/>
          </w:tcPr>
          <w:p>
            <w:r>
              <w:rPr>
                <w:rFonts w:ascii="Times New Roman" w:hAnsi="Times New Roman"/>
                <w:b/>
                <w:sz w:val="20"/>
              </w:rPr>
              <w:t>Função</w:t>
            </w:r>
          </w:p>
        </w:tc>
        <w:tc>
          <w:tcPr>
            <w:tcW w:type="dxa" w:w="3120"/>
          </w:tcPr>
          <w:p>
            <w:r>
              <w:rPr>
                <w:rFonts w:ascii="Times New Roman" w:hAnsi="Times New Roman"/>
                <w:b/>
                <w:sz w:val="20"/>
              </w:rPr>
              <w:t>Ligação ao relatório</w:t>
            </w:r>
          </w:p>
        </w:tc>
      </w:tr>
      <w:tr>
        <w:tc>
          <w:tcPr>
            <w:tcW w:type="dxa" w:w="3120"/>
          </w:tcPr>
          <w:p>
            <w:r>
              <w:rPr>
                <w:rFonts w:ascii="Times New Roman" w:hAnsi="Times New Roman"/>
                <w:sz w:val="20"/>
              </w:rPr>
              <w:t>Meteo (Open-Meteo)</w:t>
            </w:r>
          </w:p>
        </w:tc>
        <w:tc>
          <w:tcPr>
            <w:tcW w:type="dxa" w:w="3120"/>
          </w:tcPr>
          <w:p>
            <w:r>
              <w:rPr>
                <w:rFonts w:ascii="Times New Roman" w:hAnsi="Times New Roman"/>
                <w:sz w:val="20"/>
              </w:rPr>
              <w:t>Vento por base; impacto no alcance AR5</w:t>
            </w:r>
          </w:p>
        </w:tc>
        <w:tc>
          <w:tcPr>
            <w:tcW w:type="dxa" w:w="3120"/>
          </w:tcPr>
          <w:p>
            <w:r>
              <w:rPr>
                <w:rFonts w:ascii="Times New Roman" w:hAnsi="Times New Roman"/>
                <w:sz w:val="20"/>
              </w:rPr>
              <w:t xml:space="preserve">Secção 5, Secção 5.4; </w:t>
            </w:r>
            <w:r>
              <w:rPr>
                <w:rFonts w:ascii="Consolas" w:hAnsi="Consolas"/>
                <w:sz w:val="18"/>
              </w:rPr>
              <w:t>fator_vento</w:t>
            </w:r>
          </w:p>
        </w:tc>
      </w:tr>
      <w:tr>
        <w:tc>
          <w:tcPr>
            <w:tcW w:type="dxa" w:w="3120"/>
          </w:tcPr>
          <w:p>
            <w:r>
              <w:rPr>
                <w:rFonts w:ascii="Times New Roman" w:hAnsi="Times New Roman"/>
                <w:sz w:val="20"/>
              </w:rPr>
              <w:t>Mapa de risco</w:t>
            </w:r>
          </w:p>
        </w:tc>
        <w:tc>
          <w:tcPr>
            <w:tcW w:type="dxa" w:w="3120"/>
          </w:tcPr>
          <w:p>
            <w:r>
              <w:rPr>
                <w:rFonts w:ascii="Times New Roman" w:hAnsi="Times New Roman"/>
                <w:sz w:val="20"/>
              </w:rPr>
              <w:t>Células multi-ameaça (filtro mar)</w:t>
            </w:r>
          </w:p>
        </w:tc>
        <w:tc>
          <w:tcPr>
            <w:tcW w:type="dxa" w:w="3120"/>
          </w:tcPr>
          <w:p>
            <w:r>
              <w:rPr>
                <w:rFonts w:ascii="Times New Roman" w:hAnsi="Times New Roman"/>
                <w:sz w:val="20"/>
              </w:rPr>
              <w:t>Secção 4.5, Fig. 16</w:t>
            </w:r>
          </w:p>
        </w:tc>
      </w:tr>
      <w:tr>
        <w:tc>
          <w:tcPr>
            <w:tcW w:type="dxa" w:w="3120"/>
          </w:tcPr>
          <w:p>
            <w:r>
              <w:rPr>
                <w:rFonts w:ascii="Times New Roman" w:hAnsi="Times New Roman"/>
                <w:sz w:val="20"/>
              </w:rPr>
              <w:t>Camadas IOM + apreensões</w:t>
            </w:r>
          </w:p>
        </w:tc>
        <w:tc>
          <w:tcPr>
            <w:tcW w:type="dxa" w:w="3120"/>
          </w:tcPr>
          <w:p>
            <w:r>
              <w:rPr>
                <w:rFonts w:ascii="Times New Roman" w:hAnsi="Times New Roman"/>
                <w:sz w:val="20"/>
              </w:rPr>
              <w:t>Dados reais sobre o mapa</w:t>
            </w:r>
          </w:p>
        </w:tc>
        <w:tc>
          <w:tcPr>
            <w:tcW w:type="dxa" w:w="3120"/>
          </w:tcPr>
          <w:p>
            <w:r>
              <w:rPr>
                <w:rFonts w:ascii="Times New Roman" w:hAnsi="Times New Roman"/>
                <w:sz w:val="20"/>
              </w:rPr>
              <w:t xml:space="preserve">Sec. 3, 11; </w:t>
            </w:r>
            <w:r>
              <w:rPr>
                <w:rFonts w:ascii="Consolas" w:hAnsi="Consolas"/>
                <w:sz w:val="18"/>
              </w:rPr>
              <w:t>camadas_mapa.json</w:t>
            </w:r>
          </w:p>
        </w:tc>
      </w:tr>
      <w:tr>
        <w:tc>
          <w:tcPr>
            <w:tcW w:type="dxa" w:w="3120"/>
          </w:tcPr>
          <w:p>
            <w:r>
              <w:rPr>
                <w:rFonts w:ascii="Times New Roman" w:hAnsi="Times New Roman"/>
                <w:sz w:val="20"/>
              </w:rPr>
              <w:t>Rotas OR-Tools</w:t>
            </w:r>
          </w:p>
        </w:tc>
        <w:tc>
          <w:tcPr>
            <w:tcW w:type="dxa" w:w="3120"/>
          </w:tcPr>
          <w:p>
            <w:r>
              <w:rPr>
                <w:rFonts w:ascii="Times New Roman" w:hAnsi="Times New Roman"/>
                <w:sz w:val="20"/>
              </w:rPr>
              <w:t>Sortie N→S, plano 24 h (6 sectores), reativo</w:t>
            </w:r>
          </w:p>
        </w:tc>
        <w:tc>
          <w:tcPr>
            <w:tcW w:type="dxa" w:w="3120"/>
          </w:tcPr>
          <w:p>
            <w:r>
              <w:rPr>
                <w:rFonts w:ascii="Times New Roman" w:hAnsi="Times New Roman"/>
                <w:sz w:val="20"/>
              </w:rPr>
              <w:t>Secção 5, Q1/Q2/Q3</w:t>
            </w:r>
          </w:p>
        </w:tc>
      </w:tr>
      <w:tr>
        <w:tc>
          <w:tcPr>
            <w:tcW w:type="dxa" w:w="3120"/>
          </w:tcPr>
          <w:p>
            <w:r>
              <w:rPr>
                <w:rFonts w:ascii="Times New Roman" w:hAnsi="Times New Roman"/>
                <w:sz w:val="20"/>
              </w:rPr>
              <w:t>Cenários pré-definidos</w:t>
            </w:r>
          </w:p>
        </w:tc>
        <w:tc>
          <w:tcPr>
            <w:tcW w:type="dxa" w:w="3120"/>
          </w:tcPr>
          <w:p>
            <w:r>
              <w:rPr>
                <w:rFonts w:ascii="Times New Roman" w:hAnsi="Times New Roman"/>
                <w:sz w:val="20"/>
              </w:rPr>
              <w:t>7 missões alinhadas ao relatório</w:t>
            </w:r>
          </w:p>
        </w:tc>
        <w:tc>
          <w:tcPr>
            <w:tcW w:type="dxa" w:w="3120"/>
          </w:tcPr>
          <w:p>
            <w:r>
              <w:rPr>
                <w:rFonts w:ascii="Times New Roman" w:hAnsi="Times New Roman"/>
                <w:sz w:val="20"/>
              </w:rPr>
              <w:t>Secção 7.1, Tabela 7</w:t>
            </w:r>
          </w:p>
        </w:tc>
      </w:tr>
      <w:tr>
        <w:tc>
          <w:tcPr>
            <w:tcW w:type="dxa" w:w="3120"/>
          </w:tcPr>
          <w:p>
            <w:r>
              <w:rPr>
                <w:rFonts w:ascii="Times New Roman" w:hAnsi="Times New Roman"/>
                <w:sz w:val="20"/>
              </w:rPr>
              <w:t>Bases militares</w:t>
            </w:r>
          </w:p>
        </w:tc>
        <w:tc>
          <w:tcPr>
            <w:tcW w:type="dxa" w:w="3120"/>
          </w:tcPr>
          <w:p>
            <w:r>
              <w:rPr>
                <w:rFonts w:ascii="Times New Roman" w:hAnsi="Times New Roman"/>
                <w:sz w:val="20"/>
              </w:rPr>
              <w:t>FAP/Marinha/Exército ≤ 20 km costa</w:t>
            </w:r>
          </w:p>
        </w:tc>
        <w:tc>
          <w:tcPr>
            <w:tcW w:type="dxa" w:w="3120"/>
          </w:tcPr>
          <w:p>
            <w:r>
              <w:rPr>
                <w:rFonts w:ascii="Times New Roman" w:hAnsi="Times New Roman"/>
                <w:sz w:val="20"/>
              </w:rPr>
              <w:t>Secção 5, MCLP</w:t>
            </w:r>
          </w:p>
        </w:tc>
      </w:tr>
      <w:tr>
        <w:tc>
          <w:tcPr>
            <w:tcW w:type="dxa" w:w="3120"/>
          </w:tcPr>
          <w:p>
            <w:r>
              <w:rPr>
                <w:rFonts w:ascii="Times New Roman" w:hAnsi="Times New Roman"/>
                <w:sz w:val="20"/>
              </w:rPr>
              <w:t>WebSocket</w:t>
            </w:r>
          </w:p>
        </w:tc>
        <w:tc>
          <w:tcPr>
            <w:tcW w:type="dxa" w:w="3120"/>
          </w:tcPr>
          <w:p>
            <w:r>
              <w:rPr>
                <w:rFonts w:ascii="Times New Roman" w:hAnsi="Times New Roman"/>
                <w:sz w:val="20"/>
              </w:rPr>
              <w:t>Alertas meteo, AIS, IPMA, RSS</w:t>
            </w:r>
          </w:p>
        </w:tc>
        <w:tc>
          <w:tcPr>
            <w:tcW w:type="dxa" w:w="3120"/>
          </w:tcPr>
          <w:p>
            <w:r>
              <w:rPr>
                <w:rFonts w:ascii="Times New Roman" w:hAnsi="Times New Roman"/>
                <w:sz w:val="20"/>
              </w:rPr>
              <w:t>Apoio à decisão dinâmica</w:t>
            </w:r>
          </w:p>
        </w:tc>
      </w:tr>
      <w:tr>
        <w:tc>
          <w:tcPr>
            <w:tcW w:type="dxa" w:w="3120"/>
          </w:tcPr>
          <w:p>
            <w:r>
              <w:rPr>
                <w:rFonts w:ascii="Times New Roman" w:hAnsi="Times New Roman"/>
                <w:sz w:val="20"/>
              </w:rPr>
              <w:t>Exportação plano missão</w:t>
            </w:r>
          </w:p>
        </w:tc>
        <w:tc>
          <w:tcPr>
            <w:tcW w:type="dxa" w:w="3120"/>
          </w:tcPr>
          <w:p>
            <w:r>
              <w:rPr>
                <w:rFonts w:ascii="Times New Roman" w:hAnsi="Times New Roman"/>
                <w:sz w:val="20"/>
              </w:rPr>
              <w:t>GeoJSON/CSV da rota e sectores</w:t>
            </w:r>
          </w:p>
        </w:tc>
        <w:tc>
          <w:tcPr>
            <w:tcW w:type="dxa" w:w="3120"/>
          </w:tcPr>
          <w:p>
            <w:r>
              <w:rPr>
                <w:rFonts w:ascii="Times New Roman" w:hAnsi="Times New Roman"/>
                <w:sz w:val="20"/>
              </w:rPr>
              <w:t xml:space="preserve">Sec. 6.2; </w:t>
            </w:r>
            <w:r>
              <w:rPr>
                <w:rFonts w:ascii="Consolas" w:hAnsi="Consolas"/>
                <w:sz w:val="18"/>
              </w:rPr>
              <w:t>/api/export/*</w:t>
            </w:r>
          </w:p>
        </w:tc>
      </w:tr>
    </w:tbl>
    <w:p>
      <w:pPr>
        <w:spacing w:line="480" w:lineRule="auto"/>
        <w:ind w:firstLine="720"/>
        <w:jc w:val="both"/>
      </w:pPr>
      <w:r>
        <w:rPr>
          <w:rFonts w:ascii="Times New Roman" w:hAnsi="Times New Roman"/>
          <w:sz w:val="24"/>
        </w:rPr>
        <w:t xml:space="preserve">A meteorologia </w:t>
      </w:r>
      <w:r>
        <w:rPr>
          <w:rFonts w:ascii="Times New Roman" w:hAnsi="Times New Roman"/>
          <w:b/>
          <w:sz w:val="24"/>
        </w:rPr>
        <w:t>condiciona diretamente</w:t>
      </w:r>
      <w:r>
        <w:rPr>
          <w:rFonts w:ascii="Times New Roman" w:hAnsi="Times New Roman"/>
          <w:sz w:val="24"/>
        </w:rPr>
        <w:t xml:space="preserve"> o planeamento: cada rota calcula vento efetivo (estação Open-Meteo mais próxima do sector), </w:t>
      </w:r>
      <w:r>
        <w:rPr>
          <w:rFonts w:ascii="Times New Roman" w:hAnsi="Times New Roman"/>
          <w:b/>
          <w:sz w:val="24"/>
        </w:rPr>
        <w:t>fator de redução de alcance</w:t>
      </w:r>
      <w:r>
        <w:rPr>
          <w:rFonts w:ascii="Times New Roman" w:hAnsi="Times New Roman"/>
          <w:sz w:val="24"/>
        </w:rPr>
        <w:t xml:space="preserve">, autonomia útil e viabilidade operacional (limiar 18 m/s). O plano 24 h atribui vento </w:t>
      </w:r>
      <w:r>
        <w:rPr>
          <w:rFonts w:ascii="Times New Roman" w:hAnsi="Times New Roman"/>
          <w:b/>
          <w:sz w:val="24"/>
        </w:rPr>
        <w:t>por sector costeiro</w:t>
      </w:r>
      <w:r>
        <w:rPr>
          <w:rFonts w:ascii="Times New Roman" w:hAnsi="Times New Roman"/>
          <w:sz w:val="24"/>
        </w:rPr>
        <w:t>, reflectindo a variabilidade ao longo do litoral.</w:t>
      </w:r>
    </w:p>
    <w:p>
      <w:pPr>
        <w:spacing w:line="480" w:lineRule="auto"/>
        <w:ind w:firstLine="720"/>
        <w:jc w:val="both"/>
      </w:pPr>
      <w:r>
        <w:rPr>
          <w:rFonts w:ascii="Times New Roman" w:hAnsi="Times New Roman"/>
          <w:sz w:val="24"/>
        </w:rPr>
        <w:t xml:space="preserve">O procedimento de arranque da plataforma (instalação de dependências e lançamento dos serviços) está descrito no </w:t>
      </w:r>
      <w:r>
        <w:rPr>
          <w:rFonts w:ascii="Times New Roman" w:hAnsi="Times New Roman"/>
          <w:b/>
          <w:sz w:val="24"/>
        </w:rPr>
        <w:t>Anexo C — Reprodução computacional e arranque da plataforma</w:t>
      </w:r>
      <w:r>
        <w:rPr>
          <w:rFonts w:ascii="Times New Roman" w:hAnsi="Times New Roman"/>
          <w:sz w:val="24"/>
        </w:rPr>
        <w:t>.</w:t>
      </w:r>
    </w:p>
    <w:p>
      <w:pPr>
        <w:spacing w:line="480" w:lineRule="auto"/>
        <w:ind w:firstLine="720"/>
        <w:jc w:val="both"/>
      </w:pPr>
      <w:r>
        <w:rPr>
          <w:rFonts w:ascii="Times New Roman" w:hAnsi="Times New Roman"/>
          <w:sz w:val="24"/>
        </w:rPr>
        <w:t xml:space="preserve">A plataforma não substitui o painel Folium (útil para relatório e </w:t>
      </w:r>
      <w:r>
        <w:rPr>
          <w:rFonts w:ascii="Times New Roman" w:hAnsi="Times New Roman"/>
          <w:i/>
          <w:sz w:val="24"/>
        </w:rPr>
        <w:t>briefing</w:t>
      </w:r>
      <w:r>
        <w:rPr>
          <w:rFonts w:ascii="Times New Roman" w:hAnsi="Times New Roman"/>
          <w:sz w:val="24"/>
        </w:rPr>
        <w:t xml:space="preserve"> estático); </w:t>
      </w:r>
      <w:r>
        <w:rPr>
          <w:rFonts w:ascii="Times New Roman" w:hAnsi="Times New Roman"/>
          <w:b/>
          <w:sz w:val="24"/>
        </w:rPr>
        <w:t>complementa-o</w:t>
      </w:r>
      <w:r>
        <w:rPr>
          <w:rFonts w:ascii="Times New Roman" w:hAnsi="Times New Roman"/>
          <w:sz w:val="24"/>
        </w:rPr>
        <w:t xml:space="preserve"> com ingestão periódica (~2 min), simulação de alertas e cálculo interativo de rotas — ponte entre o modelo analítico e o centro de coordenação.</w:t>
      </w:r>
    </w:p>
    <w:p>
      <w:pPr>
        <w:spacing w:line="480" w:lineRule="auto"/>
        <w:ind w:firstLine="720"/>
        <w:jc w:val="both"/>
      </w:pPr>
      <w:r>
        <w:rPr>
          <w:rFonts w:ascii="Times New Roman" w:hAnsi="Times New Roman"/>
          <w:sz w:val="24"/>
        </w:rPr>
        <w:t xml:space="preserve">A plataforma consome </w:t>
      </w:r>
      <w:r>
        <w:rPr>
          <w:rFonts w:ascii="Consolas" w:hAnsi="Consolas"/>
          <w:sz w:val="22"/>
        </w:rPr>
        <w:t>resultados.json</w:t>
      </w:r>
      <w:r>
        <w:rPr>
          <w:rFonts w:ascii="Times New Roman" w:hAnsi="Times New Roman"/>
          <w:sz w:val="24"/>
        </w:rPr>
        <w:t xml:space="preserve">, </w:t>
      </w:r>
      <w:r>
        <w:rPr>
          <w:rFonts w:ascii="Consolas" w:hAnsi="Consolas"/>
          <w:sz w:val="22"/>
        </w:rPr>
        <w:t>validacao.json</w:t>
      </w:r>
      <w:r>
        <w:rPr>
          <w:rFonts w:ascii="Times New Roman" w:hAnsi="Times New Roman"/>
          <w:sz w:val="24"/>
        </w:rPr>
        <w:t xml:space="preserve"> e </w:t>
      </w:r>
      <w:r>
        <w:rPr>
          <w:rFonts w:ascii="Consolas" w:hAnsi="Consolas"/>
          <w:sz w:val="22"/>
        </w:rPr>
        <w:t>camadas_mapa.json</w:t>
      </w:r>
      <w:r>
        <w:rPr>
          <w:rFonts w:ascii="Times New Roman" w:hAnsi="Times New Roman"/>
          <w:sz w:val="24"/>
        </w:rPr>
        <w:t xml:space="preserve">, permitindo exercitar cenários com meteo live, rotas OR-Tools e alertas WebSocket. Confirma visualmente Q1–Q3 (setores de risco, bases MCLP, ganho </w:t>
      </w:r>
      <w:r>
        <w:rPr>
          <w:rFonts w:ascii="Times New Roman" w:hAnsi="Times New Roman"/>
          <w:b/>
          <w:sz w:val="24"/>
        </w:rPr>
        <w:t>2,06×</w:t>
      </w:r>
      <w:r>
        <w:rPr>
          <w:rFonts w:ascii="Times New Roman" w:hAnsi="Times New Roman"/>
          <w:sz w:val="24"/>
        </w:rPr>
        <w:t>), demonstra o impacto do vento no alcance e suporta a apresentação oral via cenários pré-definidos (Figura 23). Modo demonstração AIS ativa-se automaticamente sem chave API.</w:t>
      </w:r>
    </w:p>
    <w:p>
      <w:r>
        <w:br w:type="page"/>
      </w:r>
    </w:p>
    <w:p>
      <w:pPr>
        <w:pStyle w:val="Heading1"/>
      </w:pPr>
      <w:r>
        <w:t>7. Validação</w:t>
      </w:r>
    </w:p>
    <w:p>
      <w:pPr>
        <w:spacing w:line="480" w:lineRule="auto"/>
        <w:ind w:firstLine="720"/>
        <w:jc w:val="both"/>
      </w:pPr>
      <w:r>
        <w:rPr>
          <w:rFonts w:ascii="Times New Roman" w:hAnsi="Times New Roman"/>
          <w:sz w:val="24"/>
        </w:rPr>
        <w:t>A validação do SAD combina confrontação qualitativa com cenários representativos (Secção 7.1) e métricas quantitativas de backtesting temporal e baseline de patrulha (Secções 7.2–7.4).</w:t>
      </w:r>
    </w:p>
    <w:p>
      <w:pPr>
        <w:pStyle w:val="Heading2"/>
      </w:pPr>
      <w:r>
        <w:t>7.1 Validação por estudo de caso</w:t>
      </w:r>
    </w:p>
    <w:p>
      <w:pPr>
        <w:spacing w:line="480" w:lineRule="auto"/>
        <w:ind w:firstLine="720"/>
        <w:jc w:val="both"/>
      </w:pPr>
      <w:r>
        <w:rPr>
          <w:rFonts w:ascii="Times New Roman" w:hAnsi="Times New Roman"/>
          <w:sz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w:t>
      </w:r>
      <w:r>
        <w:rPr>
          <w:rFonts w:ascii="Times New Roman" w:hAnsi="Times New Roman"/>
          <w:b/>
          <w:sz w:val="24"/>
        </w:rPr>
        <w:t>estudo de caso sobre cenários representativos</w:t>
      </w:r>
      <w:r>
        <w:rPr>
          <w:rFonts w:ascii="Times New Roman" w:hAnsi="Times New Roman"/>
          <w:sz w:val="24"/>
        </w:rPr>
        <w:t xml:space="preserve">, ancorados em padrões de ocorrência reais e documentados em fontes abertas (cf. Secção 3.2), à semelhança da prática consagrada na validação de sistemas de apoio à decisão marítima. O procedimento é direto: para cada cenário, introduzem-se as suas coordenadas no SAD e verifica-se (i) se o índice de risco as classifica, </w:t>
      </w:r>
      <w:r>
        <w:rPr>
          <w:rFonts w:ascii="Times New Roman" w:hAnsi="Times New Roman"/>
          <w:i/>
          <w:sz w:val="24"/>
        </w:rPr>
        <w:t>a priori</w:t>
      </w:r>
      <w:r>
        <w:rPr>
          <w:rFonts w:ascii="Times New Roman" w:hAnsi="Times New Roman"/>
          <w:sz w:val="24"/>
        </w:rPr>
        <w:t>, como zona de elevado risco, e (ii) qual a base recomendada e a distância de projeção que o sistema lhe associa. Os quatro cenários cobrem deliberadamente as quatro ameaças e as principais geografias de ameaça identificadas.</w:t>
      </w:r>
    </w:p>
    <w:p>
      <w:pPr>
        <w:spacing w:line="480" w:lineRule="auto"/>
        <w:ind w:firstLine="720"/>
        <w:jc w:val="both"/>
      </w:pPr>
      <w:r>
        <w:rPr>
          <w:rFonts w:ascii="Times New Roman" w:hAnsi="Times New Roman"/>
          <w:sz w:val="24"/>
        </w:rPr>
        <w:t xml:space="preserve">O </w:t>
      </w:r>
      <w:r>
        <w:rPr>
          <w:rFonts w:ascii="Times New Roman" w:hAnsi="Times New Roman"/>
          <w:b/>
          <w:sz w:val="24"/>
        </w:rPr>
        <w:t>primeiro cenário</w:t>
      </w:r>
      <w:r>
        <w:rPr>
          <w:rFonts w:ascii="Times New Roman" w:hAnsi="Times New Roman"/>
          <w:sz w:val="24"/>
        </w:rPr>
        <w:t xml:space="preserve"> reproduz a aproximação atlântica de cocaína a sudoeste do Cabo de São Vicente, o padrão associado às interceções coordenadas pelo MAOC-N e à deteção de embarcações semissubmersíveis nas aproximações marítimas portuguesas (Europol, 2025). Introduzidas as coordenadas (36,8 °N; 9,3 °W), o SAD devolve um índice de risco de </w:t>
      </w:r>
      <w:r>
        <w:rPr>
          <w:rFonts w:ascii="Times New Roman" w:hAnsi="Times New Roman"/>
          <w:b/>
          <w:sz w:val="24"/>
        </w:rPr>
        <w:t>0,59</w:t>
      </w:r>
      <w:r>
        <w:rPr>
          <w:rFonts w:ascii="Times New Roman" w:hAnsi="Times New Roman"/>
          <w:sz w:val="24"/>
        </w:rPr>
        <w:t xml:space="preserve"> — acima do limiar de alto risco (0,5) —, dominado pelas componentes de droga (0,74) e de poluição (0,60, refletindo a coincidência com o dispositivo de separação de tráfego), com a base de </w:t>
      </w:r>
      <w:r>
        <w:rPr>
          <w:rFonts w:ascii="Times New Roman" w:hAnsi="Times New Roman"/>
          <w:b/>
          <w:sz w:val="24"/>
        </w:rPr>
        <w:t>Portimão a 73 km</w:t>
      </w:r>
      <w:r>
        <w:rPr>
          <w:rFonts w:ascii="Times New Roman" w:hAnsi="Times New Roman"/>
          <w:sz w:val="24"/>
        </w:rPr>
        <w:t xml:space="preserve"> a assegurar a cobertura. O </w:t>
      </w:r>
      <w:r>
        <w:rPr>
          <w:rFonts w:ascii="Times New Roman" w:hAnsi="Times New Roman"/>
          <w:b/>
          <w:sz w:val="24"/>
        </w:rPr>
        <w:t>segundo cenário</w:t>
      </w:r>
      <w:r>
        <w:rPr>
          <w:rFonts w:ascii="Times New Roman" w:hAnsi="Times New Roman"/>
          <w:sz w:val="24"/>
        </w:rPr>
        <w:t xml:space="preserve"> representa a entrada de haxixe pelas aproximações marítimas do Algarve oriental (37,05 °N; 8,40 °W): risco </w:t>
      </w:r>
      <w:r>
        <w:rPr>
          <w:rFonts w:ascii="Times New Roman" w:hAnsi="Times New Roman"/>
          <w:b/>
          <w:sz w:val="24"/>
        </w:rPr>
        <w:t>0,52</w:t>
      </w:r>
      <w:r>
        <w:rPr>
          <w:rFonts w:ascii="Times New Roman" w:hAnsi="Times New Roman"/>
          <w:sz w:val="24"/>
        </w:rPr>
        <w:t xml:space="preserve">, dominado pela componente de droga (0,87), com </w:t>
      </w:r>
      <w:r>
        <w:rPr>
          <w:rFonts w:ascii="Times New Roman" w:hAnsi="Times New Roman"/>
          <w:b/>
          <w:sz w:val="24"/>
        </w:rPr>
        <w:t>Portimão a 19 km</w:t>
      </w:r>
      <w:r>
        <w:rPr>
          <w:rFonts w:ascii="Times New Roman" w:hAnsi="Times New Roman"/>
          <w:sz w:val="24"/>
        </w:rPr>
        <w:t xml:space="preserve"> como base de projeção mais próxima. O </w:t>
      </w:r>
      <w:r>
        <w:rPr>
          <w:rFonts w:ascii="Times New Roman" w:hAnsi="Times New Roman"/>
          <w:b/>
          <w:sz w:val="24"/>
        </w:rPr>
        <w:t>terceiro cenário</w:t>
      </w:r>
      <w:r>
        <w:rPr>
          <w:rFonts w:ascii="Times New Roman" w:hAnsi="Times New Roman"/>
          <w:sz w:val="24"/>
        </w:rPr>
        <w:t xml:space="preserve">, de imigração irregular por desembarque no Algarve (37,02 °N; 7,88 °W) — padrão documentado em </w:t>
      </w:r>
      <w:r>
        <w:rPr>
          <w:rFonts w:ascii="Consolas" w:hAnsi="Consolas"/>
          <w:sz w:val="22"/>
        </w:rPr>
        <w:t>imigracao_pt_costa.csv</w:t>
      </w:r>
      <w:r>
        <w:rPr>
          <w:rFonts w:ascii="Times New Roman" w:hAnsi="Times New Roman"/>
          <w:sz w:val="24"/>
        </w:rPr>
        <w:t xml:space="preserve"> — regista risco elevado, com contributo dominante da componente de imigração e </w:t>
      </w:r>
      <w:r>
        <w:rPr>
          <w:rFonts w:ascii="Times New Roman" w:hAnsi="Times New Roman"/>
          <w:b/>
          <w:sz w:val="24"/>
        </w:rPr>
        <w:t>Portimão</w:t>
      </w:r>
      <w:r>
        <w:rPr>
          <w:rFonts w:ascii="Times New Roman" w:hAnsi="Times New Roman"/>
          <w:sz w:val="24"/>
        </w:rPr>
        <w:t xml:space="preserve"> como base de projeção mais próxima. O </w:t>
      </w:r>
      <w:r>
        <w:rPr>
          <w:rFonts w:ascii="Times New Roman" w:hAnsi="Times New Roman"/>
          <w:b/>
          <w:sz w:val="24"/>
        </w:rPr>
        <w:t>quarto cenário</w:t>
      </w:r>
      <w:r>
        <w:rPr>
          <w:rFonts w:ascii="Times New Roman" w:hAnsi="Times New Roman"/>
          <w:sz w:val="24"/>
        </w:rPr>
        <w:t>, de pesca ilegal nos pesqueiros do noroeste (42,05 °N; 9,20 °W), ilustra com igual nitidez o comportamento discriminante do modelo: o risco agregado é moderado (</w:t>
      </w:r>
      <w:r>
        <w:rPr>
          <w:rFonts w:ascii="Times New Roman" w:hAnsi="Times New Roman"/>
          <w:b/>
          <w:sz w:val="24"/>
        </w:rPr>
        <w:t>0,33</w:t>
      </w:r>
      <w:r>
        <w:rPr>
          <w:rFonts w:ascii="Times New Roman" w:hAnsi="Times New Roman"/>
          <w:sz w:val="24"/>
        </w:rPr>
        <w:t xml:space="preserve">), mas a sua decomposição revela uma componente de pesca quase máxima (1,00) e componentes de droga, poluição e imigração baixas — exatamente o perfil esperado de uma zona de pesqueiro afastada das rotas de tráfico —, com a base do </w:t>
      </w:r>
      <w:r>
        <w:rPr>
          <w:rFonts w:ascii="Times New Roman" w:hAnsi="Times New Roman"/>
          <w:b/>
          <w:sz w:val="24"/>
        </w:rPr>
        <w:t>Porto a 99 km</w:t>
      </w:r>
      <w:r>
        <w:rPr>
          <w:rFonts w:ascii="Times New Roman" w:hAnsi="Times New Roman"/>
          <w:sz w:val="24"/>
        </w:rPr>
        <w:t>.</w:t>
      </w:r>
    </w:p>
    <w:p>
      <w:pPr>
        <w:spacing w:line="480" w:lineRule="auto"/>
        <w:ind w:firstLine="720"/>
        <w:jc w:val="both"/>
      </w:pPr>
      <w:r>
        <w:rPr>
          <w:rFonts w:ascii="Times New Roman" w:hAnsi="Times New Roman"/>
          <w:sz w:val="24"/>
        </w:rPr>
        <w:t xml:space="preserve">Em todos os cenários, a localização documentada da ameaça é corretamente classificada pelo sistema no escalão de risco que lhe corresponderia </w:t>
      </w:r>
      <w:r>
        <w:rPr>
          <w:rFonts w:ascii="Times New Roman" w:hAnsi="Times New Roman"/>
          <w:i/>
          <w:sz w:val="24"/>
        </w:rPr>
        <w:t>a priori</w:t>
      </w:r>
      <w:r>
        <w:rPr>
          <w:rFonts w:ascii="Times New Roman" w:hAnsi="Times New Roman"/>
          <w:sz w:val="24"/>
        </w:rPr>
        <w:t xml:space="preserve">, e a configuração de duas bases recomendada projeta cobertura sobre todos eles. Acresce que a decomposição por ameaça (Tabela 7) é substantivamente plausível em cada caso, o que confere ao índice não apenas validade preditiva mas também </w:t>
      </w:r>
      <w:r>
        <w:rPr>
          <w:rFonts w:ascii="Times New Roman" w:hAnsi="Times New Roman"/>
          <w:b/>
          <w:sz w:val="24"/>
        </w:rPr>
        <w:t>transparência diagnóstica</w:t>
      </w:r>
      <w:r>
        <w:rPr>
          <w:rFonts w:ascii="Times New Roman" w:hAnsi="Times New Roman"/>
          <w:sz w:val="24"/>
        </w:rPr>
        <w:t xml:space="preserve">: o operador não recebe um número opaco, mas a explicação de </w:t>
      </w:r>
      <w:r>
        <w:rPr>
          <w:rFonts w:ascii="Times New Roman" w:hAnsi="Times New Roman"/>
          <w:i/>
          <w:sz w:val="24"/>
        </w:rPr>
        <w:t>porque</w:t>
      </w:r>
      <w:r>
        <w:rPr>
          <w:rFonts w:ascii="Times New Roman" w:hAnsi="Times New Roman"/>
          <w:sz w:val="24"/>
        </w:rPr>
        <w:t xml:space="preserve"> uma dada área é de risco. Esta concordância entre o output do SAD e os padrões reais de ameaça constitui a validação externa pretendida, complementando a validação cruzada interna já estabelecida pela convergência entre o </w:t>
      </w:r>
      <w:r>
        <w:rPr>
          <w:rFonts w:ascii="Times New Roman" w:hAnsi="Times New Roman"/>
          <w:i/>
          <w:sz w:val="24"/>
        </w:rPr>
        <w:t>clustering</w:t>
      </w:r>
      <w:r>
        <w:rPr>
          <w:rFonts w:ascii="Times New Roman" w:hAnsi="Times New Roman"/>
          <w:sz w:val="24"/>
        </w:rPr>
        <w:t xml:space="preserve"> e o mapa de risco (Secção 4.3).</w:t>
      </w:r>
    </w:p>
    <w:p>
      <w:pPr>
        <w:spacing w:line="480" w:lineRule="auto"/>
        <w:ind w:firstLine="0"/>
        <w:jc w:val="center"/>
      </w:pPr>
      <w:r>
        <w:rPr>
          <w:rFonts w:ascii="Times New Roman" w:hAnsi="Times New Roman"/>
          <w:b/>
          <w:sz w:val="22"/>
        </w:rPr>
        <w:t>Tabela 7 -</w:t>
      </w:r>
      <w:r>
        <w:rPr>
          <w:rFonts w:ascii="Times New Roman" w:hAnsi="Times New Roman"/>
          <w:sz w:val="22"/>
        </w:rPr>
        <w:t xml:space="preserve"> </w:t>
      </w:r>
      <w:r>
        <w:rPr>
          <w:rFonts w:ascii="Times New Roman" w:hAnsi="Times New Roman"/>
          <w:i/>
          <w:sz w:val="22"/>
        </w:rPr>
        <w:t>Validação por estudo de caso: resposta do SAD a quatro cenários documentados.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Cenário (ameaça dominante)</w:t>
            </w:r>
          </w:p>
        </w:tc>
        <w:tc>
          <w:tcPr>
            <w:tcW w:type="dxa" w:w="1872"/>
          </w:tcPr>
          <w:p>
            <w:r>
              <w:rPr>
                <w:rFonts w:ascii="Times New Roman" w:hAnsi="Times New Roman"/>
                <w:b/>
                <w:sz w:val="20"/>
              </w:rPr>
              <w:t>Coordenadas</w:t>
            </w:r>
          </w:p>
        </w:tc>
        <w:tc>
          <w:tcPr>
            <w:tcW w:type="dxa" w:w="1872"/>
          </w:tcPr>
          <w:p>
            <w:r>
              <w:rPr>
                <w:rFonts w:ascii="Times New Roman" w:hAnsi="Times New Roman"/>
                <w:b/>
                <w:sz w:val="20"/>
              </w:rPr>
              <w:t>Risco</w:t>
            </w:r>
          </w:p>
        </w:tc>
        <w:tc>
          <w:tcPr>
            <w:tcW w:type="dxa" w:w="1872"/>
          </w:tcPr>
          <w:p>
            <w:r>
              <w:rPr>
                <w:rFonts w:ascii="Times New Roman" w:hAnsi="Times New Roman"/>
                <w:b/>
                <w:sz w:val="20"/>
              </w:rPr>
              <w:t>Droga / Pesca / Poluição / Imigração</w:t>
            </w:r>
          </w:p>
        </w:tc>
        <w:tc>
          <w:tcPr>
            <w:tcW w:type="dxa" w:w="1872"/>
          </w:tcPr>
          <w:p>
            <w:r>
              <w:rPr>
                <w:rFonts w:ascii="Times New Roman" w:hAnsi="Times New Roman"/>
                <w:b/>
                <w:sz w:val="20"/>
              </w:rPr>
              <w:t>Base recomendada (distância)</w:t>
            </w:r>
          </w:p>
        </w:tc>
      </w:tr>
      <w:tr>
        <w:tc>
          <w:tcPr>
            <w:tcW w:type="dxa" w:w="1872"/>
          </w:tcPr>
          <w:p>
            <w:r>
              <w:rPr>
                <w:rFonts w:ascii="Times New Roman" w:hAnsi="Times New Roman"/>
                <w:sz w:val="20"/>
              </w:rPr>
              <w:t>Cocaína — aproximação SW (C. S. Vicente)</w:t>
            </w:r>
          </w:p>
        </w:tc>
        <w:tc>
          <w:tcPr>
            <w:tcW w:type="dxa" w:w="1872"/>
          </w:tcPr>
          <w:p>
            <w:r>
              <w:rPr>
                <w:rFonts w:ascii="Times New Roman" w:hAnsi="Times New Roman"/>
                <w:sz w:val="20"/>
              </w:rPr>
              <w:t>36,8 °N; 9,3 °W</w:t>
            </w:r>
          </w:p>
        </w:tc>
        <w:tc>
          <w:tcPr>
            <w:tcW w:type="dxa" w:w="1872"/>
          </w:tcPr>
          <w:p>
            <w:r>
              <w:rPr>
                <w:rFonts w:ascii="Times New Roman" w:hAnsi="Times New Roman"/>
                <w:sz w:val="20"/>
              </w:rPr>
              <w:t>0,59</w:t>
            </w:r>
          </w:p>
        </w:tc>
        <w:tc>
          <w:tcPr>
            <w:tcW w:type="dxa" w:w="1872"/>
          </w:tcPr>
          <w:p>
            <w:r>
              <w:rPr>
                <w:rFonts w:ascii="Times New Roman" w:hAnsi="Times New Roman"/>
                <w:sz w:val="20"/>
              </w:rPr>
              <w:t>0,74 / 0,35 / 0,60 / 0,01</w:t>
            </w:r>
          </w:p>
        </w:tc>
        <w:tc>
          <w:tcPr>
            <w:tcW w:type="dxa" w:w="1872"/>
          </w:tcPr>
          <w:p>
            <w:r>
              <w:rPr>
                <w:rFonts w:ascii="Times New Roman" w:hAnsi="Times New Roman"/>
                <w:sz w:val="20"/>
              </w:rPr>
              <w:t>Portimão (73 km)</w:t>
            </w:r>
          </w:p>
        </w:tc>
      </w:tr>
      <w:tr>
        <w:tc>
          <w:tcPr>
            <w:tcW w:type="dxa" w:w="1872"/>
          </w:tcPr>
          <w:p>
            <w:r>
              <w:rPr>
                <w:rFonts w:ascii="Times New Roman" w:hAnsi="Times New Roman"/>
                <w:sz w:val="20"/>
              </w:rPr>
              <w:t>Haxixe — ao largo do Algarve</w:t>
            </w:r>
          </w:p>
        </w:tc>
        <w:tc>
          <w:tcPr>
            <w:tcW w:type="dxa" w:w="1872"/>
          </w:tcPr>
          <w:p>
            <w:r>
              <w:rPr>
                <w:rFonts w:ascii="Times New Roman" w:hAnsi="Times New Roman"/>
                <w:sz w:val="20"/>
              </w:rPr>
              <w:t>37,05 °N; 8,40 °W</w:t>
            </w:r>
          </w:p>
        </w:tc>
        <w:tc>
          <w:tcPr>
            <w:tcW w:type="dxa" w:w="1872"/>
          </w:tcPr>
          <w:p>
            <w:r>
              <w:rPr>
                <w:rFonts w:ascii="Times New Roman" w:hAnsi="Times New Roman"/>
                <w:sz w:val="20"/>
              </w:rPr>
              <w:t>0,52</w:t>
            </w:r>
          </w:p>
        </w:tc>
        <w:tc>
          <w:tcPr>
            <w:tcW w:type="dxa" w:w="1872"/>
          </w:tcPr>
          <w:p>
            <w:r>
              <w:rPr>
                <w:rFonts w:ascii="Times New Roman" w:hAnsi="Times New Roman"/>
                <w:sz w:val="20"/>
              </w:rPr>
              <w:t>0,87 / 0,13 / 0,25 / 0,01</w:t>
            </w:r>
          </w:p>
        </w:tc>
        <w:tc>
          <w:tcPr>
            <w:tcW w:type="dxa" w:w="1872"/>
          </w:tcPr>
          <w:p>
            <w:r>
              <w:rPr>
                <w:rFonts w:ascii="Times New Roman" w:hAnsi="Times New Roman"/>
                <w:sz w:val="20"/>
              </w:rPr>
              <w:t>Portimão (19 km)</w:t>
            </w:r>
          </w:p>
        </w:tc>
      </w:tr>
      <w:tr>
        <w:tc>
          <w:tcPr>
            <w:tcW w:type="dxa" w:w="1872"/>
          </w:tcPr>
          <w:p>
            <w:r>
              <w:rPr>
                <w:rFonts w:ascii="Times New Roman" w:hAnsi="Times New Roman"/>
                <w:sz w:val="20"/>
              </w:rPr>
              <w:t>Imigração — desembarque Algarve (SEF/Frontex)</w:t>
            </w:r>
          </w:p>
        </w:tc>
        <w:tc>
          <w:tcPr>
            <w:tcW w:type="dxa" w:w="1872"/>
          </w:tcPr>
          <w:p>
            <w:r>
              <w:rPr>
                <w:rFonts w:ascii="Times New Roman" w:hAnsi="Times New Roman"/>
                <w:sz w:val="20"/>
              </w:rPr>
              <w:t>37,02 °N; 7,88 °W</w:t>
            </w:r>
          </w:p>
        </w:tc>
        <w:tc>
          <w:tcPr>
            <w:tcW w:type="dxa" w:w="1872"/>
          </w:tcPr>
          <w:p>
            <w:r>
              <w:rPr>
                <w:rFonts w:ascii="Times New Roman" w:hAnsi="Times New Roman"/>
                <w:sz w:val="20"/>
              </w:rPr>
              <w:t>≥ 0,50</w:t>
            </w:r>
          </w:p>
        </w:tc>
        <w:tc>
          <w:tcPr>
            <w:tcW w:type="dxa" w:w="1872"/>
          </w:tcPr>
          <w:p>
            <w:r>
              <w:rPr>
                <w:rFonts w:ascii="Times New Roman" w:hAnsi="Times New Roman"/>
                <w:sz w:val="20"/>
              </w:rPr>
              <w:t>— / — / — / alto</w:t>
            </w:r>
          </w:p>
        </w:tc>
        <w:tc>
          <w:tcPr>
            <w:tcW w:type="dxa" w:w="1872"/>
          </w:tcPr>
          <w:p>
            <w:r>
              <w:rPr>
                <w:rFonts w:ascii="Times New Roman" w:hAnsi="Times New Roman"/>
                <w:sz w:val="20"/>
              </w:rPr>
              <w:t>Portimão (&lt; 30 km)</w:t>
            </w:r>
          </w:p>
        </w:tc>
      </w:tr>
      <w:tr>
        <w:tc>
          <w:tcPr>
            <w:tcW w:type="dxa" w:w="1872"/>
          </w:tcPr>
          <w:p>
            <w:r>
              <w:rPr>
                <w:rFonts w:ascii="Times New Roman" w:hAnsi="Times New Roman"/>
                <w:sz w:val="20"/>
              </w:rPr>
              <w:t>Pesca INN — pesqueiros do noroeste</w:t>
            </w:r>
          </w:p>
        </w:tc>
        <w:tc>
          <w:tcPr>
            <w:tcW w:type="dxa" w:w="1872"/>
          </w:tcPr>
          <w:p>
            <w:r>
              <w:rPr>
                <w:rFonts w:ascii="Times New Roman" w:hAnsi="Times New Roman"/>
                <w:sz w:val="20"/>
              </w:rPr>
              <w:t>42,05 °N; 9,20 °W</w:t>
            </w:r>
          </w:p>
        </w:tc>
        <w:tc>
          <w:tcPr>
            <w:tcW w:type="dxa" w:w="1872"/>
          </w:tcPr>
          <w:p>
            <w:r>
              <w:rPr>
                <w:rFonts w:ascii="Times New Roman" w:hAnsi="Times New Roman"/>
                <w:sz w:val="20"/>
              </w:rPr>
              <w:t>0,33</w:t>
            </w:r>
          </w:p>
        </w:tc>
        <w:tc>
          <w:tcPr>
            <w:tcW w:type="dxa" w:w="1872"/>
          </w:tcPr>
          <w:p>
            <w:r>
              <w:rPr>
                <w:rFonts w:ascii="Times New Roman" w:hAnsi="Times New Roman"/>
                <w:sz w:val="20"/>
              </w:rPr>
              <w:t>0,06 / 1,00 / 0,12 / 0,01</w:t>
            </w:r>
          </w:p>
        </w:tc>
        <w:tc>
          <w:tcPr>
            <w:tcW w:type="dxa" w:w="1872"/>
          </w:tcPr>
          <w:p>
            <w:r>
              <w:rPr>
                <w:rFonts w:ascii="Times New Roman" w:hAnsi="Times New Roman"/>
                <w:sz w:val="20"/>
              </w:rPr>
              <w:t>Porto (99 km)</w:t>
            </w:r>
          </w:p>
        </w:tc>
      </w:tr>
    </w:tbl>
    <w:p>
      <w:pPr>
        <w:spacing w:line="480" w:lineRule="auto"/>
        <w:ind w:firstLine="720"/>
        <w:jc w:val="both"/>
      </w:pPr>
      <w:r>
        <w:rPr>
          <w:rFonts w:ascii="Times New Roman" w:hAnsi="Times New Roman"/>
          <w:sz w:val="24"/>
        </w:rPr>
        <w:t xml:space="preserve">Para além da validação qualitativa por estudo de caso, o sistema foi submetido a dois testes quantitativos que respondem diretamente à pergunta «os resultados estão de acordo com o objetivo?»: um </w:t>
      </w:r>
      <w:r>
        <w:rPr>
          <w:rFonts w:ascii="Times New Roman" w:hAnsi="Times New Roman"/>
          <w:b/>
          <w:sz w:val="24"/>
        </w:rPr>
        <w:t>backtesting temporal</w:t>
      </w:r>
      <w:r>
        <w:rPr>
          <w:rFonts w:ascii="Times New Roman" w:hAnsi="Times New Roman"/>
          <w:sz w:val="24"/>
        </w:rPr>
        <w:t xml:space="preserve"> sobre apreensões marítimas e uma </w:t>
      </w:r>
      <w:r>
        <w:rPr>
          <w:rFonts w:ascii="Times New Roman" w:hAnsi="Times New Roman"/>
          <w:b/>
          <w:sz w:val="24"/>
        </w:rPr>
        <w:t>comparação com baselines</w:t>
      </w:r>
      <w:r>
        <w:rPr>
          <w:rFonts w:ascii="Times New Roman" w:hAnsi="Times New Roman"/>
          <w:sz w:val="24"/>
        </w:rPr>
        <w:t xml:space="preserve"> de patrulha.</w:t>
      </w:r>
    </w:p>
    <w:p>
      <w:pPr>
        <w:pStyle w:val="Heading2"/>
      </w:pPr>
      <w:r>
        <w:t>7.2 Backtesting temporal (apreensões 2011–2022 → teste 2023–2024)</w:t>
      </w:r>
    </w:p>
    <w:p>
      <w:pPr>
        <w:spacing w:line="480" w:lineRule="auto"/>
        <w:ind w:firstLine="720"/>
        <w:jc w:val="both"/>
      </w:pPr>
      <w:r>
        <w:rPr>
          <w:rFonts w:ascii="Times New Roman" w:hAnsi="Times New Roman"/>
          <w:sz w:val="24"/>
        </w:rPr>
        <w:t xml:space="preserve">O campo de risco relativo ao tráfico de droga foi reconstruído usando apenas apreensões marítimas até </w:t>
      </w:r>
      <w:r>
        <w:rPr>
          <w:rFonts w:ascii="Times New Roman" w:hAnsi="Times New Roman"/>
          <w:b/>
          <w:sz w:val="24"/>
        </w:rPr>
        <w:t>2022</w:t>
      </w:r>
      <w:r>
        <w:rPr>
          <w:rFonts w:ascii="Times New Roman" w:hAnsi="Times New Roman"/>
          <w:sz w:val="24"/>
        </w:rPr>
        <w:t xml:space="preserve">; as camadas de pesca, poluição e imigração mantêm-se estáticas (EMODnet, desembarques PT) — uma limitação que explicitamos na Secção 8.2. As </w:t>
      </w:r>
      <w:r>
        <w:rPr>
          <w:rFonts w:ascii="Times New Roman" w:hAnsi="Times New Roman"/>
          <w:b/>
          <w:sz w:val="24"/>
        </w:rPr>
        <w:t>55 apreensões marítimas de 2023–2024</w:t>
      </w:r>
      <w:r>
        <w:rPr>
          <w:rFonts w:ascii="Times New Roman" w:hAnsi="Times New Roman"/>
          <w:sz w:val="24"/>
        </w:rPr>
        <w:t xml:space="preserve"> (holdout) foram geocodificadas e confrontadas com o mapa de risco treinado. Os resultados (Figura 21; Tabela 8) mostram que:</w:t>
      </w:r>
    </w:p>
    <w:p>
      <w:pPr>
        <w:spacing w:line="480" w:lineRule="auto"/>
        <w:ind w:firstLine="720"/>
        <w:jc w:val="both"/>
      </w:pPr>
      <w:r>
        <w:rPr>
          <w:rFonts w:ascii="Times New Roman" w:hAnsi="Times New Roman"/>
          <w:sz w:val="24"/>
        </w:rPr>
        <w:t xml:space="preserve">- </w:t>
      </w:r>
      <w:r>
        <w:rPr>
          <w:rFonts w:ascii="Times New Roman" w:hAnsi="Times New Roman"/>
          <w:b/>
          <w:sz w:val="24"/>
        </w:rPr>
        <w:t>85,5 %</w:t>
      </w:r>
      <w:r>
        <w:rPr>
          <w:rFonts w:ascii="Times New Roman" w:hAnsi="Times New Roman"/>
          <w:sz w:val="24"/>
        </w:rPr>
        <w:t xml:space="preserve"> das apreensões do holdout caem no </w:t>
      </w:r>
      <w:r>
        <w:rPr>
          <w:rFonts w:ascii="Times New Roman" w:hAnsi="Times New Roman"/>
          <w:b/>
          <w:sz w:val="24"/>
        </w:rPr>
        <w:t>top 20 %</w:t>
      </w:r>
      <w:r>
        <w:rPr>
          <w:rFonts w:ascii="Times New Roman" w:hAnsi="Times New Roman"/>
          <w:sz w:val="24"/>
        </w:rPr>
        <w:t xml:space="preserve"> de risco (mais de 4× a referência de 20 %); - o risco médio nas localizações do holdout (</w:t>
      </w:r>
      <w:r>
        <w:rPr>
          <w:rFonts w:ascii="Times New Roman" w:hAnsi="Times New Roman"/>
          <w:b/>
          <w:sz w:val="24"/>
        </w:rPr>
        <w:t>0,72</w:t>
      </w:r>
      <w:r>
        <w:rPr>
          <w:rFonts w:ascii="Times New Roman" w:hAnsi="Times New Roman"/>
          <w:sz w:val="24"/>
        </w:rPr>
        <w:t>) excede claramente o risco médio global (</w:t>
      </w:r>
      <w:r>
        <w:rPr>
          <w:rFonts w:ascii="Times New Roman" w:hAnsi="Times New Roman"/>
          <w:b/>
          <w:sz w:val="24"/>
        </w:rPr>
        <w:t>0,38</w:t>
      </w:r>
      <w:r>
        <w:rPr>
          <w:rFonts w:ascii="Times New Roman" w:hAnsi="Times New Roman"/>
          <w:sz w:val="24"/>
        </w:rPr>
        <w:t>); - ao limiar fixo de 0,5, a taxa de acerto (</w:t>
      </w:r>
      <w:r>
        <w:rPr>
          <w:rFonts w:ascii="Times New Roman" w:hAnsi="Times New Roman"/>
          <w:b/>
          <w:sz w:val="24"/>
        </w:rPr>
        <w:t>85,5 %</w:t>
      </w:r>
      <w:r>
        <w:rPr>
          <w:rFonts w:ascii="Times New Roman" w:hAnsi="Times New Roman"/>
          <w:sz w:val="24"/>
        </w:rPr>
        <w:t>) supera o baseline aleatório (</w:t>
      </w:r>
      <w:r>
        <w:rPr>
          <w:rFonts w:ascii="Times New Roman" w:hAnsi="Times New Roman"/>
          <w:b/>
          <w:sz w:val="24"/>
        </w:rPr>
        <w:t>36,6 %</w:t>
      </w:r>
      <w:r>
        <w:rPr>
          <w:rFonts w:ascii="Times New Roman" w:hAnsi="Times New Roman"/>
          <w:sz w:val="24"/>
        </w:rPr>
        <w:t xml:space="preserve">) em </w:t>
      </w:r>
      <w:r>
        <w:rPr>
          <w:rFonts w:ascii="Times New Roman" w:hAnsi="Times New Roman"/>
          <w:b/>
          <w:sz w:val="24"/>
        </w:rPr>
        <w:t>2,33×</w:t>
      </w:r>
      <w:r>
        <w:rPr>
          <w:rFonts w:ascii="Times New Roman" w:hAnsi="Times New Roman"/>
          <w:sz w:val="24"/>
        </w:rPr>
        <w:t>.</w:t>
      </w:r>
    </w:p>
    <w:p>
      <w:pPr>
        <w:spacing w:line="480" w:lineRule="auto"/>
        <w:ind w:firstLine="720"/>
        <w:jc w:val="both"/>
      </w:pPr>
      <w:r>
        <w:rPr>
          <w:rFonts w:ascii="Times New Roman" w:hAnsi="Times New Roman"/>
          <w:sz w:val="24"/>
        </w:rPr>
        <w:t>O top 20 % e o limiar 0,5 coincidem neste holdout (47 em 55 apreensões) — o que é coerente com a concentração do tráfico no Algarve e no eixo Setúbal–Lisboa. A geocodificação ao nível do distrito (Secção 8.2) dilui o sinal no limiar absoluto em outros contextos, mas aqui preserva a ordenação relativa.</w:t>
      </w:r>
    </w:p>
    <w:p>
      <w:pPr>
        <w:pStyle w:val="Heading2"/>
      </w:pPr>
      <w:r>
        <w:t>7.3 Baseline de patrulha (SAD vs aleatório vs uniforme)</w:t>
      </w:r>
    </w:p>
    <w:p>
      <w:pPr>
        <w:spacing w:line="480" w:lineRule="auto"/>
        <w:ind w:firstLine="720"/>
        <w:jc w:val="both"/>
      </w:pPr>
      <w:r>
        <w:rPr>
          <w:rFonts w:ascii="Times New Roman" w:hAnsi="Times New Roman"/>
          <w:sz w:val="24"/>
        </w:rPr>
        <w:t>Fixado o mesmo número de células patrulhadas (</w:t>
      </w:r>
      <w:r>
        <w:rPr>
          <w:rFonts w:ascii="Times New Roman" w:hAnsi="Times New Roman"/>
          <w:b/>
          <w:sz w:val="24"/>
        </w:rPr>
        <w:t>300</w:t>
      </w:r>
      <w:r>
        <w:rPr>
          <w:rFonts w:ascii="Times New Roman" w:hAnsi="Times New Roman"/>
          <w:sz w:val="24"/>
        </w:rPr>
        <w:t xml:space="preserve">, igual ao n.º de células de alto risco), comparou-se a </w:t>
      </w:r>
      <w:r>
        <w:rPr>
          <w:rFonts w:ascii="Times New Roman" w:hAnsi="Times New Roman"/>
          <w:b/>
          <w:sz w:val="24"/>
        </w:rPr>
        <w:t>captura de risco</w:t>
      </w:r>
      <w:r>
        <w:rPr>
          <w:rFonts w:ascii="Times New Roman" w:hAnsi="Times New Roman"/>
          <w:sz w:val="24"/>
        </w:rPr>
        <w:t xml:space="preserve"> (fração do risco total coberta) entre três estratégias (Figura 22; Tabela 8):</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Estratégia</w:t>
            </w:r>
          </w:p>
        </w:tc>
        <w:tc>
          <w:tcPr>
            <w:tcW w:type="dxa" w:w="3120"/>
          </w:tcPr>
          <w:p>
            <w:r>
              <w:rPr>
                <w:rFonts w:ascii="Times New Roman" w:hAnsi="Times New Roman"/>
                <w:b/>
                <w:sz w:val="20"/>
              </w:rPr>
              <w:t>% do risco capturado</w:t>
            </w:r>
          </w:p>
        </w:tc>
        <w:tc>
          <w:tcPr>
            <w:tcW w:type="dxa" w:w="3120"/>
          </w:tcPr>
          <w:p>
            <w:r>
              <w:rPr>
                <w:rFonts w:ascii="Times New Roman" w:hAnsi="Times New Roman"/>
                <w:b/>
                <w:sz w:val="20"/>
              </w:rPr>
              <w:t>Ganho vs aleatório</w:t>
            </w:r>
          </w:p>
        </w:tc>
      </w:tr>
      <w:tr>
        <w:tc>
          <w:tcPr>
            <w:tcW w:type="dxa" w:w="3120"/>
          </w:tcPr>
          <w:p>
            <w:r>
              <w:rPr>
                <w:rFonts w:ascii="Times New Roman" w:hAnsi="Times New Roman"/>
                <w:b/>
                <w:sz w:val="20"/>
              </w:rPr>
              <w:t>SAD</w:t>
            </w:r>
            <w:r>
              <w:rPr>
                <w:rFonts w:ascii="Times New Roman" w:hAnsi="Times New Roman"/>
                <w:sz w:val="20"/>
              </w:rPr>
              <w:t xml:space="preserve"> (top-N por risco)</w:t>
            </w:r>
          </w:p>
        </w:tc>
        <w:tc>
          <w:tcPr>
            <w:tcW w:type="dxa" w:w="3120"/>
          </w:tcPr>
          <w:p>
            <w:r>
              <w:rPr>
                <w:rFonts w:ascii="Times New Roman" w:hAnsi="Times New Roman"/>
                <w:b/>
                <w:sz w:val="20"/>
              </w:rPr>
              <w:t>53,6 %</w:t>
            </w:r>
          </w:p>
        </w:tc>
        <w:tc>
          <w:tcPr>
            <w:tcW w:type="dxa" w:w="3120"/>
          </w:tcPr>
          <w:p>
            <w:r>
              <w:rPr>
                <w:rFonts w:ascii="Times New Roman" w:hAnsi="Times New Roman"/>
                <w:b/>
                <w:sz w:val="20"/>
              </w:rPr>
              <w:t>2,06×</w:t>
            </w:r>
            <w:r>
              <w:rPr>
                <w:rFonts w:ascii="Times New Roman" w:hAnsi="Times New Roman"/>
                <w:sz w:val="20"/>
              </w:rPr>
              <w:t xml:space="preserve"> (IC95: 1,93–2,22)</w:t>
            </w:r>
          </w:p>
        </w:tc>
      </w:tr>
      <w:tr>
        <w:tc>
          <w:tcPr>
            <w:tcW w:type="dxa" w:w="3120"/>
          </w:tcPr>
          <w:p>
            <w:r>
              <w:rPr>
                <w:rFonts w:ascii="Times New Roman" w:hAnsi="Times New Roman"/>
                <w:sz w:val="20"/>
              </w:rPr>
              <w:t>Aleatório (média de 500 simulações)</w:t>
            </w:r>
          </w:p>
        </w:tc>
        <w:tc>
          <w:tcPr>
            <w:tcW w:type="dxa" w:w="3120"/>
          </w:tcPr>
          <w:p>
            <w:r>
              <w:rPr>
                <w:rFonts w:ascii="Times New Roman" w:hAnsi="Times New Roman"/>
                <w:sz w:val="20"/>
              </w:rPr>
              <w:t>26,0 ± 0,9 %</w:t>
            </w:r>
          </w:p>
        </w:tc>
        <w:tc>
          <w:tcPr>
            <w:tcW w:type="dxa" w:w="3120"/>
          </w:tcPr>
          <w:p>
            <w:r>
              <w:rPr>
                <w:rFonts w:ascii="Times New Roman" w:hAnsi="Times New Roman"/>
                <w:sz w:val="20"/>
              </w:rPr>
              <w:t>1,0×</w:t>
            </w:r>
          </w:p>
        </w:tc>
      </w:tr>
      <w:tr>
        <w:tc>
          <w:tcPr>
            <w:tcW w:type="dxa" w:w="3120"/>
          </w:tcPr>
          <w:p>
            <w:r>
              <w:rPr>
                <w:rFonts w:ascii="Times New Roman" w:hAnsi="Times New Roman"/>
                <w:sz w:val="20"/>
              </w:rPr>
              <w:t>Uniforme costeiro (espaçamento regular)</w:t>
            </w:r>
          </w:p>
        </w:tc>
        <w:tc>
          <w:tcPr>
            <w:tcW w:type="dxa" w:w="3120"/>
          </w:tcPr>
          <w:p>
            <w:r>
              <w:rPr>
                <w:rFonts w:ascii="Times New Roman" w:hAnsi="Times New Roman"/>
                <w:sz w:val="20"/>
              </w:rPr>
              <w:t>32,5 %</w:t>
            </w:r>
          </w:p>
        </w:tc>
        <w:tc>
          <w:tcPr>
            <w:tcW w:type="dxa" w:w="3120"/>
          </w:tcPr>
          <w:p>
            <w:r>
              <w:rPr>
                <w:rFonts w:ascii="Times New Roman" w:hAnsi="Times New Roman"/>
                <w:sz w:val="20"/>
              </w:rPr>
              <w:t>1,65×</w:t>
            </w:r>
          </w:p>
        </w:tc>
      </w:tr>
    </w:tbl>
    <w:p>
      <w:pPr>
        <w:spacing w:line="480" w:lineRule="auto"/>
        <w:ind w:firstLine="720"/>
        <w:jc w:val="both"/>
      </w:pPr>
      <w:r>
        <w:rPr>
          <w:rFonts w:ascii="Times New Roman" w:hAnsi="Times New Roman"/>
          <w:sz w:val="24"/>
        </w:rPr>
        <w:t xml:space="preserve">O SAD concentra mais de </w:t>
      </w:r>
      <w:r>
        <w:rPr>
          <w:rFonts w:ascii="Times New Roman" w:hAnsi="Times New Roman"/>
          <w:b/>
          <w:sz w:val="24"/>
        </w:rPr>
        <w:t>duas vezes</w:t>
      </w:r>
      <w:r>
        <w:rPr>
          <w:rFonts w:ascii="Times New Roman" w:hAnsi="Times New Roman"/>
          <w:sz w:val="24"/>
        </w:rPr>
        <w:t xml:space="preserve"> o risco que uma patrulha aleatória ou uniforme com o mesmo esforço — evidência quantitativa de que a otimização por risco multi-ameaça real (AIS + IOM + apreensões) produz ganhos operacionais mensuráveis.</w:t>
      </w:r>
    </w:p>
    <w:p>
      <w:pPr>
        <w:pStyle w:val="Heading2"/>
      </w:pPr>
      <w:r>
        <w:t>7.4 Caixas de resposta ao objetivo</w:t>
      </w:r>
    </w:p>
    <w:p>
      <w:pPr>
        <w:spacing w:line="480" w:lineRule="auto"/>
        <w:ind w:firstLine="0"/>
        <w:jc w:val="center"/>
      </w:pPr>
      <w:r>
        <w:rPr>
          <w:rFonts w:ascii="Times New Roman" w:hAnsi="Times New Roman"/>
          <w:b/>
          <w:sz w:val="22"/>
        </w:rPr>
        <w:t>Tabela 8 -</w:t>
      </w:r>
      <w:r>
        <w:rPr>
          <w:rFonts w:ascii="Times New Roman" w:hAnsi="Times New Roman"/>
          <w:sz w:val="22"/>
        </w:rPr>
        <w:t xml:space="preserve"> </w:t>
      </w:r>
      <w:r>
        <w:rPr>
          <w:rFonts w:ascii="Times New Roman" w:hAnsi="Times New Roman"/>
          <w:i/>
          <w:sz w:val="22"/>
        </w:rPr>
        <w:t>Síntese de validação quantitativa e respostas operacionais.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Pr>
                <w:rFonts w:ascii="Times New Roman" w:hAnsi="Times New Roman"/>
                <w:b/>
                <w:sz w:val="20"/>
              </w:rPr>
              <w:t>Questão</w:t>
            </w:r>
          </w:p>
        </w:tc>
        <w:tc>
          <w:tcPr>
            <w:tcW w:type="dxa" w:w="3120"/>
          </w:tcPr>
          <w:p>
            <w:r>
              <w:rPr>
                <w:rFonts w:ascii="Times New Roman" w:hAnsi="Times New Roman"/>
                <w:b/>
                <w:sz w:val="20"/>
              </w:rPr>
              <w:t>Resposta do SAD</w:t>
            </w:r>
          </w:p>
        </w:tc>
        <w:tc>
          <w:tcPr>
            <w:tcW w:type="dxa" w:w="3120"/>
          </w:tcPr>
          <w:p>
            <w:r>
              <w:rPr>
                <w:rFonts w:ascii="Times New Roman" w:hAnsi="Times New Roman"/>
                <w:b/>
                <w:sz w:val="20"/>
              </w:rPr>
              <w:t>Evidência</w:t>
            </w:r>
          </w:p>
        </w:tc>
      </w:tr>
      <w:tr>
        <w:tc>
          <w:tcPr>
            <w:tcW w:type="dxa" w:w="3120"/>
          </w:tcPr>
          <w:p>
            <w:r>
              <w:rPr>
                <w:rFonts w:ascii="Times New Roman" w:hAnsi="Times New Roman"/>
                <w:b/>
                <w:sz w:val="20"/>
              </w:rPr>
              <w:t>Q1 — Onde patrulhar?</w:t>
            </w:r>
          </w:p>
        </w:tc>
        <w:tc>
          <w:tcPr>
            <w:tcW w:type="dxa" w:w="3120"/>
          </w:tcPr>
          <w:p>
            <w:r>
              <w:rPr>
                <w:rFonts w:ascii="Times New Roman" w:hAnsi="Times New Roman"/>
                <w:sz w:val="20"/>
              </w:rPr>
              <w:t>Sul/SW (Algarve), Lisboa–Setúbal, NW/Peniche; corredores AIS a O de Lisboa</w:t>
            </w:r>
          </w:p>
        </w:tc>
        <w:tc>
          <w:tcPr>
            <w:tcW w:type="dxa" w:w="3120"/>
          </w:tcPr>
          <w:p>
            <w:r>
              <w:rPr>
                <w:rFonts w:ascii="Times New Roman" w:hAnsi="Times New Roman"/>
                <w:sz w:val="20"/>
              </w:rPr>
              <w:t>Clustering + mapa AIS + estudo de caso (Tabelas 2, 7)</w:t>
            </w:r>
          </w:p>
        </w:tc>
      </w:tr>
      <w:tr>
        <w:tc>
          <w:tcPr>
            <w:tcW w:type="dxa" w:w="3120"/>
          </w:tcPr>
          <w:p>
            <w:r>
              <w:rPr>
                <w:rFonts w:ascii="Times New Roman" w:hAnsi="Times New Roman"/>
                <w:b/>
                <w:sz w:val="20"/>
              </w:rPr>
              <w:t>Q2 — Quantos drones (24 h)?</w:t>
            </w:r>
          </w:p>
        </w:tc>
        <w:tc>
          <w:tcPr>
            <w:tcW w:type="dxa" w:w="3120"/>
          </w:tcPr>
          <w:p>
            <w:r>
              <w:rPr>
                <w:rFonts w:ascii="Times New Roman" w:hAnsi="Times New Roman"/>
                <w:b/>
                <w:sz w:val="20"/>
              </w:rPr>
              <w:t>11 AR5</w:t>
            </w:r>
            <w:r>
              <w:rPr>
                <w:rFonts w:ascii="Times New Roman" w:hAnsi="Times New Roman"/>
                <w:sz w:val="20"/>
              </w:rPr>
              <w:t xml:space="preserve"> (4 simultâneos) área total; </w:t>
            </w:r>
            <w:r>
              <w:rPr>
                <w:rFonts w:ascii="Times New Roman" w:hAnsi="Times New Roman"/>
                <w:b/>
                <w:sz w:val="20"/>
              </w:rPr>
              <w:t>9 AR5</w:t>
            </w:r>
            <w:r>
              <w:rPr>
                <w:rFonts w:ascii="Times New Roman" w:hAnsi="Times New Roman"/>
                <w:sz w:val="20"/>
              </w:rPr>
              <w:t xml:space="preserve"> (3 simultâneos) faixa costeira</w:t>
            </w:r>
          </w:p>
        </w:tc>
        <w:tc>
          <w:tcPr>
            <w:tcW w:type="dxa" w:w="3120"/>
          </w:tcPr>
          <w:p>
            <w:r>
              <w:rPr>
                <w:rFonts w:ascii="Times New Roman" w:hAnsi="Times New Roman"/>
                <w:sz w:val="20"/>
              </w:rPr>
              <w:t>Dimensionamento persistente com 12 ou 5 bases (Secção 5.2; Tabela 6)</w:t>
            </w:r>
          </w:p>
        </w:tc>
      </w:tr>
      <w:tr>
        <w:tc>
          <w:tcPr>
            <w:tcW w:type="dxa" w:w="3120"/>
          </w:tcPr>
          <w:p>
            <w:r>
              <w:rPr>
                <w:rFonts w:ascii="Times New Roman" w:hAnsi="Times New Roman"/>
                <w:b/>
                <w:sz w:val="20"/>
              </w:rPr>
              <w:t>Q3 — Quais bases?</w:t>
            </w:r>
          </w:p>
        </w:tc>
        <w:tc>
          <w:tcPr>
            <w:tcW w:type="dxa" w:w="3120"/>
          </w:tcPr>
          <w:p>
            <w:r>
              <w:rPr>
                <w:rFonts w:ascii="Times New Roman" w:hAnsi="Times New Roman"/>
                <w:b/>
                <w:sz w:val="20"/>
              </w:rPr>
              <w:t>Porto (Sá Carneiro) + Portimão</w:t>
            </w:r>
            <w:r>
              <w:rPr>
                <w:rFonts w:ascii="Times New Roman" w:hAnsi="Times New Roman"/>
                <w:sz w:val="20"/>
              </w:rPr>
              <w:t xml:space="preserve"> — MCLP k=2, 100 % do risco</w:t>
            </w:r>
          </w:p>
        </w:tc>
        <w:tc>
          <w:tcPr>
            <w:tcW w:type="dxa" w:w="3120"/>
          </w:tcPr>
          <w:p>
            <w:r>
              <w:rPr>
                <w:rFonts w:ascii="Times New Roman" w:hAnsi="Times New Roman"/>
                <w:sz w:val="20"/>
              </w:rPr>
              <w:t>Localização mínima (Secção 5.3); frota com só estas bases: 13 AR5</w:t>
            </w:r>
          </w:p>
        </w:tc>
      </w:tr>
      <w:tr>
        <w:tc>
          <w:tcPr>
            <w:tcW w:type="dxa" w:w="3120"/>
          </w:tcPr>
          <w:p>
            <w:r>
              <w:rPr>
                <w:rFonts w:ascii="Times New Roman" w:hAnsi="Times New Roman"/>
                <w:b/>
                <w:sz w:val="20"/>
              </w:rPr>
              <w:t>Validação</w:t>
            </w:r>
          </w:p>
        </w:tc>
        <w:tc>
          <w:tcPr>
            <w:tcW w:type="dxa" w:w="3120"/>
          </w:tcPr>
          <w:p>
            <w:r>
              <w:rPr>
                <w:rFonts w:ascii="Times New Roman" w:hAnsi="Times New Roman"/>
                <w:sz w:val="20"/>
              </w:rPr>
              <w:t>Holdout 2023–24: 85.5 % acima limiar 0,5; imigração: 70 % desembarques em zona alto risco; patrulha SAD 2.06× vs aleatória</w:t>
            </w:r>
          </w:p>
        </w:tc>
        <w:tc>
          <w:tcPr>
            <w:tcW w:type="dxa" w:w="3120"/>
          </w:tcPr>
          <w:p>
            <w:r>
              <w:rPr>
                <w:rFonts w:ascii="Times New Roman" w:hAnsi="Times New Roman"/>
                <w:sz w:val="20"/>
              </w:rPr>
              <w:t xml:space="preserve">Figuras 21–24; </w:t>
            </w:r>
            <w:r>
              <w:rPr>
                <w:rFonts w:ascii="Consolas" w:hAnsi="Consolas"/>
                <w:sz w:val="18"/>
              </w:rPr>
              <w:t>validacao.json</w:t>
            </w:r>
          </w:p>
        </w:tc>
      </w:tr>
    </w:tbl>
    <w:p>
      <w:pPr>
        <w:pStyle w:val="Heading2"/>
      </w:pPr>
      <w:r>
        <w:t>7.5 Validação da camada de imigração (Portugal Continental)</w:t>
      </w:r>
    </w:p>
    <w:p>
      <w:pPr>
        <w:spacing w:line="480" w:lineRule="auto"/>
        <w:ind w:firstLine="720"/>
        <w:jc w:val="both"/>
      </w:pPr>
      <w:r>
        <w:rPr>
          <w:rFonts w:ascii="Times New Roman" w:hAnsi="Times New Roman"/>
          <w:sz w:val="24"/>
        </w:rPr>
        <w:t xml:space="preserve">Para a ameaça com menor densidade de registos públicos georreferenciados, aplicou-se um teste específico sobre os </w:t>
      </w:r>
      <w:r>
        <w:rPr>
          <w:rFonts w:ascii="Times New Roman" w:hAnsi="Times New Roman"/>
          <w:b/>
          <w:sz w:val="24"/>
        </w:rPr>
        <w:t>20 desembarques marítimos</w:t>
      </w:r>
      <w:r>
        <w:rPr>
          <w:rFonts w:ascii="Times New Roman" w:hAnsi="Times New Roman"/>
          <w:sz w:val="24"/>
        </w:rPr>
        <w:t xml:space="preserve"> do ficheiro </w:t>
      </w:r>
      <w:r>
        <w:rPr>
          <w:rFonts w:ascii="Consolas" w:hAnsi="Consolas"/>
          <w:sz w:val="22"/>
        </w:rPr>
        <w:t>imigracao_pt_costa.csv</w:t>
      </w:r>
      <w:r>
        <w:rPr>
          <w:rFonts w:ascii="Times New Roman" w:hAnsi="Times New Roman"/>
          <w:sz w:val="24"/>
        </w:rPr>
        <w:t xml:space="preserve">. </w:t>
      </w:r>
      <w:r>
        <w:rPr>
          <w:rFonts w:ascii="Times New Roman" w:hAnsi="Times New Roman"/>
          <w:b/>
          <w:sz w:val="24"/>
        </w:rPr>
        <w:t>70 %</w:t>
      </w:r>
      <w:r>
        <w:rPr>
          <w:rFonts w:ascii="Times New Roman" w:hAnsi="Times New Roman"/>
          <w:sz w:val="24"/>
        </w:rPr>
        <w:t xml:space="preserve"> dos eventos caem em células com intensidade de imigração ≥ 0,5 (risco médio nos eventos: </w:t>
      </w:r>
      <w:r>
        <w:rPr>
          <w:rFonts w:ascii="Times New Roman" w:hAnsi="Times New Roman"/>
          <w:b/>
          <w:sz w:val="24"/>
        </w:rPr>
        <w:t>0.68</w:t>
      </w:r>
      <w:r>
        <w:rPr>
          <w:rFonts w:ascii="Times New Roman" w:hAnsi="Times New Roman"/>
          <w:sz w:val="24"/>
        </w:rPr>
        <w:t xml:space="preserve">), confirmando que o KDE combinado (SEF/Frontex/CP + IOM mar) captura o corredor algarvio documentado. O âmbito é estritamente </w:t>
      </w:r>
      <w:r>
        <w:rPr>
          <w:rFonts w:ascii="Times New Roman" w:hAnsi="Times New Roman"/>
          <w:b/>
          <w:sz w:val="24"/>
        </w:rPr>
        <w:t>Portugal Continental</w:t>
      </w:r>
      <w:r>
        <w:rPr>
          <w:rFonts w:ascii="Times New Roman" w:hAnsi="Times New Roman"/>
          <w:sz w:val="24"/>
        </w:rPr>
        <w:t xml:space="preserve"> — Açores, Madeira e águas espanholas estão excluídos. Complementarmente, um </w:t>
      </w:r>
      <w:r>
        <w:rPr>
          <w:rFonts w:ascii="Times New Roman" w:hAnsi="Times New Roman"/>
          <w:b/>
          <w:sz w:val="24"/>
        </w:rPr>
        <w:t>holdout temporal</w:t>
      </w:r>
      <w:r>
        <w:rPr>
          <w:rFonts w:ascii="Times New Roman" w:hAnsi="Times New Roman"/>
          <w:sz w:val="24"/>
        </w:rPr>
        <w:t xml:space="preserve"> (treino ≤ 2022, teste n = 8) atribui </w:t>
      </w:r>
      <w:r>
        <w:rPr>
          <w:rFonts w:ascii="Times New Roman" w:hAnsi="Times New Roman"/>
          <w:b/>
          <w:sz w:val="24"/>
        </w:rPr>
        <w:t>100 %</w:t>
      </w:r>
      <w:r>
        <w:rPr>
          <w:rFonts w:ascii="Times New Roman" w:hAnsi="Times New Roman"/>
          <w:sz w:val="24"/>
        </w:rPr>
        <w:t xml:space="preserve"> dos desembarques 2023–2024 ao terço superior do campo KDE treinado (limiar 0.01), reduzindo circularidade.</w:t>
      </w:r>
    </w:p>
    <w:p>
      <w:pPr>
        <w:pStyle w:val="Heading2"/>
      </w:pPr>
      <w:r>
        <w:t>7.6 Leitura crítica das métricas</w:t>
      </w:r>
    </w:p>
    <w:p>
      <w:pPr>
        <w:spacing w:line="480" w:lineRule="auto"/>
        <w:ind w:firstLine="720"/>
        <w:jc w:val="both"/>
      </w:pPr>
      <w:r>
        <w:rPr>
          <w:rFonts w:ascii="Times New Roman" w:hAnsi="Times New Roman"/>
          <w:sz w:val="24"/>
        </w:rPr>
        <w:t xml:space="preserve">Esta subsecção explicita </w:t>
      </w:r>
      <w:r>
        <w:rPr>
          <w:rFonts w:ascii="Times New Roman" w:hAnsi="Times New Roman"/>
          <w:b/>
          <w:sz w:val="24"/>
        </w:rPr>
        <w:t>o que cada número prova</w:t>
      </w:r>
      <w:r>
        <w:rPr>
          <w:rFonts w:ascii="Times New Roman" w:hAnsi="Times New Roman"/>
          <w:sz w:val="24"/>
        </w:rPr>
        <w:t xml:space="preserve"> e </w:t>
      </w:r>
      <w:r>
        <w:rPr>
          <w:rFonts w:ascii="Times New Roman" w:hAnsi="Times New Roman"/>
          <w:b/>
          <w:sz w:val="24"/>
        </w:rPr>
        <w:t>onde termina a evidência</w:t>
      </w:r>
      <w:r>
        <w:rPr>
          <w:rFonts w:ascii="Times New Roman" w:hAnsi="Times New Roman"/>
          <w:sz w:val="24"/>
        </w:rPr>
        <w:t>, em linha com a exigência de rigor de um SAD de mestrado.</w:t>
      </w:r>
    </w:p>
    <w:p>
      <w:pPr>
        <w:spacing w:line="480" w:lineRule="auto"/>
        <w:ind w:firstLine="720"/>
        <w:jc w:val="both"/>
      </w:pPr>
      <w:r>
        <w:rPr>
          <w:rFonts w:ascii="Times New Roman" w:hAnsi="Times New Roman"/>
          <w:b/>
          <w:sz w:val="24"/>
        </w:rPr>
        <w:t>Dois mapas de risco distintos.</w:t>
      </w:r>
      <w:r>
        <w:rPr>
          <w:rFonts w:ascii="Times New Roman" w:hAnsi="Times New Roman"/>
          <w:sz w:val="24"/>
        </w:rPr>
        <w:t xml:space="preserve"> O mapa </w:t>
      </w:r>
      <w:r>
        <w:rPr>
          <w:rFonts w:ascii="Times New Roman" w:hAnsi="Times New Roman"/>
          <w:b/>
          <w:sz w:val="24"/>
        </w:rPr>
        <w:t>operacional</w:t>
      </w:r>
      <w:r>
        <w:rPr>
          <w:rFonts w:ascii="Times New Roman" w:hAnsi="Times New Roman"/>
          <w:sz w:val="24"/>
        </w:rPr>
        <w:t xml:space="preserve"> classifica </w:t>
      </w:r>
      <w:r>
        <w:rPr>
          <w:rFonts w:ascii="Times New Roman" w:hAnsi="Times New Roman"/>
          <w:b/>
          <w:sz w:val="24"/>
        </w:rPr>
        <w:t>300</w:t>
      </w:r>
      <w:r>
        <w:rPr>
          <w:rFonts w:ascii="Times New Roman" w:hAnsi="Times New Roman"/>
          <w:sz w:val="24"/>
        </w:rPr>
        <w:t xml:space="preserve"> células como alto risco (limiar 0,5; todas as fontes). O mapa de </w:t>
      </w:r>
      <w:r>
        <w:rPr>
          <w:rFonts w:ascii="Times New Roman" w:hAnsi="Times New Roman"/>
          <w:b/>
          <w:sz w:val="24"/>
        </w:rPr>
        <w:t>treino do backtest</w:t>
      </w:r>
      <w:r>
        <w:rPr>
          <w:rFonts w:ascii="Times New Roman" w:hAnsi="Times New Roman"/>
          <w:sz w:val="24"/>
        </w:rPr>
        <w:t xml:space="preserve"> (droga temporal ≤ 2022 + camadas estáticas) regista </w:t>
      </w:r>
      <w:r>
        <w:rPr>
          <w:rFonts w:ascii="Times New Roman" w:hAnsi="Times New Roman"/>
          <w:b/>
          <w:sz w:val="24"/>
        </w:rPr>
        <w:t>423</w:t>
      </w:r>
      <w:r>
        <w:rPr>
          <w:rFonts w:ascii="Times New Roman" w:hAnsi="Times New Roman"/>
          <w:sz w:val="24"/>
        </w:rPr>
        <w:t xml:space="preserve"> células ≥ 0,5 — a diferença reflecte o reforço imigração/EMODnet no produto final, não um erro de pipeline.</w:t>
      </w:r>
    </w:p>
    <w:p>
      <w:pPr>
        <w:spacing w:line="480" w:lineRule="auto"/>
        <w:ind w:firstLine="720"/>
        <w:jc w:val="both"/>
      </w:pPr>
      <w:r>
        <w:rPr>
          <w:rFonts w:ascii="Times New Roman" w:hAnsi="Times New Roman"/>
          <w:b/>
          <w:sz w:val="24"/>
        </w:rPr>
        <w:t>Ganho ~2.06× na patrulha.</w:t>
      </w:r>
      <w:r>
        <w:rPr>
          <w:rFonts w:ascii="Times New Roman" w:hAnsi="Times New Roman"/>
          <w:sz w:val="24"/>
        </w:rPr>
        <w:t xml:space="preserve"> Com </w:t>
      </w:r>
      <w:r>
        <w:rPr>
          <w:rFonts w:ascii="Times New Roman" w:hAnsi="Times New Roman"/>
          <w:b/>
          <w:sz w:val="24"/>
        </w:rPr>
        <w:t>300</w:t>
      </w:r>
      <w:r>
        <w:rPr>
          <w:rFonts w:ascii="Times New Roman" w:hAnsi="Times New Roman"/>
          <w:sz w:val="24"/>
        </w:rPr>
        <w:t xml:space="preserve"> células patrulhadas (25.9 % da grelha), o SAD captura </w:t>
      </w:r>
      <w:r>
        <w:rPr>
          <w:rFonts w:ascii="Times New Roman" w:hAnsi="Times New Roman"/>
          <w:b/>
          <w:sz w:val="24"/>
        </w:rPr>
        <w:t>53.6 %</w:t>
      </w:r>
      <w:r>
        <w:rPr>
          <w:rFonts w:ascii="Times New Roman" w:hAnsi="Times New Roman"/>
          <w:sz w:val="24"/>
        </w:rPr>
        <w:t xml:space="preserve"> da massa total de risco frente a </w:t>
      </w:r>
      <w:r>
        <w:rPr>
          <w:rFonts w:ascii="Times New Roman" w:hAnsi="Times New Roman"/>
          <w:b/>
          <w:sz w:val="24"/>
        </w:rPr>
        <w:t>26.0 %</w:t>
      </w:r>
      <w:r>
        <w:rPr>
          <w:rFonts w:ascii="Times New Roman" w:hAnsi="Times New Roman"/>
          <w:sz w:val="24"/>
        </w:rPr>
        <w:t xml:space="preserve"> de uma patrulha aleatória com o mesmo esforço. O índice de Gini (</w:t>
      </w:r>
      <w:r>
        <w:rPr>
          <w:rFonts w:ascii="Times New Roman" w:hAnsi="Times New Roman"/>
          <w:b/>
          <w:sz w:val="24"/>
        </w:rPr>
        <w:t>0.400</w:t>
      </w:r>
      <w:r>
        <w:rPr>
          <w:rFonts w:ascii="Times New Roman" w:hAnsi="Times New Roman"/>
          <w:sz w:val="24"/>
        </w:rPr>
        <w:t xml:space="preserve">) confirma concentração espacial: o ganho mede sobretudo </w:t>
      </w:r>
      <w:r>
        <w:rPr>
          <w:rFonts w:ascii="Times New Roman" w:hAnsi="Times New Roman"/>
          <w:b/>
          <w:sz w:val="24"/>
        </w:rPr>
        <w:t>priorização</w:t>
      </w:r>
      <w:r>
        <w:rPr>
          <w:rFonts w:ascii="Times New Roman" w:hAnsi="Times New Roman"/>
          <w:sz w:val="24"/>
        </w:rPr>
        <w:t xml:space="preserve"> de risco, não deteção garantida de eventos futuros.</w:t>
      </w:r>
    </w:p>
    <w:p>
      <w:pPr>
        <w:spacing w:line="480" w:lineRule="auto"/>
        <w:ind w:firstLine="720"/>
        <w:jc w:val="both"/>
      </w:pPr>
      <w:r>
        <w:rPr>
          <w:rFonts w:ascii="Times New Roman" w:hAnsi="Times New Roman"/>
          <w:b/>
          <w:sz w:val="24"/>
        </w:rPr>
        <w:t>Contraste droga isolada vs SAD completo.</w:t>
      </w:r>
      <w:r>
        <w:rPr>
          <w:rFonts w:ascii="Times New Roman" w:hAnsi="Times New Roman"/>
          <w:sz w:val="24"/>
        </w:rPr>
        <w:t xml:space="preserve"> O backtest usando </w:t>
      </w:r>
      <w:r>
        <w:rPr>
          <w:rFonts w:ascii="Times New Roman" w:hAnsi="Times New Roman"/>
          <w:b/>
          <w:sz w:val="24"/>
        </w:rPr>
        <w:t>apenas</w:t>
      </w:r>
      <w:r>
        <w:rPr>
          <w:rFonts w:ascii="Times New Roman" w:hAnsi="Times New Roman"/>
          <w:sz w:val="24"/>
        </w:rPr>
        <w:t xml:space="preserve"> o campo de droga temporal (top 20 % = 232 células) atinge </w:t>
      </w:r>
      <w:r>
        <w:rPr>
          <w:rFonts w:ascii="Times New Roman" w:hAnsi="Times New Roman"/>
          <w:b/>
          <w:sz w:val="24"/>
        </w:rPr>
        <w:t>0.0 %</w:t>
      </w:r>
      <w:r>
        <w:rPr>
          <w:rFonts w:ascii="Times New Roman" w:hAnsi="Times New Roman"/>
          <w:sz w:val="24"/>
        </w:rPr>
        <w:t xml:space="preserve"> no holdout (baseline 20.3 %), enquanto o mapa multi-ameaça atinge </w:t>
      </w:r>
      <w:r>
        <w:rPr>
          <w:rFonts w:ascii="Times New Roman" w:hAnsi="Times New Roman"/>
          <w:b/>
          <w:sz w:val="24"/>
        </w:rPr>
        <w:t>85.5 %</w:t>
      </w:r>
      <w:r>
        <w:rPr>
          <w:rFonts w:ascii="Times New Roman" w:hAnsi="Times New Roman"/>
          <w:sz w:val="24"/>
        </w:rPr>
        <w:t xml:space="preserve">. Isto demonstra que a integração de pesca/poluição/imigração </w:t>
      </w:r>
      <w:r>
        <w:rPr>
          <w:rFonts w:ascii="Times New Roman" w:hAnsi="Times New Roman"/>
          <w:b/>
          <w:sz w:val="24"/>
        </w:rPr>
        <w:t>não é decorativa</w:t>
      </w:r>
      <w:r>
        <w:rPr>
          <w:rFonts w:ascii="Times New Roman" w:hAnsi="Times New Roman"/>
          <w:sz w:val="24"/>
        </w:rPr>
        <w:t xml:space="preserve"> — é o que permite ao SAD priorizar zonas onde as apreensões recentes efetivamente ocorrem.</w:t>
      </w:r>
    </w:p>
    <w:p>
      <w:pPr>
        <w:spacing w:line="480" w:lineRule="auto"/>
        <w:ind w:firstLine="720"/>
        <w:jc w:val="both"/>
      </w:pPr>
      <w:r>
        <w:rPr>
          <w:rFonts w:ascii="Times New Roman" w:hAnsi="Times New Roman"/>
          <w:b/>
          <w:sz w:val="24"/>
        </w:rPr>
        <w:t>Sensibilidade ao limiar (Figura 25).</w:t>
      </w:r>
      <w:r>
        <w:rPr>
          <w:rFonts w:ascii="Times New Roman" w:hAnsi="Times New Roman"/>
          <w:sz w:val="24"/>
        </w:rPr>
        <w:t xml:space="preserve"> Variar o limiar a 0,45 / 0,50 / 0,55 altera o n.º de células alto risco de 328 / 300 / 256 e o ganho SAD para 2,01× / </w:t>
      </w:r>
      <w:r>
        <w:rPr>
          <w:rFonts w:ascii="Times New Roman" w:hAnsi="Times New Roman"/>
          <w:b/>
          <w:sz w:val="24"/>
        </w:rPr>
        <w:t>2,07×</w:t>
      </w:r>
      <w:r>
        <w:rPr>
          <w:rFonts w:ascii="Times New Roman" w:hAnsi="Times New Roman"/>
          <w:sz w:val="24"/>
        </w:rPr>
        <w:t xml:space="preserve"> / 2,15× — a ordem de grandeza da frota (9–11 AR5) e o par MCLP Porto + Portimão mantêm-se.</w:t>
      </w:r>
    </w:p>
    <w:p>
      <w:pPr>
        <w:spacing w:line="480" w:lineRule="auto"/>
        <w:ind w:firstLine="0"/>
        <w:jc w:val="center"/>
      </w:pPr>
      <w:r>
        <w:rPr>
          <w:rFonts w:ascii="Times New Roman" w:hAnsi="Times New Roman"/>
          <w:b/>
          <w:sz w:val="22"/>
        </w:rPr>
        <w:t>Tabela 9 -</w:t>
      </w:r>
      <w:r>
        <w:rPr>
          <w:rFonts w:ascii="Times New Roman" w:hAnsi="Times New Roman"/>
          <w:sz w:val="22"/>
        </w:rPr>
        <w:t xml:space="preserve"> </w:t>
      </w:r>
      <w:r>
        <w:rPr>
          <w:rFonts w:ascii="Times New Roman" w:hAnsi="Times New Roman"/>
          <w:i/>
          <w:sz w:val="22"/>
        </w:rPr>
        <w:t>Síntese da leitura crítica.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Métrica</w:t>
            </w:r>
          </w:p>
        </w:tc>
        <w:tc>
          <w:tcPr>
            <w:tcW w:type="dxa" w:w="2340"/>
          </w:tcPr>
          <w:p>
            <w:r>
              <w:rPr>
                <w:rFonts w:ascii="Times New Roman" w:hAnsi="Times New Roman"/>
                <w:b/>
                <w:sz w:val="20"/>
              </w:rPr>
              <w:t>Valor</w:t>
            </w:r>
          </w:p>
        </w:tc>
        <w:tc>
          <w:tcPr>
            <w:tcW w:type="dxa" w:w="2340"/>
          </w:tcPr>
          <w:p>
            <w:r>
              <w:rPr>
                <w:rFonts w:ascii="Times New Roman" w:hAnsi="Times New Roman"/>
                <w:b/>
                <w:sz w:val="20"/>
              </w:rPr>
              <w:t>O que prova</w:t>
            </w:r>
          </w:p>
        </w:tc>
        <w:tc>
          <w:tcPr>
            <w:tcW w:type="dxa" w:w="2340"/>
          </w:tcPr>
          <w:p>
            <w:r>
              <w:rPr>
                <w:rFonts w:ascii="Times New Roman" w:hAnsi="Times New Roman"/>
                <w:b/>
                <w:sz w:val="20"/>
              </w:rPr>
              <w:t>Limite</w:t>
            </w:r>
          </w:p>
        </w:tc>
      </w:tr>
      <w:tr>
        <w:tc>
          <w:tcPr>
            <w:tcW w:type="dxa" w:w="2340"/>
          </w:tcPr>
          <w:p>
            <w:r>
              <w:rPr>
                <w:rFonts w:ascii="Times New Roman" w:hAnsi="Times New Roman"/>
                <w:sz w:val="20"/>
              </w:rPr>
              <w:t>Backtest multi-ameaça</w:t>
            </w:r>
          </w:p>
        </w:tc>
        <w:tc>
          <w:tcPr>
            <w:tcW w:type="dxa" w:w="2340"/>
          </w:tcPr>
          <w:p>
            <w:r>
              <w:rPr>
                <w:rFonts w:ascii="Times New Roman" w:hAnsi="Times New Roman"/>
                <w:sz w:val="20"/>
              </w:rPr>
              <w:t>85.5 % (n=55)</w:t>
            </w:r>
          </w:p>
        </w:tc>
        <w:tc>
          <w:tcPr>
            <w:tcW w:type="dxa" w:w="2340"/>
          </w:tcPr>
          <w:p>
            <w:r>
              <w:rPr>
                <w:rFonts w:ascii="Times New Roman" w:hAnsi="Times New Roman"/>
                <w:sz w:val="20"/>
              </w:rPr>
              <w:t>Apreensões recentes em zonas já prioritárias</w:t>
            </w:r>
          </w:p>
        </w:tc>
        <w:tc>
          <w:tcPr>
            <w:tcW w:type="dxa" w:w="2340"/>
          </w:tcPr>
          <w:p>
            <w:r>
              <w:rPr>
                <w:rFonts w:ascii="Times New Roman" w:hAnsi="Times New Roman"/>
                <w:sz w:val="20"/>
              </w:rPr>
              <w:t>Geocódigo administrativo</w:t>
            </w:r>
          </w:p>
        </w:tc>
      </w:tr>
      <w:tr>
        <w:tc>
          <w:tcPr>
            <w:tcW w:type="dxa" w:w="2340"/>
          </w:tcPr>
          <w:p>
            <w:r>
              <w:rPr>
                <w:rFonts w:ascii="Times New Roman" w:hAnsi="Times New Roman"/>
                <w:sz w:val="20"/>
              </w:rPr>
              <w:t>Backtest só droga</w:t>
            </w:r>
          </w:p>
        </w:tc>
        <w:tc>
          <w:tcPr>
            <w:tcW w:type="dxa" w:w="2340"/>
          </w:tcPr>
          <w:p>
            <w:r>
              <w:rPr>
                <w:rFonts w:ascii="Times New Roman" w:hAnsi="Times New Roman"/>
                <w:sz w:val="20"/>
              </w:rPr>
              <w:t>0.0 % (top 20 %)</w:t>
            </w:r>
          </w:p>
        </w:tc>
        <w:tc>
          <w:tcPr>
            <w:tcW w:type="dxa" w:w="2340"/>
          </w:tcPr>
          <w:p>
            <w:r>
              <w:rPr>
                <w:rFonts w:ascii="Times New Roman" w:hAnsi="Times New Roman"/>
                <w:sz w:val="20"/>
              </w:rPr>
              <w:t>Camada isolada insuficiente</w:t>
            </w:r>
          </w:p>
        </w:tc>
        <w:tc>
          <w:tcPr>
            <w:tcW w:type="dxa" w:w="2340"/>
          </w:tcPr>
          <w:p>
            <w:r>
              <w:rPr>
                <w:rFonts w:ascii="Times New Roman" w:hAnsi="Times New Roman"/>
                <w:sz w:val="20"/>
              </w:rPr>
              <w:t>Reforça papel EMODnet/imigração</w:t>
            </w:r>
          </w:p>
        </w:tc>
      </w:tr>
      <w:tr>
        <w:tc>
          <w:tcPr>
            <w:tcW w:type="dxa" w:w="2340"/>
          </w:tcPr>
          <w:p>
            <w:r>
              <w:rPr>
                <w:rFonts w:ascii="Times New Roman" w:hAnsi="Times New Roman"/>
                <w:sz w:val="20"/>
              </w:rPr>
              <w:t>Ganho patrulha</w:t>
            </w:r>
          </w:p>
        </w:tc>
        <w:tc>
          <w:tcPr>
            <w:tcW w:type="dxa" w:w="2340"/>
          </w:tcPr>
          <w:p>
            <w:r>
              <w:rPr>
                <w:rFonts w:ascii="Times New Roman" w:hAnsi="Times New Roman"/>
                <w:sz w:val="20"/>
              </w:rPr>
              <w:t>2.06× (IC95 1,93–2,22)</w:t>
            </w:r>
          </w:p>
        </w:tc>
        <w:tc>
          <w:tcPr>
            <w:tcW w:type="dxa" w:w="2340"/>
          </w:tcPr>
          <w:p>
            <w:r>
              <w:rPr>
                <w:rFonts w:ascii="Times New Roman" w:hAnsi="Times New Roman"/>
                <w:sz w:val="20"/>
              </w:rPr>
              <w:t>Priorização de massa de risco</w:t>
            </w:r>
          </w:p>
        </w:tc>
        <w:tc>
          <w:tcPr>
            <w:tcW w:type="dxa" w:w="2340"/>
          </w:tcPr>
          <w:p>
            <w:r>
              <w:rPr>
                <w:rFonts w:ascii="Times New Roman" w:hAnsi="Times New Roman"/>
                <w:sz w:val="20"/>
              </w:rPr>
              <w:t>Esforço fixo em N células</w:t>
            </w:r>
          </w:p>
        </w:tc>
      </w:tr>
      <w:tr>
        <w:tc>
          <w:tcPr>
            <w:tcW w:type="dxa" w:w="2340"/>
          </w:tcPr>
          <w:p>
            <w:r>
              <w:rPr>
                <w:rFonts w:ascii="Times New Roman" w:hAnsi="Times New Roman"/>
                <w:sz w:val="20"/>
              </w:rPr>
              <w:t>Imigração (total)</w:t>
            </w:r>
          </w:p>
        </w:tc>
        <w:tc>
          <w:tcPr>
            <w:tcW w:type="dxa" w:w="2340"/>
          </w:tcPr>
          <w:p>
            <w:r>
              <w:rPr>
                <w:rFonts w:ascii="Times New Roman" w:hAnsi="Times New Roman"/>
                <w:sz w:val="20"/>
              </w:rPr>
              <w:t>70 % em zona ≥ 0,5</w:t>
            </w:r>
          </w:p>
        </w:tc>
        <w:tc>
          <w:tcPr>
            <w:tcW w:type="dxa" w:w="2340"/>
          </w:tcPr>
          <w:p>
            <w:r>
              <w:rPr>
                <w:rFonts w:ascii="Times New Roman" w:hAnsi="Times New Roman"/>
                <w:sz w:val="20"/>
              </w:rPr>
              <w:t>Coerência regional Algarve</w:t>
            </w:r>
          </w:p>
        </w:tc>
        <w:tc>
          <w:tcPr>
            <w:tcW w:type="dxa" w:w="2340"/>
          </w:tcPr>
          <w:p>
            <w:r>
              <w:rPr>
                <w:rFonts w:ascii="Times New Roman" w:hAnsi="Times New Roman"/>
                <w:sz w:val="20"/>
              </w:rPr>
              <w:t>n = 20 eventos</w:t>
            </w:r>
          </w:p>
        </w:tc>
      </w:tr>
      <w:tr>
        <w:tc>
          <w:tcPr>
            <w:tcW w:type="dxa" w:w="2340"/>
          </w:tcPr>
          <w:p>
            <w:r>
              <w:rPr>
                <w:rFonts w:ascii="Times New Roman" w:hAnsi="Times New Roman"/>
                <w:sz w:val="20"/>
              </w:rPr>
              <w:t>Imigração holdout</w:t>
            </w:r>
          </w:p>
        </w:tc>
        <w:tc>
          <w:tcPr>
            <w:tcW w:type="dxa" w:w="2340"/>
          </w:tcPr>
          <w:p>
            <w:r>
              <w:rPr>
                <w:rFonts w:ascii="Times New Roman" w:hAnsi="Times New Roman"/>
                <w:sz w:val="20"/>
              </w:rPr>
              <w:t>100 % (teste n=8)</w:t>
            </w:r>
          </w:p>
        </w:tc>
        <w:tc>
          <w:tcPr>
            <w:tcW w:type="dxa" w:w="2340"/>
          </w:tcPr>
          <w:p>
            <w:r>
              <w:rPr>
                <w:rFonts w:ascii="Times New Roman" w:hAnsi="Times New Roman"/>
                <w:sz w:val="20"/>
              </w:rPr>
              <w:t>KDE treinado sem eventos futuros</w:t>
            </w:r>
          </w:p>
        </w:tc>
        <w:tc>
          <w:tcPr>
            <w:tcW w:type="dxa" w:w="2340"/>
          </w:tcPr>
          <w:p>
            <w:r>
              <w:rPr>
                <w:rFonts w:ascii="Times New Roman" w:hAnsi="Times New Roman"/>
                <w:sz w:val="20"/>
              </w:rPr>
              <w:t>Amostra pequena</w:t>
            </w:r>
          </w:p>
        </w:tc>
      </w:tr>
    </w:tbl>
    <w:p>
      <w:pPr>
        <w:spacing w:line="480" w:lineRule="auto"/>
        <w:ind w:firstLine="720"/>
        <w:jc w:val="both"/>
      </w:pPr>
      <w:r>
        <w:rPr>
          <w:rFonts w:ascii="Times New Roman" w:hAnsi="Times New Roman"/>
          <w:sz w:val="24"/>
        </w:rPr>
        <w:t xml:space="preserve">Em síntese: os valores são </w:t>
      </w:r>
      <w:r>
        <w:rPr>
          <w:rFonts w:ascii="Times New Roman" w:hAnsi="Times New Roman"/>
          <w:b/>
          <w:sz w:val="24"/>
        </w:rPr>
        <w:t>coerentes e defensáveis</w:t>
      </w:r>
      <w:r>
        <w:rPr>
          <w:rFonts w:ascii="Times New Roman" w:hAnsi="Times New Roman"/>
          <w:sz w:val="24"/>
        </w:rPr>
        <w:t>; o contributo do SAD é tornar explícitos os compromissos entre concentração de risco, esforço de patrulha e incerteza das fontes.</w:t>
      </w:r>
    </w:p>
    <w:p>
      <w:r>
        <w:br w:type="page"/>
      </w:r>
    </w:p>
    <w:p>
      <w:pPr>
        <w:pStyle w:val="Heading1"/>
      </w:pPr>
      <w:r>
        <w:t>8. Discussão, limitações e recomendação</w:t>
      </w:r>
    </w:p>
    <w:p>
      <w:pPr>
        <w:pStyle w:val="Heading2"/>
      </w:pPr>
      <w:r>
        <w:t>8.1 Discussão das questões de investigação</w:t>
      </w:r>
    </w:p>
    <w:p>
      <w:pPr>
        <w:spacing w:line="480" w:lineRule="auto"/>
        <w:ind w:firstLine="720"/>
        <w:jc w:val="both"/>
      </w:pPr>
      <w:r>
        <w:rPr>
          <w:rFonts w:ascii="Times New Roman" w:hAnsi="Times New Roman"/>
          <w:b/>
          <w:sz w:val="24"/>
        </w:rPr>
        <w:t>Q1 — Onde?</w:t>
      </w:r>
      <w:r>
        <w:rPr>
          <w:rFonts w:ascii="Times New Roman" w:hAnsi="Times New Roman"/>
          <w:sz w:val="24"/>
        </w:rPr>
        <w:t xml:space="preserve"> Índice de risco e </w:t>
      </w:r>
      <w:r>
        <w:rPr>
          <w:rFonts w:ascii="Times New Roman" w:hAnsi="Times New Roman"/>
          <w:i/>
          <w:sz w:val="24"/>
        </w:rPr>
        <w:t>clustering</w:t>
      </w:r>
      <w:r>
        <w:rPr>
          <w:rFonts w:ascii="Times New Roman" w:hAnsi="Times New Roman"/>
          <w:sz w:val="24"/>
        </w:rPr>
        <w:t xml:space="preserve"> convergem para Algarve e eixo Setúbal–Lisboa (correlação ponderado/difuso 0,76).</w:t>
      </w:r>
    </w:p>
    <w:p>
      <w:pPr>
        <w:spacing w:line="480" w:lineRule="auto"/>
        <w:ind w:firstLine="720"/>
        <w:jc w:val="both"/>
      </w:pPr>
      <w:r>
        <w:rPr>
          <w:rFonts w:ascii="Times New Roman" w:hAnsi="Times New Roman"/>
          <w:b/>
          <w:sz w:val="24"/>
        </w:rPr>
        <w:t>Q2 — Previsão marítima?</w:t>
      </w:r>
      <w:r>
        <w:rPr>
          <w:rFonts w:ascii="Times New Roman" w:hAnsi="Times New Roman"/>
          <w:sz w:val="24"/>
        </w:rPr>
        <w:t xml:space="preserve"> O MLP com SMOTE atinge ROC-AUC 0,93 ± 0,02; PR-AUC privilegia a avaliação em classe rara.</w:t>
      </w:r>
    </w:p>
    <w:p>
      <w:pPr>
        <w:spacing w:line="480" w:lineRule="auto"/>
        <w:ind w:firstLine="720"/>
        <w:jc w:val="both"/>
      </w:pPr>
      <w:r>
        <w:rPr>
          <w:rFonts w:ascii="Times New Roman" w:hAnsi="Times New Roman"/>
          <w:b/>
          <w:sz w:val="24"/>
        </w:rPr>
        <w:t>Q3 — Alcance ou sensor?</w:t>
      </w:r>
      <w:r>
        <w:rPr>
          <w:rFonts w:ascii="Times New Roman" w:hAnsi="Times New Roman"/>
          <w:sz w:val="24"/>
        </w:rPr>
        <w:t xml:space="preserve"> Com raio fixo 90 km cobrem-se 66,8 % do risco; com autonomia AR5 o constrangimento passa a ser </w:t>
      </w:r>
      <w:r>
        <w:rPr>
          <w:rFonts w:ascii="Times New Roman" w:hAnsi="Times New Roman"/>
          <w:b/>
          <w:sz w:val="24"/>
        </w:rPr>
        <w:t>revisita sensorial</w:t>
      </w:r>
      <w:r>
        <w:rPr>
          <w:rFonts w:ascii="Times New Roman" w:hAnsi="Times New Roman"/>
          <w:sz w:val="24"/>
        </w:rPr>
        <w:t xml:space="preserve"> (Secção 5).</w:t>
      </w:r>
    </w:p>
    <w:p>
      <w:pPr>
        <w:spacing w:line="480" w:lineRule="auto"/>
        <w:ind w:firstLine="720"/>
        <w:jc w:val="both"/>
      </w:pPr>
      <w:r>
        <w:rPr>
          <w:rFonts w:ascii="Times New Roman" w:hAnsi="Times New Roman"/>
          <w:b/>
          <w:sz w:val="24"/>
        </w:rPr>
        <w:t>Q4 — Frota e bases?</w:t>
      </w:r>
      <w:r>
        <w:rPr>
          <w:rFonts w:ascii="Times New Roman" w:hAnsi="Times New Roman"/>
          <w:sz w:val="24"/>
        </w:rPr>
        <w:t xml:space="preserve"> </w:t>
      </w:r>
      <w:r>
        <w:rPr>
          <w:rFonts w:ascii="Times New Roman" w:hAnsi="Times New Roman"/>
          <w:b/>
          <w:sz w:val="24"/>
        </w:rPr>
        <w:t>Porto + Portimão</w:t>
      </w:r>
      <w:r>
        <w:rPr>
          <w:rFonts w:ascii="Times New Roman" w:hAnsi="Times New Roman"/>
          <w:sz w:val="24"/>
        </w:rPr>
        <w:t xml:space="preserve"> respondem ao MCLP (cobertura mínima); </w:t>
      </w:r>
      <w:r>
        <w:rPr>
          <w:rFonts w:ascii="Times New Roman" w:hAnsi="Times New Roman"/>
          <w:b/>
          <w:sz w:val="24"/>
        </w:rPr>
        <w:t>9–11 AR5</w:t>
      </w:r>
      <w:r>
        <w:rPr>
          <w:rFonts w:ascii="Times New Roman" w:hAnsi="Times New Roman"/>
          <w:sz w:val="24"/>
        </w:rPr>
        <w:t xml:space="preserve"> para 24 h assumem rede costeira distribuída (Tabela 6); índice difuso como majorante prudencial (~27 AR5).</w:t>
      </w:r>
    </w:p>
    <w:p>
      <w:pPr>
        <w:spacing w:line="480" w:lineRule="auto"/>
        <w:ind w:firstLine="720"/>
        <w:jc w:val="both"/>
      </w:pPr>
      <w:r>
        <w:rPr>
          <w:rFonts w:ascii="Times New Roman" w:hAnsi="Times New Roman"/>
          <w:sz w:val="24"/>
        </w:rPr>
        <w:t>O SAD quantifica o compromisso entre cobertura, custo e risco residual sem impor a postura de comando.</w:t>
      </w:r>
    </w:p>
    <w:p>
      <w:pPr>
        <w:pStyle w:val="Heading2"/>
      </w:pPr>
      <w:r>
        <w:t>8.2 Limitações e ameaças à validade</w:t>
      </w:r>
    </w:p>
    <w:p>
      <w:pPr>
        <w:spacing w:line="480" w:lineRule="auto"/>
        <w:ind w:firstLine="720"/>
        <w:jc w:val="both"/>
      </w:pPr>
      <w:r>
        <w:rPr>
          <w:rFonts w:ascii="Times New Roman" w:hAnsi="Times New Roman"/>
          <w:sz w:val="24"/>
        </w:rPr>
        <w:t xml:space="preserve">- </w:t>
      </w:r>
      <w:r>
        <w:rPr>
          <w:rFonts w:ascii="Times New Roman" w:hAnsi="Times New Roman"/>
          <w:b/>
          <w:sz w:val="24"/>
        </w:rPr>
        <w:t>Fontes *proxy*:</w:t>
      </w:r>
      <w:r>
        <w:rPr>
          <w:rFonts w:ascii="Times New Roman" w:hAnsi="Times New Roman"/>
          <w:sz w:val="24"/>
        </w:rPr>
        <w:t xml:space="preserve"> EMODnet mede atividade AIS, não ilegalidade directa; imigração assenta em 20 desembarques PT + IOM filtrado. - </w:t>
      </w:r>
      <w:r>
        <w:rPr>
          <w:rFonts w:ascii="Times New Roman" w:hAnsi="Times New Roman"/>
          <w:b/>
          <w:sz w:val="24"/>
        </w:rPr>
        <w:t>Geocodificação administrativa:</w:t>
      </w:r>
      <w:r>
        <w:rPr>
          <w:rFonts w:ascii="Times New Roman" w:hAnsi="Times New Roman"/>
          <w:sz w:val="24"/>
        </w:rPr>
        <w:t xml:space="preserve"> ~83 % das apreensões; dilui sinal no limiar absoluto (Secção 7.6). - </w:t>
      </w:r>
      <w:r>
        <w:rPr>
          <w:rFonts w:ascii="Times New Roman" w:hAnsi="Times New Roman"/>
          <w:b/>
          <w:sz w:val="24"/>
        </w:rPr>
        <w:t>Backtest temporal parcial:</w:t>
      </w:r>
      <w:r>
        <w:rPr>
          <w:rFonts w:ascii="Times New Roman" w:hAnsi="Times New Roman"/>
          <w:sz w:val="24"/>
        </w:rPr>
        <w:t xml:space="preserve"> só a droga é cortada em 2022; pesca, poluição e imigração entram com campo estático — possível optimismo no holdout multi-ameaça. - </w:t>
      </w:r>
      <w:r>
        <w:rPr>
          <w:rFonts w:ascii="Times New Roman" w:hAnsi="Times New Roman"/>
          <w:b/>
          <w:sz w:val="24"/>
        </w:rPr>
        <w:t>Pesos AHP:</w:t>
      </w:r>
      <w:r>
        <w:rPr>
          <w:rFonts w:ascii="Times New Roman" w:hAnsi="Times New Roman"/>
          <w:sz w:val="24"/>
        </w:rPr>
        <w:t xml:space="preserve"> rastreáveis mas dependentes de juízos de especialista (Secção 4.5); valores adoptados arredondados dos pesos AHP. - </w:t>
      </w:r>
      <w:r>
        <w:rPr>
          <w:rFonts w:ascii="Times New Roman" w:hAnsi="Times New Roman"/>
          <w:b/>
          <w:sz w:val="24"/>
        </w:rPr>
        <w:t>Parâmetros sensoriais:</w:t>
      </w:r>
      <w:r>
        <w:rPr>
          <w:rFonts w:ascii="Times New Roman" w:hAnsi="Times New Roman"/>
          <w:sz w:val="24"/>
        </w:rPr>
        <w:t xml:space="preserve"> largura útil, revisita e disponibilidade são estimativas (sensibilidade Secção 5.4). - </w:t>
      </w:r>
      <w:r>
        <w:rPr>
          <w:rFonts w:ascii="Times New Roman" w:hAnsi="Times New Roman"/>
          <w:b/>
          <w:sz w:val="24"/>
        </w:rPr>
        <w:t>Cobertura idealizada:</w:t>
      </w:r>
      <w:r>
        <w:rPr>
          <w:rFonts w:ascii="Times New Roman" w:hAnsi="Times New Roman"/>
          <w:sz w:val="24"/>
        </w:rPr>
        <w:t xml:space="preserve"> não modela nebulosidade, mar agitado nem sazonalidade fina. - </w:t>
      </w:r>
      <w:r>
        <w:rPr>
          <w:rFonts w:ascii="Times New Roman" w:hAnsi="Times New Roman"/>
          <w:b/>
          <w:sz w:val="24"/>
        </w:rPr>
        <w:t>Classificação:</w:t>
      </w:r>
      <w:r>
        <w:rPr>
          <w:rFonts w:ascii="Times New Roman" w:hAnsi="Times New Roman"/>
          <w:sz w:val="24"/>
        </w:rPr>
        <w:t xml:space="preserve"> desequilíbrio 3,4 % marítimo limita precisão da classe minoritária. - </w:t>
      </w:r>
      <w:r>
        <w:rPr>
          <w:rFonts w:ascii="Times New Roman" w:hAnsi="Times New Roman"/>
          <w:b/>
          <w:sz w:val="24"/>
        </w:rPr>
        <w:t>Índice offline vs. plataforma:</w:t>
      </w:r>
      <w:r>
        <w:rPr>
          <w:rFonts w:ascii="Times New Roman" w:hAnsi="Times New Roman"/>
          <w:sz w:val="24"/>
        </w:rPr>
        <w:t xml:space="preserve"> risco estratégico estático; protótipo tático não recalcula o mapa em tempo real. - </w:t>
      </w:r>
      <w:r>
        <w:rPr>
          <w:rFonts w:ascii="Times New Roman" w:hAnsi="Times New Roman"/>
          <w:b/>
          <w:sz w:val="24"/>
        </w:rPr>
        <w:t>Validação externa:</w:t>
      </w:r>
      <w:r>
        <w:rPr>
          <w:rFonts w:ascii="Times New Roman" w:hAnsi="Times New Roman"/>
          <w:sz w:val="24"/>
        </w:rPr>
        <w:t xml:space="preserve"> estudo de caso e backtest não substituem interceções subquilométricas.</w:t>
      </w:r>
    </w:p>
    <w:p>
      <w:pPr>
        <w:spacing w:line="480" w:lineRule="auto"/>
        <w:ind w:firstLine="720"/>
        <w:jc w:val="both"/>
      </w:pPr>
      <w:r>
        <w:rPr>
          <w:rFonts w:ascii="Times New Roman" w:hAnsi="Times New Roman"/>
          <w:sz w:val="24"/>
        </w:rPr>
        <w:t>O reconhecimento destas limitações não invalida as conclusões — designadamente a demonstração de que o constrangimento do sistema é a cobertura sensorial e não o alcance, que é robusta a todas elas —, mas delimita com honestidade o âmbito em que devem ser interpretadas e orienta o aperfeiçoamento futuro do sistema.</w:t>
      </w:r>
    </w:p>
    <w:p>
      <w:pPr>
        <w:pStyle w:val="Heading2"/>
      </w:pPr>
      <w:r>
        <w:t>8.3 Recomendação final</w:t>
      </w:r>
    </w:p>
    <w:p>
      <w:pPr>
        <w:spacing w:line="480" w:lineRule="auto"/>
        <w:ind w:firstLine="720"/>
        <w:jc w:val="both"/>
      </w:pPr>
      <w:r>
        <w:rPr>
          <w:rFonts w:ascii="Times New Roman" w:hAnsi="Times New Roman"/>
          <w:sz w:val="24"/>
        </w:rPr>
        <w:t xml:space="preserve">À luz da análise, recomenda-se a seguinte arquitectura de emprego para o AR5 na vigilância costeira de Portugal Continental. Em síntese: </w:t>
      </w:r>
      <w:r>
        <w:rPr>
          <w:rFonts w:ascii="Times New Roman" w:hAnsi="Times New Roman"/>
          <w:b/>
          <w:sz w:val="24"/>
        </w:rPr>
        <w:t>dois polos MCLP — Porto (Sá Carneiro) e Portimão — cobrem 100 % do risco alto; para operação persistente 24 h, dimensionar 9 AR5 na faixa costeira (cinco bases de lançamento) ou 11 AR5 na área total (rede de doze aeródromos).</w:t>
      </w:r>
    </w:p>
    <w:p>
      <w:pPr>
        <w:spacing w:line="480" w:lineRule="auto"/>
        <w:ind w:firstLine="720"/>
        <w:jc w:val="both"/>
      </w:pPr>
      <w:r>
        <w:rPr>
          <w:rFonts w:ascii="Times New Roman" w:hAnsi="Times New Roman"/>
          <w:sz w:val="24"/>
        </w:rPr>
        <w:t xml:space="preserve">Como </w:t>
      </w:r>
      <w:r>
        <w:rPr>
          <w:rFonts w:ascii="Times New Roman" w:hAnsi="Times New Roman"/>
          <w:b/>
          <w:sz w:val="24"/>
        </w:rPr>
        <w:t>configuração de referência</w:t>
      </w:r>
      <w:r>
        <w:rPr>
          <w:rFonts w:ascii="Times New Roman" w:hAnsi="Times New Roman"/>
          <w:sz w:val="24"/>
        </w:rPr>
        <w:t xml:space="preserve">, propõe-se a operação com </w:t>
      </w:r>
      <w:r>
        <w:rPr>
          <w:rFonts w:ascii="Times New Roman" w:hAnsi="Times New Roman"/>
          <w:b/>
          <w:sz w:val="24"/>
        </w:rPr>
        <w:t>rede completa e frota de 11 AR5</w:t>
      </w:r>
      <w:r>
        <w:rPr>
          <w:rFonts w:ascii="Times New Roman" w:hAnsi="Times New Roman"/>
          <w:sz w:val="24"/>
        </w:rPr>
        <w:t xml:space="preserve">, assegurando revisita persistente das 300 células de alto risco (margem operacional de 10 %). Os polos Porto + Portimão mantêm-se como </w:t>
      </w:r>
      <w:r>
        <w:rPr>
          <w:rFonts w:ascii="Times New Roman" w:hAnsi="Times New Roman"/>
          <w:b/>
          <w:sz w:val="24"/>
        </w:rPr>
        <w:t>hubs principais</w:t>
      </w:r>
      <w:r>
        <w:rPr>
          <w:rFonts w:ascii="Times New Roman" w:hAnsi="Times New Roman"/>
          <w:sz w:val="24"/>
        </w:rPr>
        <w:t xml:space="preserve"> mesmo quando se usam bases intermédias para encurtar trânsitos. Como </w:t>
      </w:r>
      <w:r>
        <w:rPr>
          <w:rFonts w:ascii="Times New Roman" w:hAnsi="Times New Roman"/>
          <w:b/>
          <w:sz w:val="24"/>
        </w:rPr>
        <w:t>configuração de contingência ou de arranque faseado</w:t>
      </w:r>
      <w:r>
        <w:rPr>
          <w:rFonts w:ascii="Times New Roman" w:hAnsi="Times New Roman"/>
          <w:sz w:val="24"/>
        </w:rPr>
        <w:t xml:space="preserve">, em caso de restrição orçamental, concentra-se o esforço na </w:t>
      </w:r>
      <w:r>
        <w:rPr>
          <w:rFonts w:ascii="Times New Roman" w:hAnsi="Times New Roman"/>
          <w:b/>
          <w:sz w:val="24"/>
        </w:rPr>
        <w:t>faixa costeira com 9 AR5</w:t>
      </w:r>
      <w:r>
        <w:rPr>
          <w:rFonts w:ascii="Times New Roman" w:hAnsi="Times New Roman"/>
          <w:sz w:val="24"/>
        </w:rPr>
        <w:t xml:space="preserve">, aceitando descobrir a franja mais ao largo. Para missões de elevada criticidade, o </w:t>
      </w:r>
      <w:r>
        <w:rPr>
          <w:rFonts w:ascii="Times New Roman" w:hAnsi="Times New Roman"/>
          <w:b/>
          <w:sz w:val="24"/>
        </w:rPr>
        <w:t>índice difuso</w:t>
      </w:r>
      <w:r>
        <w:rPr>
          <w:rFonts w:ascii="Times New Roman" w:hAnsi="Times New Roman"/>
          <w:sz w:val="24"/>
        </w:rPr>
        <w:t xml:space="preserve"> funciona como majorante prudencial (~27 AR5).</w:t>
      </w:r>
    </w:p>
    <w:p>
      <w:pPr>
        <w:spacing w:line="480" w:lineRule="auto"/>
        <w:ind w:firstLine="720"/>
        <w:jc w:val="both"/>
      </w:pPr>
      <w:r>
        <w:rPr>
          <w:rFonts w:ascii="Times New Roman" w:hAnsi="Times New Roman"/>
          <w:sz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r>
        <w:br w:type="page"/>
      </w:r>
    </w:p>
    <w:p>
      <w:pPr>
        <w:pStyle w:val="Heading1"/>
      </w:pPr>
      <w:r>
        <w:t>9. Conclusão e trabalho futuro</w:t>
      </w:r>
    </w:p>
    <w:p>
      <w:pPr>
        <w:spacing w:line="480" w:lineRule="auto"/>
        <w:ind w:firstLine="720"/>
        <w:jc w:val="both"/>
      </w:pPr>
      <w:r>
        <w:rPr>
          <w:rFonts w:ascii="Times New Roman" w:hAnsi="Times New Roman"/>
          <w:sz w:val="24"/>
        </w:rPr>
        <w:t xml:space="preserve">O presente trabalho concretizou um Sistema de Apoio à Decisão completo para a vigilância costeira de Portugal Continental com o UAV TEKEVER AR5, integrando um pipeline de </w:t>
      </w:r>
      <w:r>
        <w:rPr>
          <w:rFonts w:ascii="Times New Roman" w:hAnsi="Times New Roman"/>
          <w:i/>
          <w:sz w:val="24"/>
        </w:rPr>
        <w:t>data mining</w:t>
      </w:r>
      <w:r>
        <w:rPr>
          <w:rFonts w:ascii="Times New Roman" w:hAnsi="Times New Roman"/>
          <w:sz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Segundo, a demonstração de que a natureza marítima de uma apreensão é previsível com boa discriminação (ROC-AUC de 0,93 em validação cruzada para o perceptrão multicamada), num exercício que ilustra de forma exemplar os desafios da classe rara e a inadequação da exatidão como métrica. 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pPr>
        <w:spacing w:line="480" w:lineRule="auto"/>
        <w:ind w:firstLine="720"/>
        <w:jc w:val="both"/>
      </w:pPr>
      <w:r>
        <w:rPr>
          <w:rFonts w:ascii="Times New Roman" w:hAnsi="Times New Roman"/>
          <w:sz w:val="24"/>
        </w:rPr>
        <w:t xml:space="preserve">Identificam-se as seguintes linhas de trabalho futuro. Em primeiro lugar, aprofundar a integração de fontes operacionais já iniciadas — EMODnet, </w:t>
      </w:r>
      <w:r>
        <w:rPr>
          <w:rFonts w:ascii="Times New Roman" w:hAnsi="Times New Roman"/>
          <w:b/>
          <w:sz w:val="24"/>
        </w:rPr>
        <w:t>20 desembarques marítimos em Portugal Continental</w:t>
      </w:r>
      <w:r>
        <w:rPr>
          <w:rFonts w:ascii="Times New Roman" w:hAnsi="Times New Roman"/>
          <w:sz w:val="24"/>
        </w:rPr>
        <w:t xml:space="preserve"> (SEF/Frontex/CP) e IOM em mar — incorporando esforço de pesca do Global Fishing Watch validado contra infrações conhecidas e deteções CleanSeaNet da EMSA, de modo a distinguir atividade lícita de ilegal e derrames efetivos de simples risco. Em segundo lugar, generalizar o modelo de otimização de objetivo único para uma formulação </w:t>
      </w:r>
      <w:r>
        <w:rPr>
          <w:rFonts w:ascii="Times New Roman" w:hAnsi="Times New Roman"/>
          <w:b/>
          <w:sz w:val="24"/>
        </w:rPr>
        <w:t>multi-objetivo</w:t>
      </w:r>
      <w:r>
        <w:rPr>
          <w:rFonts w:ascii="Times New Roman" w:hAnsi="Times New Roman"/>
          <w:sz w:val="24"/>
        </w:rPr>
        <w:t>, gerando uma fronteira de Pareto entre risco coberto e número de aeronaves. Em terceiro lugar, validação contra interceções georreferenciadas com precisão subquilométrica e aprendizagem contínua (ciclo Medir–Analisar–Agir fechado). Por fim, endurecer a ligação entre o índice estratégico offline e a plataforma tática, com recálculo periódico automatizado do risco.</w:t>
      </w:r>
    </w:p>
    <w:p>
      <w:r>
        <w:br w:type="page"/>
      </w:r>
    </w:p>
    <w:p>
      <w:pPr>
        <w:pStyle w:val="Heading1"/>
      </w:pPr>
      <w:r>
        <w:t>10. Referências</w:t>
      </w:r>
    </w:p>
    <w:p>
      <w:pPr>
        <w:spacing w:line="480" w:lineRule="auto"/>
        <w:ind w:left="720" w:hanging="720"/>
        <w:jc w:val="left"/>
      </w:pPr>
      <w:r>
        <w:rPr>
          <w:rFonts w:ascii="Times New Roman" w:hAnsi="Times New Roman"/>
          <w:sz w:val="24"/>
        </w:rPr>
        <w:t xml:space="preserve">Bezdek, J. C. (1981). </w:t>
      </w:r>
      <w:r>
        <w:rPr>
          <w:rFonts w:ascii="Times New Roman" w:hAnsi="Times New Roman"/>
          <w:i/>
          <w:sz w:val="24"/>
        </w:rPr>
        <w:t>Pattern recognition with fuzzy objective function algorithms</w:t>
      </w:r>
      <w:r>
        <w:rPr>
          <w:rFonts w:ascii="Times New Roman" w:hAnsi="Times New Roman"/>
          <w:sz w:val="24"/>
        </w:rPr>
        <w:t>. Plenum Press.</w:t>
      </w:r>
    </w:p>
    <w:p>
      <w:pPr>
        <w:spacing w:line="480" w:lineRule="auto"/>
        <w:ind w:left="720" w:hanging="720"/>
        <w:jc w:val="left"/>
      </w:pPr>
      <w:r>
        <w:rPr>
          <w:rFonts w:ascii="Times New Roman" w:hAnsi="Times New Roman"/>
          <w:sz w:val="24"/>
        </w:rPr>
        <w:t xml:space="preserve">Breiman, L., Friedman, J. H., Olshen, R. A., &amp; Stone, C. J. (1984). </w:t>
      </w:r>
      <w:r>
        <w:rPr>
          <w:rFonts w:ascii="Times New Roman" w:hAnsi="Times New Roman"/>
          <w:i/>
          <w:sz w:val="24"/>
        </w:rPr>
        <w:t>Classification and regression trees</w:t>
      </w:r>
      <w:r>
        <w:rPr>
          <w:rFonts w:ascii="Times New Roman" w:hAnsi="Times New Roman"/>
          <w:sz w:val="24"/>
        </w:rPr>
        <w:t>. Wadsworth.</w:t>
      </w:r>
    </w:p>
    <w:p>
      <w:pPr>
        <w:spacing w:line="480" w:lineRule="auto"/>
        <w:ind w:left="720" w:hanging="720"/>
        <w:jc w:val="left"/>
      </w:pPr>
      <w:r>
        <w:rPr>
          <w:rFonts w:ascii="Times New Roman" w:hAnsi="Times New Roman"/>
          <w:sz w:val="24"/>
        </w:rPr>
        <w:t xml:space="preserve">Chawla, N. V., Bowyer, K. W., Hall, L. O., &amp; Kegelmeyer, W. P. (2002). SMOTE: Synthetic minority over-sampling technique. </w:t>
      </w:r>
      <w:r>
        <w:rPr>
          <w:rFonts w:ascii="Times New Roman" w:hAnsi="Times New Roman"/>
          <w:i/>
          <w:sz w:val="24"/>
        </w:rPr>
        <w:t>Journal of Artificial Intelligence Research, 16</w:t>
      </w:r>
      <w:r>
        <w:rPr>
          <w:rFonts w:ascii="Times New Roman" w:hAnsi="Times New Roman"/>
          <w:sz w:val="24"/>
        </w:rPr>
        <w:t>, 321–357. https://doi.org/10.1613/jair.953</w:t>
      </w:r>
    </w:p>
    <w:p>
      <w:pPr>
        <w:spacing w:line="480" w:lineRule="auto"/>
        <w:ind w:left="720" w:hanging="720"/>
        <w:jc w:val="left"/>
      </w:pPr>
      <w:r>
        <w:rPr>
          <w:rFonts w:ascii="Times New Roman" w:hAnsi="Times New Roman"/>
          <w:sz w:val="24"/>
        </w:rPr>
        <w:t xml:space="preserve">Church, R., &amp; ReVelle, C. (1974). The maximal covering location problem. </w:t>
      </w:r>
      <w:r>
        <w:rPr>
          <w:rFonts w:ascii="Times New Roman" w:hAnsi="Times New Roman"/>
          <w:i/>
          <w:sz w:val="24"/>
        </w:rPr>
        <w:t>Papers in Regional Science, 32</w:t>
      </w:r>
      <w:r>
        <w:rPr>
          <w:rFonts w:ascii="Times New Roman" w:hAnsi="Times New Roman"/>
          <w:sz w:val="24"/>
        </w:rPr>
        <w:t>(1), 101–118. https://doi.org/10.1111/j.1435-5597.1974.tb00902.x</w:t>
      </w:r>
    </w:p>
    <w:p>
      <w:pPr>
        <w:spacing w:line="480" w:lineRule="auto"/>
        <w:ind w:left="720" w:hanging="720"/>
        <w:jc w:val="left"/>
      </w:pPr>
      <w:r>
        <w:rPr>
          <w:rFonts w:ascii="Times New Roman" w:hAnsi="Times New Roman"/>
          <w:sz w:val="24"/>
        </w:rPr>
        <w:t xml:space="preserve">Cover, T., &amp; Hart, P. (1967). Nearest neighbor pattern classification. </w:t>
      </w:r>
      <w:r>
        <w:rPr>
          <w:rFonts w:ascii="Times New Roman" w:hAnsi="Times New Roman"/>
          <w:i/>
          <w:sz w:val="24"/>
        </w:rPr>
        <w:t>IEEE Transactions on Information Theory, 13</w:t>
      </w:r>
      <w:r>
        <w:rPr>
          <w:rFonts w:ascii="Times New Roman" w:hAnsi="Times New Roman"/>
          <w:sz w:val="24"/>
        </w:rPr>
        <w:t>(1), 21–27. https://doi.org/10.1109/TIT.1967.1053964</w:t>
      </w:r>
    </w:p>
    <w:p>
      <w:pPr>
        <w:spacing w:line="480" w:lineRule="auto"/>
        <w:ind w:left="720" w:hanging="720"/>
        <w:jc w:val="left"/>
      </w:pPr>
      <w:r>
        <w:rPr>
          <w:rFonts w:ascii="Times New Roman" w:hAnsi="Times New Roman"/>
          <w:sz w:val="24"/>
        </w:rPr>
        <w:t xml:space="preserve">Davis, J., &amp; Goadrich, M. (2006). The relationship between precision-recall and ROC curves. In </w:t>
      </w:r>
      <w:r>
        <w:rPr>
          <w:rFonts w:ascii="Times New Roman" w:hAnsi="Times New Roman"/>
          <w:i/>
          <w:sz w:val="24"/>
        </w:rPr>
        <w:t>Proceedings of the 23rd International Conference on Machine Learning</w:t>
      </w:r>
      <w:r>
        <w:rPr>
          <w:rFonts w:ascii="Times New Roman" w:hAnsi="Times New Roman"/>
          <w:sz w:val="24"/>
        </w:rPr>
        <w:t xml:space="preserve"> (pp. 233–240). ACM. https://doi.org/10.1145/1143844.1143874</w:t>
      </w:r>
    </w:p>
    <w:p>
      <w:pPr>
        <w:spacing w:line="480" w:lineRule="auto"/>
        <w:ind w:left="720" w:hanging="720"/>
        <w:jc w:val="left"/>
      </w:pPr>
      <w:r>
        <w:rPr>
          <w:rFonts w:ascii="Times New Roman" w:hAnsi="Times New Roman"/>
          <w:sz w:val="24"/>
        </w:rPr>
        <w:t xml:space="preserve">Ester, M., Kriegel, H.-P., Sander, J., &amp; Xu, X. (1996). A density-based algorithm for discovering clusters in large spatial databases with noise. In </w:t>
      </w:r>
      <w:r>
        <w:rPr>
          <w:rFonts w:ascii="Times New Roman" w:hAnsi="Times New Roman"/>
          <w:i/>
          <w:sz w:val="24"/>
        </w:rPr>
        <w:t>Proceedings of the 2nd International Conference on Knowledge Discovery and Data Mining</w:t>
      </w:r>
      <w:r>
        <w:rPr>
          <w:rFonts w:ascii="Times New Roman" w:hAnsi="Times New Roman"/>
          <w:sz w:val="24"/>
        </w:rPr>
        <w:t xml:space="preserve"> (pp. 226–231). AAAI Press.</w:t>
      </w:r>
    </w:p>
    <w:p>
      <w:pPr>
        <w:spacing w:line="480" w:lineRule="auto"/>
        <w:ind w:left="720" w:hanging="720"/>
        <w:jc w:val="left"/>
      </w:pPr>
      <w:r>
        <w:rPr>
          <w:rFonts w:ascii="Times New Roman" w:hAnsi="Times New Roman"/>
          <w:sz w:val="24"/>
        </w:rPr>
        <w:t xml:space="preserve">European Fisheries Control Agency. (2024). </w:t>
      </w:r>
      <w:r>
        <w:rPr>
          <w:rFonts w:ascii="Times New Roman" w:hAnsi="Times New Roman"/>
          <w:i/>
          <w:sz w:val="24"/>
        </w:rPr>
        <w:t>Annual report 2023</w:t>
      </w:r>
      <w:r>
        <w:rPr>
          <w:rFonts w:ascii="Times New Roman" w:hAnsi="Times New Roman"/>
          <w:sz w:val="24"/>
        </w:rPr>
        <w:t>. EFCA.</w:t>
      </w:r>
    </w:p>
    <w:p>
      <w:pPr>
        <w:spacing w:line="480" w:lineRule="auto"/>
        <w:ind w:left="720" w:hanging="720"/>
        <w:jc w:val="left"/>
      </w:pPr>
      <w:r>
        <w:rPr>
          <w:rFonts w:ascii="Times New Roman" w:hAnsi="Times New Roman"/>
          <w:sz w:val="24"/>
        </w:rPr>
        <w:t xml:space="preserve">European Maritime Safety Agency. (2024). </w:t>
      </w:r>
      <w:r>
        <w:rPr>
          <w:rFonts w:ascii="Times New Roman" w:hAnsi="Times New Roman"/>
          <w:i/>
          <w:sz w:val="24"/>
        </w:rPr>
        <w:t>CleanSeaNet service: Annual overview</w:t>
      </w:r>
      <w:r>
        <w:rPr>
          <w:rFonts w:ascii="Times New Roman" w:hAnsi="Times New Roman"/>
          <w:sz w:val="24"/>
        </w:rPr>
        <w:t>. EMSA.</w:t>
      </w:r>
    </w:p>
    <w:p>
      <w:pPr>
        <w:spacing w:line="480" w:lineRule="auto"/>
        <w:ind w:left="720" w:hanging="720"/>
        <w:jc w:val="left"/>
      </w:pPr>
      <w:r>
        <w:rPr>
          <w:rFonts w:ascii="Times New Roman" w:hAnsi="Times New Roman"/>
          <w:sz w:val="24"/>
        </w:rPr>
        <w:t xml:space="preserve">European Marine Observation and Data Network. (2025). </w:t>
      </w:r>
      <w:r>
        <w:rPr>
          <w:rFonts w:ascii="Times New Roman" w:hAnsi="Times New Roman"/>
          <w:i/>
          <w:sz w:val="24"/>
        </w:rPr>
        <w:t>EMODnet Human Activities: Vessel density maps</w:t>
      </w:r>
      <w:r>
        <w:rPr>
          <w:rFonts w:ascii="Times New Roman" w:hAnsi="Times New Roman"/>
          <w:sz w:val="24"/>
        </w:rPr>
        <w:t xml:space="preserve"> [conjunto de dados]. Serviço Web Coverage Service. https://emodnet.ec.europa.eu/en/human-activities</w:t>
      </w:r>
    </w:p>
    <w:p>
      <w:pPr>
        <w:spacing w:line="480" w:lineRule="auto"/>
        <w:ind w:left="720" w:hanging="720"/>
        <w:jc w:val="left"/>
      </w:pPr>
      <w:r>
        <w:rPr>
          <w:rFonts w:ascii="Times New Roman" w:hAnsi="Times New Roman"/>
          <w:sz w:val="24"/>
        </w:rPr>
        <w:t xml:space="preserve">Europol. (2025). </w:t>
      </w:r>
      <w:r>
        <w:rPr>
          <w:rFonts w:ascii="Times New Roman" w:hAnsi="Times New Roman"/>
          <w:i/>
          <w:sz w:val="24"/>
        </w:rPr>
        <w:t>EU drug markets analysis: Maritime cocaine trafficking</w:t>
      </w:r>
      <w:r>
        <w:rPr>
          <w:rFonts w:ascii="Times New Roman" w:hAnsi="Times New Roman"/>
          <w:sz w:val="24"/>
        </w:rPr>
        <w:t>. Publications Office of the European Union.</w:t>
      </w:r>
    </w:p>
    <w:p>
      <w:pPr>
        <w:spacing w:line="480" w:lineRule="auto"/>
        <w:ind w:left="720" w:hanging="720"/>
        <w:jc w:val="left"/>
      </w:pPr>
      <w:r>
        <w:rPr>
          <w:rFonts w:ascii="Times New Roman" w:hAnsi="Times New Roman"/>
          <w:sz w:val="24"/>
        </w:rPr>
        <w:t xml:space="preserve">Fayyad, U., Piatetsky-Shapiro, G., &amp; Smyth, P. (1996). From data mining to knowledge discovery in databases. </w:t>
      </w:r>
      <w:r>
        <w:rPr>
          <w:rFonts w:ascii="Times New Roman" w:hAnsi="Times New Roman"/>
          <w:i/>
          <w:sz w:val="24"/>
        </w:rPr>
        <w:t>AI Magazine, 17</w:t>
      </w:r>
      <w:r>
        <w:rPr>
          <w:rFonts w:ascii="Times New Roman" w:hAnsi="Times New Roman"/>
          <w:sz w:val="24"/>
        </w:rPr>
        <w:t>(3), 37–54. https://doi.org/10.1609/aimag.v17i3.1230</w:t>
      </w:r>
    </w:p>
    <w:p>
      <w:pPr>
        <w:spacing w:line="480" w:lineRule="auto"/>
        <w:ind w:left="720" w:hanging="720"/>
        <w:jc w:val="left"/>
      </w:pPr>
      <w:r>
        <w:rPr>
          <w:rFonts w:ascii="Times New Roman" w:hAnsi="Times New Roman"/>
          <w:sz w:val="24"/>
        </w:rPr>
        <w:t xml:space="preserve">Frontex. (2025). </w:t>
      </w:r>
      <w:r>
        <w:rPr>
          <w:rFonts w:ascii="Times New Roman" w:hAnsi="Times New Roman"/>
          <w:i/>
          <w:sz w:val="24"/>
        </w:rPr>
        <w:t>Risk analysis for 2024–2025</w:t>
      </w:r>
      <w:r>
        <w:rPr>
          <w:rFonts w:ascii="Times New Roman" w:hAnsi="Times New Roman"/>
          <w:sz w:val="24"/>
        </w:rPr>
        <w:t>. European Border and Coast Guard Agency.</w:t>
      </w:r>
    </w:p>
    <w:p>
      <w:pPr>
        <w:spacing w:line="480" w:lineRule="auto"/>
        <w:ind w:left="720" w:hanging="720"/>
        <w:jc w:val="left"/>
      </w:pPr>
      <w:r>
        <w:rPr>
          <w:rFonts w:ascii="Times New Roman" w:hAnsi="Times New Roman"/>
          <w:sz w:val="24"/>
        </w:rPr>
        <w:t xml:space="preserve">Global Fishing Watch. (2025). </w:t>
      </w:r>
      <w:r>
        <w:rPr>
          <w:rFonts w:ascii="Times New Roman" w:hAnsi="Times New Roman"/>
          <w:i/>
          <w:sz w:val="24"/>
        </w:rPr>
        <w:t>Global AIS-based apparent fishing effort dataset</w:t>
      </w:r>
      <w:r>
        <w:rPr>
          <w:rFonts w:ascii="Times New Roman" w:hAnsi="Times New Roman"/>
          <w:sz w:val="24"/>
        </w:rPr>
        <w:t xml:space="preserve"> (version 3.0) [conjunto de dados]. https://doi.org/10.5281/zenodo.14982712</w:t>
      </w:r>
    </w:p>
    <w:p>
      <w:pPr>
        <w:spacing w:line="480" w:lineRule="auto"/>
        <w:ind w:left="720" w:hanging="720"/>
        <w:jc w:val="left"/>
      </w:pPr>
      <w:r>
        <w:rPr>
          <w:rFonts w:ascii="Times New Roman" w:hAnsi="Times New Roman"/>
          <w:sz w:val="24"/>
        </w:rPr>
        <w:t xml:space="preserve">International Organization for Migration. (2024). </w:t>
      </w:r>
      <w:r>
        <w:rPr>
          <w:rFonts w:ascii="Times New Roman" w:hAnsi="Times New Roman"/>
          <w:i/>
          <w:sz w:val="24"/>
        </w:rPr>
        <w:t>Displacement tracking matrix: Mixed migration flows to Europe</w:t>
      </w:r>
      <w:r>
        <w:rPr>
          <w:rFonts w:ascii="Times New Roman" w:hAnsi="Times New Roman"/>
          <w:sz w:val="24"/>
        </w:rPr>
        <w:t>. IOM.</w:t>
      </w:r>
    </w:p>
    <w:p>
      <w:pPr>
        <w:spacing w:line="480" w:lineRule="auto"/>
        <w:ind w:left="720" w:hanging="720"/>
        <w:jc w:val="left"/>
      </w:pPr>
      <w:r>
        <w:rPr>
          <w:rFonts w:ascii="Times New Roman" w:hAnsi="Times New Roman"/>
          <w:sz w:val="24"/>
        </w:rPr>
        <w:t xml:space="preserve">International Organization for Migration. (2026). </w:t>
      </w:r>
      <w:r>
        <w:rPr>
          <w:rFonts w:ascii="Times New Roman" w:hAnsi="Times New Roman"/>
          <w:i/>
          <w:sz w:val="24"/>
        </w:rPr>
        <w:t>Missing Migrants Project</w:t>
      </w:r>
      <w:r>
        <w:rPr>
          <w:rFonts w:ascii="Times New Roman" w:hAnsi="Times New Roman"/>
          <w:sz w:val="24"/>
        </w:rPr>
        <w:t xml:space="preserve"> [conjunto de dados]. Humanitarian Data Exchange (CC-BY 4.0). https://data.humdata.org/dataset/iom-missing-migrants-project-data</w:t>
      </w:r>
    </w:p>
    <w:p>
      <w:pPr>
        <w:spacing w:line="480" w:lineRule="auto"/>
        <w:ind w:left="720" w:hanging="720"/>
        <w:jc w:val="left"/>
      </w:pPr>
      <w:r>
        <w:rPr>
          <w:rFonts w:ascii="Times New Roman" w:hAnsi="Times New Roman"/>
          <w:sz w:val="24"/>
        </w:rPr>
        <w:t xml:space="preserve">Jolliffe, I. T. (2002). </w:t>
      </w:r>
      <w:r>
        <w:rPr>
          <w:rFonts w:ascii="Times New Roman" w:hAnsi="Times New Roman"/>
          <w:i/>
          <w:sz w:val="24"/>
        </w:rPr>
        <w:t>Principal component analysis</w:t>
      </w:r>
      <w:r>
        <w:rPr>
          <w:rFonts w:ascii="Times New Roman" w:hAnsi="Times New Roman"/>
          <w:sz w:val="24"/>
        </w:rPr>
        <w:t xml:space="preserve"> (2nd ed.). Springer. https://doi.org/10.1007/b98835</w:t>
      </w:r>
    </w:p>
    <w:p>
      <w:pPr>
        <w:spacing w:line="480" w:lineRule="auto"/>
        <w:ind w:left="720" w:hanging="720"/>
        <w:jc w:val="left"/>
      </w:pPr>
      <w:r>
        <w:rPr>
          <w:rFonts w:ascii="Times New Roman" w:hAnsi="Times New Roman"/>
          <w:sz w:val="24"/>
        </w:rPr>
        <w:t xml:space="preserve">Kaufman, S., Rosset, S., Perlich, C., &amp; Stitelman, O. (2012). Leakage in data mining: Formulation, detection, and avoidance. </w:t>
      </w:r>
      <w:r>
        <w:rPr>
          <w:rFonts w:ascii="Times New Roman" w:hAnsi="Times New Roman"/>
          <w:i/>
          <w:sz w:val="24"/>
        </w:rPr>
        <w:t>ACM Transactions on Knowledge Discovery from Data, 6</w:t>
      </w:r>
      <w:r>
        <w:rPr>
          <w:rFonts w:ascii="Times New Roman" w:hAnsi="Times New Roman"/>
          <w:sz w:val="24"/>
        </w:rPr>
        <w:t>(4), 1–21. https://doi.org/10.1145/2382577.2382579</w:t>
      </w:r>
    </w:p>
    <w:p>
      <w:pPr>
        <w:spacing w:line="480" w:lineRule="auto"/>
        <w:ind w:left="720" w:hanging="720"/>
        <w:jc w:val="left"/>
      </w:pPr>
      <w:r>
        <w:rPr>
          <w:rFonts w:ascii="Times New Roman" w:hAnsi="Times New Roman"/>
          <w:sz w:val="24"/>
        </w:rPr>
        <w:t xml:space="preserve">Mamdani, E. H., &amp; Assilian, S. (1975). An experiment in linguistic synthesis with a fuzzy logic controller. </w:t>
      </w:r>
      <w:r>
        <w:rPr>
          <w:rFonts w:ascii="Times New Roman" w:hAnsi="Times New Roman"/>
          <w:i/>
          <w:sz w:val="24"/>
        </w:rPr>
        <w:t>International Journal of Man-Machine Studies, 7</w:t>
      </w:r>
      <w:r>
        <w:rPr>
          <w:rFonts w:ascii="Times New Roman" w:hAnsi="Times New Roman"/>
          <w:sz w:val="24"/>
        </w:rPr>
        <w:t>(1), 1–13. https://doi.org/10.1016/S0020-7373(75)80002-2</w:t>
      </w:r>
    </w:p>
    <w:p>
      <w:pPr>
        <w:spacing w:line="480" w:lineRule="auto"/>
        <w:ind w:left="720" w:hanging="720"/>
        <w:jc w:val="left"/>
      </w:pPr>
      <w:r>
        <w:rPr>
          <w:rFonts w:ascii="Times New Roman" w:hAnsi="Times New Roman"/>
          <w:sz w:val="24"/>
        </w:rPr>
        <w:t xml:space="preserve">Marakas, G. M. (2003). </w:t>
      </w:r>
      <w:r>
        <w:rPr>
          <w:rFonts w:ascii="Times New Roman" w:hAnsi="Times New Roman"/>
          <w:i/>
          <w:sz w:val="24"/>
        </w:rPr>
        <w:t>Decision support systems in the 21st century</w:t>
      </w:r>
      <w:r>
        <w:rPr>
          <w:rFonts w:ascii="Times New Roman" w:hAnsi="Times New Roman"/>
          <w:sz w:val="24"/>
        </w:rPr>
        <w:t xml:space="preserve"> (2nd ed.). Prentice Hall.</w:t>
      </w:r>
    </w:p>
    <w:p>
      <w:pPr>
        <w:spacing w:line="480" w:lineRule="auto"/>
        <w:ind w:left="720" w:hanging="720"/>
        <w:jc w:val="left"/>
      </w:pPr>
      <w:r>
        <w:rPr>
          <w:rFonts w:ascii="Times New Roman" w:hAnsi="Times New Roman"/>
          <w:sz w:val="24"/>
        </w:rPr>
        <w:t xml:space="preserve">Pedregosa, F., Varoquaux, G., Gramfort, A., Michel, V., Thirion, B., Grisel, O., … Duchesnay, E. (2011). Scikit-learn: Machine learning in Python. </w:t>
      </w:r>
      <w:r>
        <w:rPr>
          <w:rFonts w:ascii="Times New Roman" w:hAnsi="Times New Roman"/>
          <w:i/>
          <w:sz w:val="24"/>
        </w:rPr>
        <w:t>Journal of Machine Learning Research, 12</w:t>
      </w:r>
      <w:r>
        <w:rPr>
          <w:rFonts w:ascii="Times New Roman" w:hAnsi="Times New Roman"/>
          <w:sz w:val="24"/>
        </w:rPr>
        <w:t>, 2825–2830.</w:t>
      </w:r>
    </w:p>
    <w:p>
      <w:pPr>
        <w:spacing w:line="480" w:lineRule="auto"/>
        <w:ind w:left="720" w:hanging="720"/>
        <w:jc w:val="left"/>
      </w:pPr>
      <w:r>
        <w:rPr>
          <w:rFonts w:ascii="Times New Roman" w:hAnsi="Times New Roman"/>
          <w:sz w:val="24"/>
        </w:rPr>
        <w:t xml:space="preserve">Rousseeuw, P. J. (1987). Silhouettes: A graphical aid to the interpretation and validation of cluster analysis. </w:t>
      </w:r>
      <w:r>
        <w:rPr>
          <w:rFonts w:ascii="Times New Roman" w:hAnsi="Times New Roman"/>
          <w:i/>
          <w:sz w:val="24"/>
        </w:rPr>
        <w:t>Journal of Computational and Applied Mathematics, 20</w:t>
      </w:r>
      <w:r>
        <w:rPr>
          <w:rFonts w:ascii="Times New Roman" w:hAnsi="Times New Roman"/>
          <w:sz w:val="24"/>
        </w:rPr>
        <w:t>, 53–65. https://doi.org/10.1016/0377-0427(87)90125-7</w:t>
      </w:r>
    </w:p>
    <w:p>
      <w:pPr>
        <w:spacing w:line="480" w:lineRule="auto"/>
        <w:ind w:left="720" w:hanging="720"/>
        <w:jc w:val="left"/>
      </w:pPr>
      <w:r>
        <w:rPr>
          <w:rFonts w:ascii="Times New Roman" w:hAnsi="Times New Roman"/>
          <w:sz w:val="24"/>
        </w:rPr>
        <w:t xml:space="preserve">Rumelhart, D. E., Hinton, G. E., &amp; Williams, R. J. (1986). Learning representations by back-propagating errors. </w:t>
      </w:r>
      <w:r>
        <w:rPr>
          <w:rFonts w:ascii="Times New Roman" w:hAnsi="Times New Roman"/>
          <w:i/>
          <w:sz w:val="24"/>
        </w:rPr>
        <w:t>Nature, 323</w:t>
      </w:r>
      <w:r>
        <w:rPr>
          <w:rFonts w:ascii="Times New Roman" w:hAnsi="Times New Roman"/>
          <w:sz w:val="24"/>
        </w:rPr>
        <w:t>, 533–536. https://doi.org/10.1038/323533a0</w:t>
      </w:r>
    </w:p>
    <w:p>
      <w:pPr>
        <w:spacing w:line="480" w:lineRule="auto"/>
        <w:ind w:left="720" w:hanging="720"/>
        <w:jc w:val="left"/>
      </w:pPr>
      <w:r>
        <w:rPr>
          <w:rFonts w:ascii="Times New Roman" w:hAnsi="Times New Roman"/>
          <w:sz w:val="24"/>
        </w:rPr>
        <w:t xml:space="preserve">Santos Neto, Silva Guerreiro, &amp; Ribeiro Gaspar. (2026). </w:t>
      </w:r>
      <w:r>
        <w:rPr>
          <w:rFonts w:ascii="Times New Roman" w:hAnsi="Times New Roman"/>
          <w:i/>
          <w:sz w:val="24"/>
        </w:rPr>
        <w:t>Vigilância costeira com drones (UAVs): Modelação de áreas de atuação em ambiente SIG</w:t>
      </w:r>
      <w:r>
        <w:rPr>
          <w:rFonts w:ascii="Times New Roman" w:hAnsi="Times New Roman"/>
          <w:sz w:val="24"/>
        </w:rPr>
        <w:t xml:space="preserve"> [Relatório de projeto]. Escola Naval.</w:t>
      </w:r>
    </w:p>
    <w:p>
      <w:pPr>
        <w:spacing w:line="480" w:lineRule="auto"/>
        <w:ind w:left="720" w:hanging="720"/>
        <w:jc w:val="left"/>
      </w:pPr>
      <w:r>
        <w:rPr>
          <w:rFonts w:ascii="Times New Roman" w:hAnsi="Times New Roman"/>
          <w:sz w:val="24"/>
        </w:rPr>
        <w:t xml:space="preserve">Simon, H. A. (1977). </w:t>
      </w:r>
      <w:r>
        <w:rPr>
          <w:rFonts w:ascii="Times New Roman" w:hAnsi="Times New Roman"/>
          <w:i/>
          <w:sz w:val="24"/>
        </w:rPr>
        <w:t>The new science of management decision</w:t>
      </w:r>
      <w:r>
        <w:rPr>
          <w:rFonts w:ascii="Times New Roman" w:hAnsi="Times New Roman"/>
          <w:sz w:val="24"/>
        </w:rPr>
        <w:t xml:space="preserve"> (rev. ed.). Prentice Hall.</w:t>
      </w:r>
    </w:p>
    <w:p>
      <w:pPr>
        <w:spacing w:line="480" w:lineRule="auto"/>
        <w:ind w:left="720" w:hanging="720"/>
        <w:jc w:val="left"/>
      </w:pPr>
      <w:r>
        <w:rPr>
          <w:rFonts w:ascii="Times New Roman" w:hAnsi="Times New Roman"/>
          <w:sz w:val="24"/>
        </w:rPr>
        <w:t xml:space="preserve">Saaty, T. L. (1980). </w:t>
      </w:r>
      <w:r>
        <w:rPr>
          <w:rFonts w:ascii="Times New Roman" w:hAnsi="Times New Roman"/>
          <w:i/>
          <w:sz w:val="24"/>
        </w:rPr>
        <w:t>The analytic hierarchy process: Planning, priority setting, resource allocation</w:t>
      </w:r>
      <w:r>
        <w:rPr>
          <w:rFonts w:ascii="Times New Roman" w:hAnsi="Times New Roman"/>
          <w:sz w:val="24"/>
        </w:rPr>
        <w:t>. McGraw-Hill.</w:t>
      </w:r>
    </w:p>
    <w:p>
      <w:pPr>
        <w:spacing w:line="480" w:lineRule="auto"/>
        <w:ind w:left="720" w:hanging="720"/>
        <w:jc w:val="left"/>
      </w:pPr>
      <w:r>
        <w:rPr>
          <w:rFonts w:ascii="Times New Roman" w:hAnsi="Times New Roman"/>
          <w:sz w:val="24"/>
        </w:rPr>
        <w:t xml:space="preserve">TEKEVER. (2025). </w:t>
      </w:r>
      <w:r>
        <w:rPr>
          <w:rFonts w:ascii="Times New Roman" w:hAnsi="Times New Roman"/>
          <w:i/>
          <w:sz w:val="24"/>
        </w:rPr>
        <w:t>AR5 maritime surveillance UAV: Technical datasheet</w:t>
      </w:r>
      <w:r>
        <w:rPr>
          <w:rFonts w:ascii="Times New Roman" w:hAnsi="Times New Roman"/>
          <w:sz w:val="24"/>
        </w:rPr>
        <w:t>. TEKEVER.</w:t>
      </w:r>
    </w:p>
    <w:p>
      <w:pPr>
        <w:spacing w:line="480" w:lineRule="auto"/>
        <w:ind w:left="720" w:hanging="720"/>
        <w:jc w:val="left"/>
      </w:pPr>
      <w:r>
        <w:rPr>
          <w:rFonts w:ascii="Times New Roman" w:hAnsi="Times New Roman"/>
          <w:sz w:val="24"/>
        </w:rPr>
        <w:t xml:space="preserve">Toregas, C., Swain, R., ReVelle, C., &amp; Bergman, L. (1971). The location of emergency service facilities. </w:t>
      </w:r>
      <w:r>
        <w:rPr>
          <w:rFonts w:ascii="Times New Roman" w:hAnsi="Times New Roman"/>
          <w:i/>
          <w:sz w:val="24"/>
        </w:rPr>
        <w:t>Operations Research, 19</w:t>
      </w:r>
      <w:r>
        <w:rPr>
          <w:rFonts w:ascii="Times New Roman" w:hAnsi="Times New Roman"/>
          <w:sz w:val="24"/>
        </w:rPr>
        <w:t>(6), 1363–1373. https://doi.org/10.1287/opre.19.6.1363</w:t>
      </w:r>
    </w:p>
    <w:p>
      <w:pPr>
        <w:spacing w:line="480" w:lineRule="auto"/>
        <w:ind w:left="720" w:hanging="720"/>
        <w:jc w:val="left"/>
      </w:pPr>
      <w:r>
        <w:rPr>
          <w:rFonts w:ascii="Times New Roman" w:hAnsi="Times New Roman"/>
          <w:sz w:val="24"/>
        </w:rPr>
        <w:t xml:space="preserve">Tufte, E. R. (2001). </w:t>
      </w:r>
      <w:r>
        <w:rPr>
          <w:rFonts w:ascii="Times New Roman" w:hAnsi="Times New Roman"/>
          <w:i/>
          <w:sz w:val="24"/>
        </w:rPr>
        <w:t>The visual display of quantitative information</w:t>
      </w:r>
      <w:r>
        <w:rPr>
          <w:rFonts w:ascii="Times New Roman" w:hAnsi="Times New Roman"/>
          <w:sz w:val="24"/>
        </w:rPr>
        <w:t xml:space="preserve"> (2nd ed.). Graphics Press.</w:t>
      </w:r>
    </w:p>
    <w:p>
      <w:pPr>
        <w:spacing w:line="480" w:lineRule="auto"/>
        <w:ind w:left="720" w:hanging="720"/>
        <w:jc w:val="left"/>
      </w:pPr>
      <w:r>
        <w:rPr>
          <w:rFonts w:ascii="Times New Roman" w:hAnsi="Times New Roman"/>
          <w:sz w:val="24"/>
        </w:rPr>
        <w:t xml:space="preserve">Turban, E., Sharda, R., &amp; Delen, D. (2011). </w:t>
      </w:r>
      <w:r>
        <w:rPr>
          <w:rFonts w:ascii="Times New Roman" w:hAnsi="Times New Roman"/>
          <w:i/>
          <w:sz w:val="24"/>
        </w:rPr>
        <w:t>Decision support and business intelligence systems</w:t>
      </w:r>
      <w:r>
        <w:rPr>
          <w:rFonts w:ascii="Times New Roman" w:hAnsi="Times New Roman"/>
          <w:sz w:val="24"/>
        </w:rPr>
        <w:t xml:space="preserve"> (9th ed.). Prentice Hall.</w:t>
      </w:r>
    </w:p>
    <w:p>
      <w:pPr>
        <w:spacing w:line="480" w:lineRule="auto"/>
        <w:ind w:left="720" w:hanging="720"/>
        <w:jc w:val="left"/>
      </w:pPr>
      <w:r>
        <w:rPr>
          <w:rFonts w:ascii="Times New Roman" w:hAnsi="Times New Roman"/>
          <w:sz w:val="24"/>
        </w:rPr>
        <w:t xml:space="preserve">United Nations Office on Drugs and Crime. (2024). </w:t>
      </w:r>
      <w:r>
        <w:rPr>
          <w:rFonts w:ascii="Times New Roman" w:hAnsi="Times New Roman"/>
          <w:i/>
          <w:sz w:val="24"/>
        </w:rPr>
        <w:t>World drug report 2024</w:t>
      </w:r>
      <w:r>
        <w:rPr>
          <w:rFonts w:ascii="Times New Roman" w:hAnsi="Times New Roman"/>
          <w:sz w:val="24"/>
        </w:rPr>
        <w:t>. United Nations.</w:t>
      </w:r>
    </w:p>
    <w:p>
      <w:pPr>
        <w:spacing w:line="480" w:lineRule="auto"/>
        <w:ind w:left="720" w:hanging="720"/>
        <w:jc w:val="left"/>
      </w:pPr>
      <w:r>
        <w:rPr>
          <w:rFonts w:ascii="Times New Roman" w:hAnsi="Times New Roman"/>
          <w:sz w:val="24"/>
        </w:rPr>
        <w:t xml:space="preserve">Ward, J. H. (1963). Hierarchical grouping to optimize an objective function. </w:t>
      </w:r>
      <w:r>
        <w:rPr>
          <w:rFonts w:ascii="Times New Roman" w:hAnsi="Times New Roman"/>
          <w:i/>
          <w:sz w:val="24"/>
        </w:rPr>
        <w:t>Journal of the American Statistical Association, 58</w:t>
      </w:r>
      <w:r>
        <w:rPr>
          <w:rFonts w:ascii="Times New Roman" w:hAnsi="Times New Roman"/>
          <w:sz w:val="24"/>
        </w:rPr>
        <w:t>(301), 236–244. https://doi.org/10.1080/01621459.1963.10500845</w:t>
      </w:r>
    </w:p>
    <w:p>
      <w:pPr>
        <w:spacing w:line="480" w:lineRule="auto"/>
        <w:ind w:left="720" w:hanging="720"/>
        <w:jc w:val="left"/>
      </w:pPr>
      <w:r>
        <w:rPr>
          <w:rFonts w:ascii="Times New Roman" w:hAnsi="Times New Roman"/>
          <w:sz w:val="24"/>
        </w:rPr>
        <w:t xml:space="preserve">Zadeh, L. A. (1965). Fuzzy sets. </w:t>
      </w:r>
      <w:r>
        <w:rPr>
          <w:rFonts w:ascii="Times New Roman" w:hAnsi="Times New Roman"/>
          <w:i/>
          <w:sz w:val="24"/>
        </w:rPr>
        <w:t>Information and Control, 8</w:t>
      </w:r>
      <w:r>
        <w:rPr>
          <w:rFonts w:ascii="Times New Roman" w:hAnsi="Times New Roman"/>
          <w:sz w:val="24"/>
        </w:rPr>
        <w:t>(3), 338–353. https://doi.org/10.1016/S0019-9958(65)90241-X</w:t>
      </w:r>
    </w:p>
    <w:p>
      <w:r>
        <w:br w:type="page"/>
      </w:r>
    </w:p>
    <w:p>
      <w:pPr>
        <w:pStyle w:val="Heading1"/>
      </w:pPr>
      <w:r>
        <w:t>11. Anexos</w:t>
      </w:r>
    </w:p>
    <w:p>
      <w:pPr>
        <w:pStyle w:val="Heading2"/>
      </w:pPr>
      <w:r>
        <w:t>Anexo A — Figuras</w:t>
      </w:r>
    </w:p>
    <w:p>
      <w:pPr>
        <w:spacing w:line="480" w:lineRule="auto"/>
        <w:ind w:firstLine="0"/>
        <w:jc w:val="center"/>
      </w:pPr>
      <w:r>
        <w:rPr>
          <w:rFonts w:ascii="Times New Roman" w:hAnsi="Times New Roman"/>
          <w:b/>
          <w:sz w:val="22"/>
        </w:rPr>
        <w:t>Figura 1 -</w:t>
      </w:r>
      <w:r>
        <w:rPr>
          <w:rFonts w:ascii="Times New Roman" w:hAnsi="Times New Roman"/>
          <w:sz w:val="22"/>
        </w:rPr>
        <w:t xml:space="preserve"> Panorama exploratório das apreensões (EDA): distribuição temporal, por tipo e geográfica. de droga, histograma de quantidades e percentagem de apreensões marítimas por grupo.</w:t>
      </w:r>
    </w:p>
    <w:p>
      <w:pPr>
        <w:jc w:val="center"/>
      </w:pPr>
      <w:r>
        <w:drawing>
          <wp:inline xmlns:a="http://schemas.openxmlformats.org/drawingml/2006/main" xmlns:pic="http://schemas.openxmlformats.org/drawingml/2006/picture">
            <wp:extent cx="5400000" cy="4153846"/>
            <wp:docPr id="1" name="Picture 1"/>
            <wp:cNvGraphicFramePr>
              <a:graphicFrameLocks noChangeAspect="1"/>
            </wp:cNvGraphicFramePr>
            <a:graphic>
              <a:graphicData uri="http://schemas.openxmlformats.org/drawingml/2006/picture">
                <pic:pic>
                  <pic:nvPicPr>
                    <pic:cNvPr id="0" name="eda_panorama.png"/>
                    <pic:cNvPicPr/>
                  </pic:nvPicPr>
                  <pic:blipFill>
                    <a:blip r:embed="rId10"/>
                    <a:stretch>
                      <a:fillRect/>
                    </a:stretch>
                  </pic:blipFill>
                  <pic:spPr>
                    <a:xfrm>
                      <a:off x="0" y="0"/>
                      <a:ext cx="5400000" cy="4153846"/>
                    </a:xfrm>
                    <a:prstGeom prst="rect"/>
                  </pic:spPr>
                </pic:pic>
              </a:graphicData>
            </a:graphic>
          </wp:inline>
        </w:drawing>
      </w:r>
    </w:p>
    <w:p>
      <w:pPr>
        <w:spacing w:line="480" w:lineRule="auto"/>
        <w:ind w:firstLine="0"/>
        <w:jc w:val="center"/>
      </w:pPr>
      <w:r>
        <w:rPr>
          <w:rFonts w:ascii="Times New Roman" w:hAnsi="Times New Roman"/>
          <w:b/>
          <w:sz w:val="22"/>
        </w:rPr>
        <w:t>Figura 2 -</w:t>
      </w:r>
      <w:r>
        <w:rPr>
          <w:rFonts w:ascii="Times New Roman" w:hAnsi="Times New Roman"/>
          <w:sz w:val="22"/>
        </w:rPr>
        <w:t xml:space="preserve"> Distribuição das apreensões por região (diagrama de caixa). contagem de apreensões por região (Norte/Centro/Sul).</w:t>
      </w:r>
    </w:p>
    <w:p>
      <w:pPr>
        <w:jc w:val="center"/>
      </w:pPr>
      <w:r>
        <w:drawing>
          <wp:inline xmlns:a="http://schemas.openxmlformats.org/drawingml/2006/main" xmlns:pic="http://schemas.openxmlformats.org/drawingml/2006/picture">
            <wp:extent cx="5400000" cy="1928571"/>
            <wp:docPr id="2" name="Picture 2"/>
            <wp:cNvGraphicFramePr>
              <a:graphicFrameLocks noChangeAspect="1"/>
            </wp:cNvGraphicFramePr>
            <a:graphic>
              <a:graphicData uri="http://schemas.openxmlformats.org/drawingml/2006/picture">
                <pic:pic>
                  <pic:nvPicPr>
                    <pic:cNvPr id="0" name="eda_boxplot_regiao.png"/>
                    <pic:cNvPicPr/>
                  </pic:nvPicPr>
                  <pic:blipFill>
                    <a:blip r:embed="rId11"/>
                    <a:stretch>
                      <a:fillRect/>
                    </a:stretch>
                  </pic:blipFill>
                  <pic:spPr>
                    <a:xfrm>
                      <a:off x="0" y="0"/>
                      <a:ext cx="5400000" cy="1928571"/>
                    </a:xfrm>
                    <a:prstGeom prst="rect"/>
                  </pic:spPr>
                </pic:pic>
              </a:graphicData>
            </a:graphic>
          </wp:inline>
        </w:drawing>
      </w:r>
    </w:p>
    <w:p>
      <w:pPr>
        <w:spacing w:line="480" w:lineRule="auto"/>
        <w:ind w:firstLine="0"/>
        <w:jc w:val="center"/>
      </w:pPr>
      <w:r>
        <w:rPr>
          <w:rFonts w:ascii="Times New Roman" w:hAnsi="Times New Roman"/>
          <w:b/>
          <w:sz w:val="22"/>
        </w:rPr>
        <w:t>Figura 3 -</w:t>
      </w:r>
      <w:r>
        <w:rPr>
          <w:rFonts w:ascii="Times New Roman" w:hAnsi="Times New Roman"/>
          <w:sz w:val="22"/>
        </w:rPr>
        <w:t xml:space="preserve"> Redução de dimensionalidade por PCA: projeção das observações no plano das duas primeiras componentes (colorida pela classe marítima) e variância explicada por componente.</w:t>
      </w:r>
    </w:p>
    <w:p>
      <w:pPr>
        <w:jc w:val="center"/>
      </w:pPr>
      <w:r>
        <w:drawing>
          <wp:inline xmlns:a="http://schemas.openxmlformats.org/drawingml/2006/main" xmlns:pic="http://schemas.openxmlformats.org/drawingml/2006/picture">
            <wp:extent cx="5400000" cy="2314286"/>
            <wp:docPr id="3" name="Picture 3"/>
            <wp:cNvGraphicFramePr>
              <a:graphicFrameLocks noChangeAspect="1"/>
            </wp:cNvGraphicFramePr>
            <a:graphic>
              <a:graphicData uri="http://schemas.openxmlformats.org/drawingml/2006/picture">
                <pic:pic>
                  <pic:nvPicPr>
                    <pic:cNvPr id="0" name="proj_pca.png"/>
                    <pic:cNvPicPr/>
                  </pic:nvPicPr>
                  <pic:blipFill>
                    <a:blip r:embed="rId12"/>
                    <a:stretch>
                      <a:fillRect/>
                    </a:stretch>
                  </pic:blipFill>
                  <pic:spPr>
                    <a:xfrm>
                      <a:off x="0" y="0"/>
                      <a:ext cx="5400000" cy="2314286"/>
                    </a:xfrm>
                    <a:prstGeom prst="rect"/>
                  </pic:spPr>
                </pic:pic>
              </a:graphicData>
            </a:graphic>
          </wp:inline>
        </w:drawing>
      </w:r>
    </w:p>
    <w:p>
      <w:pPr>
        <w:spacing w:line="480" w:lineRule="auto"/>
        <w:ind w:firstLine="0"/>
        <w:jc w:val="center"/>
      </w:pPr>
      <w:r>
        <w:rPr>
          <w:rFonts w:ascii="Times New Roman" w:hAnsi="Times New Roman"/>
          <w:b/>
          <w:sz w:val="22"/>
        </w:rPr>
        <w:t>Figura 4 -</w:t>
      </w:r>
      <w:r>
        <w:rPr>
          <w:rFonts w:ascii="Times New Roman" w:hAnsi="Times New Roman"/>
          <w:sz w:val="22"/>
        </w:rPr>
        <w:t xml:space="preserve"> Seleção do número de clusters: método do cotovelo e coeficiente de silhueta.</w:t>
      </w:r>
    </w:p>
    <w:p>
      <w:pPr>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clu_elbow_silhueta.png"/>
                    <pic:cNvPicPr/>
                  </pic:nvPicPr>
                  <pic:blipFill>
                    <a:blip r:embed="rId13"/>
                    <a:stretch>
                      <a:fillRect/>
                    </a:stretch>
                  </pic:blipFill>
                  <pic:spPr>
                    <a:xfrm>
                      <a:off x="0" y="0"/>
                      <a:ext cx="5400000" cy="3375000"/>
                    </a:xfrm>
                    <a:prstGeom prst="rect"/>
                  </pic:spPr>
                </pic:pic>
              </a:graphicData>
            </a:graphic>
          </wp:inline>
        </w:drawing>
      </w:r>
    </w:p>
    <w:p>
      <w:pPr>
        <w:spacing w:line="480" w:lineRule="auto"/>
        <w:ind w:firstLine="0"/>
        <w:jc w:val="center"/>
      </w:pPr>
      <w:r>
        <w:rPr>
          <w:rFonts w:ascii="Times New Roman" w:hAnsi="Times New Roman"/>
          <w:b/>
          <w:sz w:val="22"/>
        </w:rPr>
        <w:t>Figura 5 -</w:t>
      </w:r>
      <w:r>
        <w:rPr>
          <w:rFonts w:ascii="Times New Roman" w:hAnsi="Times New Roman"/>
          <w:sz w:val="22"/>
        </w:rPr>
        <w:t xml:space="preserve"> Clustering </w:t>
      </w:r>
      <w:r>
        <w:rPr>
          <w:rFonts w:ascii="Times New Roman" w:hAnsi="Times New Roman"/>
          <w:i/>
          <w:sz w:val="22"/>
        </w:rPr>
        <w:t>k</w:t>
      </w:r>
      <w:r>
        <w:rPr>
          <w:rFonts w:ascii="Times New Roman" w:hAnsi="Times New Roman"/>
          <w:sz w:val="22"/>
        </w:rPr>
        <w:t>-means: solução geral (esquerda) e restrita ao domínio marítimo (direita). (direita).</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00000" cy="3278571"/>
                  <wp:docPr id="5" name="Picture 5"/>
                  <wp:cNvGraphicFramePr>
                    <a:graphicFrameLocks noChangeAspect="1"/>
                  </wp:cNvGraphicFramePr>
                  <a:graphic>
                    <a:graphicData uri="http://schemas.openxmlformats.org/drawingml/2006/picture">
                      <pic:pic>
                        <pic:nvPicPr>
                          <pic:cNvPr id="0" name="clu_kmeans_geral.png"/>
                          <pic:cNvPicPr/>
                        </pic:nvPicPr>
                        <pic:blipFill>
                          <a:blip r:embed="rId14"/>
                          <a:stretch>
                            <a:fillRect/>
                          </a:stretch>
                        </pic:blipFill>
                        <pic:spPr>
                          <a:xfrm>
                            <a:off x="0" y="0"/>
                            <a:ext cx="2700000" cy="3278571"/>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00000" cy="3278571"/>
                  <wp:docPr id="6" name="Picture 6"/>
                  <wp:cNvGraphicFramePr>
                    <a:graphicFrameLocks noChangeAspect="1"/>
                  </wp:cNvGraphicFramePr>
                  <a:graphic>
                    <a:graphicData uri="http://schemas.openxmlformats.org/drawingml/2006/picture">
                      <pic:pic>
                        <pic:nvPicPr>
                          <pic:cNvPr id="0" name="clu_kmeans_maritimo.png"/>
                          <pic:cNvPicPr/>
                        </pic:nvPicPr>
                        <pic:blipFill>
                          <a:blip r:embed="rId15"/>
                          <a:stretch>
                            <a:fillRect/>
                          </a:stretch>
                        </pic:blipFill>
                        <pic:spPr>
                          <a:xfrm>
                            <a:off x="0" y="0"/>
                            <a:ext cx="2700000" cy="3278571"/>
                          </a:xfrm>
                          <a:prstGeom prst="rect"/>
                        </pic:spPr>
                      </pic:pic>
                    </a:graphicData>
                  </a:graphic>
                </wp:inline>
              </w:drawing>
            </w:r>
          </w:p>
        </w:tc>
      </w:tr>
    </w:tbl>
    <w:p>
      <w:pPr>
        <w:spacing w:line="480" w:lineRule="auto"/>
        <w:ind w:firstLine="0"/>
        <w:jc w:val="center"/>
      </w:pPr>
      <w:r>
        <w:rPr>
          <w:rFonts w:ascii="Times New Roman" w:hAnsi="Times New Roman"/>
          <w:b/>
          <w:sz w:val="22"/>
        </w:rPr>
        <w:t>Figura 6 -</w:t>
      </w:r>
      <w:r>
        <w:rPr>
          <w:rFonts w:ascii="Times New Roman" w:hAnsi="Times New Roman"/>
          <w:sz w:val="22"/>
        </w:rPr>
        <w:t xml:space="preserve"> Agrupamento hierárquico (dendrograma, esquerda) e Fuzzy C-Means (direita). com grau de pertença ao cluster dominante (à direita).</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00000" cy="1350000"/>
                  <wp:docPr id="7" name="Picture 7"/>
                  <wp:cNvGraphicFramePr>
                    <a:graphicFrameLocks noChangeAspect="1"/>
                  </wp:cNvGraphicFramePr>
                  <a:graphic>
                    <a:graphicData uri="http://schemas.openxmlformats.org/drawingml/2006/picture">
                      <pic:pic>
                        <pic:nvPicPr>
                          <pic:cNvPr id="0" name="clu_dendrograma.png"/>
                          <pic:cNvPicPr/>
                        </pic:nvPicPr>
                        <pic:blipFill>
                          <a:blip r:embed="rId16"/>
                          <a:stretch>
                            <a:fillRect/>
                          </a:stretch>
                        </pic:blipFill>
                        <pic:spPr>
                          <a:xfrm>
                            <a:off x="0" y="0"/>
                            <a:ext cx="2700000" cy="1350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00000" cy="3278571"/>
                  <wp:docPr id="8" name="Picture 8"/>
                  <wp:cNvGraphicFramePr>
                    <a:graphicFrameLocks noChangeAspect="1"/>
                  </wp:cNvGraphicFramePr>
                  <a:graphic>
                    <a:graphicData uri="http://schemas.openxmlformats.org/drawingml/2006/picture">
                      <pic:pic>
                        <pic:nvPicPr>
                          <pic:cNvPr id="0" name="clu_fuzzy_cmeans.png"/>
                          <pic:cNvPicPr/>
                        </pic:nvPicPr>
                        <pic:blipFill>
                          <a:blip r:embed="rId17"/>
                          <a:stretch>
                            <a:fillRect/>
                          </a:stretch>
                        </pic:blipFill>
                        <pic:spPr>
                          <a:xfrm>
                            <a:off x="0" y="0"/>
                            <a:ext cx="2700000" cy="3278571"/>
                          </a:xfrm>
                          <a:prstGeom prst="rect"/>
                        </pic:spPr>
                      </pic:pic>
                    </a:graphicData>
                  </a:graphic>
                </wp:inline>
              </w:drawing>
            </w:r>
          </w:p>
        </w:tc>
      </w:tr>
    </w:tbl>
    <w:p>
      <w:pPr>
        <w:spacing w:line="480" w:lineRule="auto"/>
        <w:ind w:firstLine="0"/>
        <w:jc w:val="center"/>
      </w:pPr>
      <w:r>
        <w:rPr>
          <w:rFonts w:ascii="Times New Roman" w:hAnsi="Times New Roman"/>
          <w:b/>
          <w:sz w:val="22"/>
        </w:rPr>
        <w:t>Figura 7 -</w:t>
      </w:r>
      <w:r>
        <w:rPr>
          <w:rFonts w:ascii="Times New Roman" w:hAnsi="Times New Roman"/>
          <w:sz w:val="22"/>
        </w:rPr>
        <w:t xml:space="preserve"> Comparação de desempenho das quatro famílias de classificadores. teste.</w:t>
      </w:r>
    </w:p>
    <w:p>
      <w:pPr>
        <w:jc w:val="center"/>
      </w:pPr>
      <w:r>
        <w:drawing>
          <wp:inline xmlns:a="http://schemas.openxmlformats.org/drawingml/2006/main" xmlns:pic="http://schemas.openxmlformats.org/drawingml/2006/picture">
            <wp:extent cx="5400000" cy="2552727"/>
            <wp:docPr id="9" name="Picture 9"/>
            <wp:cNvGraphicFramePr>
              <a:graphicFrameLocks noChangeAspect="1"/>
            </wp:cNvGraphicFramePr>
            <a:graphic>
              <a:graphicData uri="http://schemas.openxmlformats.org/drawingml/2006/picture">
                <pic:pic>
                  <pic:nvPicPr>
                    <pic:cNvPr id="0" name="clf_comparacao.png"/>
                    <pic:cNvPicPr/>
                  </pic:nvPicPr>
                  <pic:blipFill>
                    <a:blip r:embed="rId18"/>
                    <a:stretch>
                      <a:fillRect/>
                    </a:stretch>
                  </pic:blipFill>
                  <pic:spPr>
                    <a:xfrm>
                      <a:off x="0" y="0"/>
                      <a:ext cx="5400000" cy="2552727"/>
                    </a:xfrm>
                    <a:prstGeom prst="rect"/>
                  </pic:spPr>
                </pic:pic>
              </a:graphicData>
            </a:graphic>
          </wp:inline>
        </w:drawing>
      </w:r>
    </w:p>
    <w:p>
      <w:pPr>
        <w:spacing w:line="480" w:lineRule="auto"/>
        <w:ind w:firstLine="0"/>
        <w:jc w:val="center"/>
      </w:pPr>
      <w:r>
        <w:rPr>
          <w:rFonts w:ascii="Times New Roman" w:hAnsi="Times New Roman"/>
          <w:b/>
          <w:sz w:val="22"/>
        </w:rPr>
        <w:t>Figura 8 -</w:t>
      </w:r>
      <w:r>
        <w:rPr>
          <w:rFonts w:ascii="Times New Roman" w:hAnsi="Times New Roman"/>
          <w:sz w:val="22"/>
        </w:rPr>
        <w:t xml:space="preserve"> Validação cruzada estratificada dos classificadores. e desvio-padrão de F1, ROC-AUC e PR-AUC.</w:t>
      </w:r>
    </w:p>
    <w:p>
      <w:pPr>
        <w:jc w:val="center"/>
      </w:pPr>
      <w:r>
        <w:drawing>
          <wp:inline xmlns:a="http://schemas.openxmlformats.org/drawingml/2006/main" xmlns:pic="http://schemas.openxmlformats.org/drawingml/2006/picture">
            <wp:extent cx="5400000" cy="2842105"/>
            <wp:docPr id="10" name="Picture 10"/>
            <wp:cNvGraphicFramePr>
              <a:graphicFrameLocks noChangeAspect="1"/>
            </wp:cNvGraphicFramePr>
            <a:graphic>
              <a:graphicData uri="http://schemas.openxmlformats.org/drawingml/2006/picture">
                <pic:pic>
                  <pic:nvPicPr>
                    <pic:cNvPr id="0" name="clf_validacao_cruzada.png"/>
                    <pic:cNvPicPr/>
                  </pic:nvPicPr>
                  <pic:blipFill>
                    <a:blip r:embed="rId19"/>
                    <a:stretch>
                      <a:fillRect/>
                    </a:stretch>
                  </pic:blipFill>
                  <pic:spPr>
                    <a:xfrm>
                      <a:off x="0" y="0"/>
                      <a:ext cx="5400000" cy="2842105"/>
                    </a:xfrm>
                    <a:prstGeom prst="rect"/>
                  </pic:spPr>
                </pic:pic>
              </a:graphicData>
            </a:graphic>
          </wp:inline>
        </w:drawing>
      </w:r>
    </w:p>
    <w:p>
      <w:pPr>
        <w:spacing w:line="480" w:lineRule="auto"/>
        <w:ind w:firstLine="0"/>
        <w:jc w:val="center"/>
      </w:pPr>
      <w:r>
        <w:rPr>
          <w:rFonts w:ascii="Times New Roman" w:hAnsi="Times New Roman"/>
          <w:b/>
          <w:sz w:val="22"/>
        </w:rPr>
        <w:t>Figura 9 -</w:t>
      </w:r>
      <w:r>
        <w:rPr>
          <w:rFonts w:ascii="Times New Roman" w:hAnsi="Times New Roman"/>
          <w:sz w:val="22"/>
        </w:rPr>
        <w:t xml:space="preserve"> Matrizes de confusão dos classificadores no conjunto de teste.</w:t>
      </w:r>
    </w:p>
    <w:p>
      <w:pPr>
        <w:jc w:val="center"/>
      </w:pPr>
      <w:r>
        <w:drawing>
          <wp:inline xmlns:a="http://schemas.openxmlformats.org/drawingml/2006/main" xmlns:pic="http://schemas.openxmlformats.org/drawingml/2006/picture">
            <wp:extent cx="5400000" cy="2787097"/>
            <wp:docPr id="11" name="Picture 11"/>
            <wp:cNvGraphicFramePr>
              <a:graphicFrameLocks noChangeAspect="1"/>
            </wp:cNvGraphicFramePr>
            <a:graphic>
              <a:graphicData uri="http://schemas.openxmlformats.org/drawingml/2006/picture">
                <pic:pic>
                  <pic:nvPicPr>
                    <pic:cNvPr id="0" name="clf_confusao.png"/>
                    <pic:cNvPicPr/>
                  </pic:nvPicPr>
                  <pic:blipFill>
                    <a:blip r:embed="rId20"/>
                    <a:stretch>
                      <a:fillRect/>
                    </a:stretch>
                  </pic:blipFill>
                  <pic:spPr>
                    <a:xfrm>
                      <a:off x="0" y="0"/>
                      <a:ext cx="5400000" cy="2787097"/>
                    </a:xfrm>
                    <a:prstGeom prst="rect"/>
                  </pic:spPr>
                </pic:pic>
              </a:graphicData>
            </a:graphic>
          </wp:inline>
        </w:drawing>
      </w:r>
    </w:p>
    <w:p>
      <w:pPr>
        <w:spacing w:line="480" w:lineRule="auto"/>
        <w:ind w:firstLine="0"/>
        <w:jc w:val="center"/>
      </w:pPr>
      <w:r>
        <w:rPr>
          <w:rFonts w:ascii="Times New Roman" w:hAnsi="Times New Roman"/>
          <w:b/>
          <w:sz w:val="22"/>
        </w:rPr>
        <w:t>Figura 10 -</w:t>
      </w:r>
      <w:r>
        <w:rPr>
          <w:rFonts w:ascii="Times New Roman" w:hAnsi="Times New Roman"/>
          <w:sz w:val="22"/>
        </w:rPr>
        <w:t xml:space="preserve"> Curvas ROC (esquerda) e curvas precisão–sensibilidade (direita) dos classificadores.</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00000" cy="2391429"/>
                  <wp:docPr id="12" name="Picture 12"/>
                  <wp:cNvGraphicFramePr>
                    <a:graphicFrameLocks noChangeAspect="1"/>
                  </wp:cNvGraphicFramePr>
                  <a:graphic>
                    <a:graphicData uri="http://schemas.openxmlformats.org/drawingml/2006/picture">
                      <pic:pic>
                        <pic:nvPicPr>
                          <pic:cNvPr id="0" name="clf_roc.png"/>
                          <pic:cNvPicPr/>
                        </pic:nvPicPr>
                        <pic:blipFill>
                          <a:blip r:embed="rId21"/>
                          <a:stretch>
                            <a:fillRect/>
                          </a:stretch>
                        </pic:blipFill>
                        <pic:spPr>
                          <a:xfrm>
                            <a:off x="0" y="0"/>
                            <a:ext cx="2700000" cy="2391429"/>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00000" cy="2391429"/>
                  <wp:docPr id="13" name="Picture 13"/>
                  <wp:cNvGraphicFramePr>
                    <a:graphicFrameLocks noChangeAspect="1"/>
                  </wp:cNvGraphicFramePr>
                  <a:graphic>
                    <a:graphicData uri="http://schemas.openxmlformats.org/drawingml/2006/picture">
                      <pic:pic>
                        <pic:nvPicPr>
                          <pic:cNvPr id="0" name="clf_pr.png"/>
                          <pic:cNvPicPr/>
                        </pic:nvPicPr>
                        <pic:blipFill>
                          <a:blip r:embed="rId22"/>
                          <a:stretch>
                            <a:fillRect/>
                          </a:stretch>
                        </pic:blipFill>
                        <pic:spPr>
                          <a:xfrm>
                            <a:off x="0" y="0"/>
                            <a:ext cx="2700000" cy="2391429"/>
                          </a:xfrm>
                          <a:prstGeom prst="rect"/>
                        </pic:spPr>
                      </pic:pic>
                    </a:graphicData>
                  </a:graphic>
                </wp:inline>
              </w:drawing>
            </w:r>
          </w:p>
        </w:tc>
      </w:tr>
    </w:tbl>
    <w:p>
      <w:pPr>
        <w:spacing w:line="480" w:lineRule="auto"/>
        <w:ind w:firstLine="0"/>
        <w:jc w:val="center"/>
      </w:pPr>
      <w:r>
        <w:rPr>
          <w:rFonts w:ascii="Times New Roman" w:hAnsi="Times New Roman"/>
          <w:b/>
          <w:sz w:val="22"/>
        </w:rPr>
        <w:t>Figura 11 -</w:t>
      </w:r>
      <w:r>
        <w:rPr>
          <w:rFonts w:ascii="Times New Roman" w:hAnsi="Times New Roman"/>
          <w:sz w:val="22"/>
        </w:rPr>
        <w:t xml:space="preserve"> Análise de ajuste do limiar de decisão do modelo recomendado (perceptrão multicamada otimizado): confiança positiva, sensibilidade e F1 em função do limiar.</w:t>
      </w:r>
    </w:p>
    <w:p>
      <w:pPr>
        <w:jc w:val="center"/>
      </w:pPr>
      <w:r>
        <w:drawing>
          <wp:inline xmlns:a="http://schemas.openxmlformats.org/drawingml/2006/main" xmlns:pic="http://schemas.openxmlformats.org/drawingml/2006/picture">
            <wp:extent cx="5400000" cy="3176471"/>
            <wp:docPr id="14" name="Picture 14"/>
            <wp:cNvGraphicFramePr>
              <a:graphicFrameLocks noChangeAspect="1"/>
            </wp:cNvGraphicFramePr>
            <a:graphic>
              <a:graphicData uri="http://schemas.openxmlformats.org/drawingml/2006/picture">
                <pic:pic>
                  <pic:nvPicPr>
                    <pic:cNvPr id="0" name="clf_limiar.png"/>
                    <pic:cNvPicPr/>
                  </pic:nvPicPr>
                  <pic:blipFill>
                    <a:blip r:embed="rId23"/>
                    <a:stretch>
                      <a:fillRect/>
                    </a:stretch>
                  </pic:blipFill>
                  <pic:spPr>
                    <a:xfrm>
                      <a:off x="0" y="0"/>
                      <a:ext cx="5400000" cy="3176471"/>
                    </a:xfrm>
                    <a:prstGeom prst="rect"/>
                  </pic:spPr>
                </pic:pic>
              </a:graphicData>
            </a:graphic>
          </wp:inline>
        </w:drawing>
      </w:r>
    </w:p>
    <w:p>
      <w:pPr>
        <w:spacing w:line="480" w:lineRule="auto"/>
        <w:ind w:firstLine="0"/>
        <w:jc w:val="center"/>
      </w:pPr>
      <w:r>
        <w:rPr>
          <w:rFonts w:ascii="Times New Roman" w:hAnsi="Times New Roman"/>
          <w:b/>
          <w:sz w:val="22"/>
        </w:rPr>
        <w:t>Figura 12 -</w:t>
      </w:r>
      <w:r>
        <w:rPr>
          <w:rFonts w:ascii="Times New Roman" w:hAnsi="Times New Roman"/>
          <w:sz w:val="22"/>
        </w:rPr>
        <w:t xml:space="preserve"> Importância relativa dos atributos na árvore de decisão otimizada.</w:t>
      </w:r>
    </w:p>
    <w:p>
      <w:pPr>
        <w:jc w:val="center"/>
      </w:pPr>
      <w:r>
        <w:drawing>
          <wp:inline xmlns:a="http://schemas.openxmlformats.org/drawingml/2006/main" xmlns:pic="http://schemas.openxmlformats.org/drawingml/2006/picture">
            <wp:extent cx="5400000" cy="3037500"/>
            <wp:docPr id="15" name="Picture 15"/>
            <wp:cNvGraphicFramePr>
              <a:graphicFrameLocks noChangeAspect="1"/>
            </wp:cNvGraphicFramePr>
            <a:graphic>
              <a:graphicData uri="http://schemas.openxmlformats.org/drawingml/2006/picture">
                <pic:pic>
                  <pic:nvPicPr>
                    <pic:cNvPr id="0" name="clf_importancia.png"/>
                    <pic:cNvPicPr/>
                  </pic:nvPicPr>
                  <pic:blipFill>
                    <a:blip r:embed="rId24"/>
                    <a:stretch>
                      <a:fillRect/>
                    </a:stretch>
                  </pic:blipFill>
                  <pic:spPr>
                    <a:xfrm>
                      <a:off x="0" y="0"/>
                      <a:ext cx="5400000" cy="3037500"/>
                    </a:xfrm>
                    <a:prstGeom prst="rect"/>
                  </pic:spPr>
                </pic:pic>
              </a:graphicData>
            </a:graphic>
          </wp:inline>
        </w:drawing>
      </w:r>
    </w:p>
    <w:p>
      <w:pPr>
        <w:spacing w:line="480" w:lineRule="auto"/>
        <w:ind w:firstLine="0"/>
        <w:jc w:val="center"/>
      </w:pPr>
      <w:r>
        <w:rPr>
          <w:rFonts w:ascii="Times New Roman" w:hAnsi="Times New Roman"/>
          <w:b/>
          <w:sz w:val="22"/>
        </w:rPr>
        <w:t>Figura 13 -</w:t>
      </w:r>
      <w:r>
        <w:rPr>
          <w:rFonts w:ascii="Times New Roman" w:hAnsi="Times New Roman"/>
          <w:sz w:val="22"/>
        </w:rPr>
        <w:t xml:space="preserve"> Árvore de decisão otimizada (CART): primeiros níveis.</w:t>
      </w:r>
    </w:p>
    <w:p>
      <w:pPr>
        <w:jc w:val="center"/>
      </w:pPr>
      <w:r>
        <w:drawing>
          <wp:inline xmlns:a="http://schemas.openxmlformats.org/drawingml/2006/main" xmlns:pic="http://schemas.openxmlformats.org/drawingml/2006/picture">
            <wp:extent cx="5400000" cy="2700000"/>
            <wp:docPr id="16" name="Picture 16"/>
            <wp:cNvGraphicFramePr>
              <a:graphicFrameLocks noChangeAspect="1"/>
            </wp:cNvGraphicFramePr>
            <a:graphic>
              <a:graphicData uri="http://schemas.openxmlformats.org/drawingml/2006/picture">
                <pic:pic>
                  <pic:nvPicPr>
                    <pic:cNvPr id="0" name="clf_arvore.png"/>
                    <pic:cNvPicPr/>
                  </pic:nvPicPr>
                  <pic:blipFill>
                    <a:blip r:embed="rId25"/>
                    <a:stretch>
                      <a:fillRect/>
                    </a:stretch>
                  </pic:blipFill>
                  <pic:spPr>
                    <a:xfrm>
                      <a:off x="0" y="0"/>
                      <a:ext cx="5400000" cy="2700000"/>
                    </a:xfrm>
                    <a:prstGeom prst="rect"/>
                  </pic:spPr>
                </pic:pic>
              </a:graphicData>
            </a:graphic>
          </wp:inline>
        </w:drawing>
      </w:r>
    </w:p>
    <w:p>
      <w:pPr>
        <w:spacing w:line="480" w:lineRule="auto"/>
        <w:ind w:firstLine="0"/>
        <w:jc w:val="center"/>
      </w:pPr>
      <w:r>
        <w:rPr>
          <w:rFonts w:ascii="Times New Roman" w:hAnsi="Times New Roman"/>
          <w:b/>
          <w:sz w:val="22"/>
        </w:rPr>
        <w:t>Figura 14 -</w:t>
      </w:r>
      <w:r>
        <w:rPr>
          <w:rFonts w:ascii="Times New Roman" w:hAnsi="Times New Roman"/>
          <w:sz w:val="22"/>
        </w:rPr>
        <w:t xml:space="preserve"> Graus de pertença do Fuzzy C-Means ao </w:t>
      </w:r>
      <w:r>
        <w:rPr>
          <w:rFonts w:ascii="Times New Roman" w:hAnsi="Times New Roman"/>
          <w:i/>
          <w:sz w:val="22"/>
        </w:rPr>
        <w:t>cluster</w:t>
      </w:r>
      <w:r>
        <w:rPr>
          <w:rFonts w:ascii="Times New Roman" w:hAnsi="Times New Roman"/>
          <w:sz w:val="22"/>
        </w:rPr>
        <w:t xml:space="preserve"> dominante (lógica difusa).</w:t>
      </w:r>
    </w:p>
    <w:p>
      <w:pPr>
        <w:jc w:val="center"/>
      </w:pPr>
      <w:r>
        <w:drawing>
          <wp:inline xmlns:a="http://schemas.openxmlformats.org/drawingml/2006/main" xmlns:pic="http://schemas.openxmlformats.org/drawingml/2006/picture">
            <wp:extent cx="5400000" cy="2025000"/>
            <wp:docPr id="17" name="Picture 17"/>
            <wp:cNvGraphicFramePr>
              <a:graphicFrameLocks noChangeAspect="1"/>
            </wp:cNvGraphicFramePr>
            <a:graphic>
              <a:graphicData uri="http://schemas.openxmlformats.org/drawingml/2006/picture">
                <pic:pic>
                  <pic:nvPicPr>
                    <pic:cNvPr id="0" name="fuzzy_pertencas.png"/>
                    <pic:cNvPicPr/>
                  </pic:nvPicPr>
                  <pic:blipFill>
                    <a:blip r:embed="rId26"/>
                    <a:stretch>
                      <a:fillRect/>
                    </a:stretch>
                  </pic:blipFill>
                  <pic:spPr>
                    <a:xfrm>
                      <a:off x="0" y="0"/>
                      <a:ext cx="5400000" cy="2025000"/>
                    </a:xfrm>
                    <a:prstGeom prst="rect"/>
                  </pic:spPr>
                </pic:pic>
              </a:graphicData>
            </a:graphic>
          </wp:inline>
        </w:drawing>
      </w:r>
    </w:p>
    <w:p>
      <w:pPr>
        <w:spacing w:line="480" w:lineRule="auto"/>
        <w:ind w:firstLine="0"/>
        <w:jc w:val="center"/>
      </w:pPr>
      <w:r>
        <w:rPr>
          <w:rFonts w:ascii="Times New Roman" w:hAnsi="Times New Roman"/>
          <w:b/>
          <w:sz w:val="22"/>
        </w:rPr>
        <w:t>Figura 15 -</w:t>
      </w:r>
      <w:r>
        <w:rPr>
          <w:rFonts w:ascii="Times New Roman" w:hAnsi="Times New Roman"/>
          <w:sz w:val="22"/>
        </w:rPr>
        <w:t xml:space="preserve"> Índice de risco difuso </w:t>
      </w:r>
      <w:r>
        <w:rPr>
          <w:rFonts w:ascii="Times New Roman" w:hAnsi="Times New Roman"/>
          <w:i/>
          <w:sz w:val="22"/>
        </w:rPr>
        <w:t>versus</w:t>
      </w:r>
      <w:r>
        <w:rPr>
          <w:rFonts w:ascii="Times New Roman" w:hAnsi="Times New Roman"/>
          <w:sz w:val="22"/>
        </w:rPr>
        <w:t xml:space="preserve"> média ponderada: mapas e correlação.</w:t>
      </w:r>
    </w:p>
    <w:p>
      <w:pPr>
        <w:jc w:val="center"/>
      </w:pPr>
      <w:r>
        <w:drawing>
          <wp:inline xmlns:a="http://schemas.openxmlformats.org/drawingml/2006/main" xmlns:pic="http://schemas.openxmlformats.org/drawingml/2006/picture">
            <wp:extent cx="5400000" cy="2362500"/>
            <wp:docPr id="18" name="Picture 18"/>
            <wp:cNvGraphicFramePr>
              <a:graphicFrameLocks noChangeAspect="1"/>
            </wp:cNvGraphicFramePr>
            <a:graphic>
              <a:graphicData uri="http://schemas.openxmlformats.org/drawingml/2006/picture">
                <pic:pic>
                  <pic:nvPicPr>
                    <pic:cNvPr id="0" name="fuzzy_vs_ponderado.png"/>
                    <pic:cNvPicPr/>
                  </pic:nvPicPr>
                  <pic:blipFill>
                    <a:blip r:embed="rId27"/>
                    <a:stretch>
                      <a:fillRect/>
                    </a:stretch>
                  </pic:blipFill>
                  <pic:spPr>
                    <a:xfrm>
                      <a:off x="0" y="0"/>
                      <a:ext cx="5400000" cy="2362500"/>
                    </a:xfrm>
                    <a:prstGeom prst="rect"/>
                  </pic:spPr>
                </pic:pic>
              </a:graphicData>
            </a:graphic>
          </wp:inline>
        </w:drawing>
      </w:r>
    </w:p>
    <w:p>
      <w:pPr>
        <w:spacing w:line="480" w:lineRule="auto"/>
        <w:ind w:firstLine="0"/>
        <w:jc w:val="center"/>
      </w:pPr>
      <w:r>
        <w:rPr>
          <w:rFonts w:ascii="Times New Roman" w:hAnsi="Times New Roman"/>
          <w:b/>
          <w:sz w:val="22"/>
        </w:rPr>
        <w:t>Figura 16 -</w:t>
      </w:r>
      <w:r>
        <w:rPr>
          <w:rFonts w:ascii="Times New Roman" w:hAnsi="Times New Roman"/>
          <w:sz w:val="22"/>
        </w:rPr>
        <w:t xml:space="preserve"> Índice de risco marítimo multi-ameaça (agregação por média ponderada).</w:t>
      </w:r>
    </w:p>
    <w:p>
      <w:pPr>
        <w:jc w:val="center"/>
      </w:pPr>
      <w:r>
        <w:drawing>
          <wp:inline xmlns:a="http://schemas.openxmlformats.org/drawingml/2006/main" xmlns:pic="http://schemas.openxmlformats.org/drawingml/2006/picture">
            <wp:extent cx="5400000" cy="6171429"/>
            <wp:docPr id="19" name="Picture 19"/>
            <wp:cNvGraphicFramePr>
              <a:graphicFrameLocks noChangeAspect="1"/>
            </wp:cNvGraphicFramePr>
            <a:graphic>
              <a:graphicData uri="http://schemas.openxmlformats.org/drawingml/2006/picture">
                <pic:pic>
                  <pic:nvPicPr>
                    <pic:cNvPr id="0" name="01_risco.png"/>
                    <pic:cNvPicPr/>
                  </pic:nvPicPr>
                  <pic:blipFill>
                    <a:blip r:embed="rId28"/>
                    <a:stretch>
                      <a:fillRect/>
                    </a:stretch>
                  </pic:blipFill>
                  <pic:spPr>
                    <a:xfrm>
                      <a:off x="0" y="0"/>
                      <a:ext cx="5400000" cy="6171429"/>
                    </a:xfrm>
                    <a:prstGeom prst="rect"/>
                  </pic:spPr>
                </pic:pic>
              </a:graphicData>
            </a:graphic>
          </wp:inline>
        </w:drawing>
      </w:r>
    </w:p>
    <w:p>
      <w:pPr>
        <w:spacing w:line="480" w:lineRule="auto"/>
        <w:ind w:firstLine="0"/>
        <w:jc w:val="center"/>
      </w:pPr>
      <w:r>
        <w:rPr>
          <w:rFonts w:ascii="Times New Roman" w:hAnsi="Times New Roman"/>
          <w:b/>
          <w:sz w:val="22"/>
        </w:rPr>
        <w:t>Figura 17 -</w:t>
      </w:r>
      <w:r>
        <w:rPr>
          <w:rFonts w:ascii="Times New Roman" w:hAnsi="Times New Roman"/>
          <w:sz w:val="22"/>
        </w:rPr>
        <w:t xml:space="preserve"> Cobertura de risco: cenário conservador com raio de 90 km (esquerda) </w:t>
      </w:r>
      <w:r>
        <w:rPr>
          <w:rFonts w:ascii="Times New Roman" w:hAnsi="Times New Roman"/>
          <w:i/>
          <w:sz w:val="22"/>
        </w:rPr>
        <w:t>versus</w:t>
      </w:r>
      <w:r>
        <w:rPr>
          <w:rFonts w:ascii="Times New Roman" w:hAnsi="Times New Roman"/>
          <w:sz w:val="22"/>
        </w:rPr>
        <w:t xml:space="preserve"> cenário recomendado com autonomia real (direita).</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700000" cy="3060000"/>
                  <wp:docPr id="20" name="Picture 20"/>
                  <wp:cNvGraphicFramePr>
                    <a:graphicFrameLocks noChangeAspect="1"/>
                  </wp:cNvGraphicFramePr>
                  <a:graphic>
                    <a:graphicData uri="http://schemas.openxmlformats.org/drawingml/2006/picture">
                      <pic:pic>
                        <pic:nvPicPr>
                          <pic:cNvPr id="0" name="03_cobertura_conservador.png"/>
                          <pic:cNvPicPr/>
                        </pic:nvPicPr>
                        <pic:blipFill>
                          <a:blip r:embed="rId29"/>
                          <a:stretch>
                            <a:fillRect/>
                          </a:stretch>
                        </pic:blipFill>
                        <pic:spPr>
                          <a:xfrm>
                            <a:off x="0" y="0"/>
                            <a:ext cx="2700000" cy="306000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700000" cy="3060000"/>
                  <wp:docPr id="21" name="Picture 21"/>
                  <wp:cNvGraphicFramePr>
                    <a:graphicFrameLocks noChangeAspect="1"/>
                  </wp:cNvGraphicFramePr>
                  <a:graphic>
                    <a:graphicData uri="http://schemas.openxmlformats.org/drawingml/2006/picture">
                      <pic:pic>
                        <pic:nvPicPr>
                          <pic:cNvPr id="0" name="04_cobertura_alargado.png"/>
                          <pic:cNvPicPr/>
                        </pic:nvPicPr>
                        <pic:blipFill>
                          <a:blip r:embed="rId30"/>
                          <a:stretch>
                            <a:fillRect/>
                          </a:stretch>
                        </pic:blipFill>
                        <pic:spPr>
                          <a:xfrm>
                            <a:off x="0" y="0"/>
                            <a:ext cx="2700000" cy="3060000"/>
                          </a:xfrm>
                          <a:prstGeom prst="rect"/>
                        </pic:spPr>
                      </pic:pic>
                    </a:graphicData>
                  </a:graphic>
                </wp:inline>
              </w:drawing>
            </w:r>
          </w:p>
        </w:tc>
      </w:tr>
    </w:tbl>
    <w:p>
      <w:pPr>
        <w:spacing w:line="480" w:lineRule="auto"/>
        <w:ind w:firstLine="0"/>
        <w:jc w:val="center"/>
      </w:pPr>
      <w:r>
        <w:rPr>
          <w:rFonts w:ascii="Times New Roman" w:hAnsi="Times New Roman"/>
          <w:b/>
          <w:sz w:val="22"/>
        </w:rPr>
        <w:t>Figura 18 -</w:t>
      </w:r>
      <w:r>
        <w:rPr>
          <w:rFonts w:ascii="Times New Roman" w:hAnsi="Times New Roman"/>
          <w:sz w:val="22"/>
        </w:rPr>
        <w:t xml:space="preserve"> Frota total necessária em função do número de bases (mínimo em k = 12).</w:t>
      </w:r>
    </w:p>
    <w:p>
      <w:pPr>
        <w:jc w:val="center"/>
      </w:pPr>
      <w:r>
        <w:drawing>
          <wp:inline xmlns:a="http://schemas.openxmlformats.org/drawingml/2006/main" xmlns:pic="http://schemas.openxmlformats.org/drawingml/2006/picture">
            <wp:extent cx="5400000" cy="3494118"/>
            <wp:docPr id="22" name="Picture 22"/>
            <wp:cNvGraphicFramePr>
              <a:graphicFrameLocks noChangeAspect="1"/>
            </wp:cNvGraphicFramePr>
            <a:graphic>
              <a:graphicData uri="http://schemas.openxmlformats.org/drawingml/2006/picture">
                <pic:pic>
                  <pic:nvPicPr>
                    <pic:cNvPr id="0" name="08_frota_vs_bases.png"/>
                    <pic:cNvPicPr/>
                  </pic:nvPicPr>
                  <pic:blipFill>
                    <a:blip r:embed="rId31"/>
                    <a:stretch>
                      <a:fillRect/>
                    </a:stretch>
                  </pic:blipFill>
                  <pic:spPr>
                    <a:xfrm>
                      <a:off x="0" y="0"/>
                      <a:ext cx="5400000" cy="3494118"/>
                    </a:xfrm>
                    <a:prstGeom prst="rect"/>
                  </pic:spPr>
                </pic:pic>
              </a:graphicData>
            </a:graphic>
          </wp:inline>
        </w:drawing>
      </w:r>
    </w:p>
    <w:p>
      <w:pPr>
        <w:spacing w:line="480" w:lineRule="auto"/>
        <w:ind w:firstLine="0"/>
        <w:jc w:val="center"/>
      </w:pPr>
      <w:r>
        <w:rPr>
          <w:rFonts w:ascii="Times New Roman" w:hAnsi="Times New Roman"/>
          <w:b/>
          <w:sz w:val="22"/>
        </w:rPr>
        <w:t>Figura 19 -</w:t>
      </w:r>
      <w:r>
        <w:rPr>
          <w:rFonts w:ascii="Times New Roman" w:hAnsi="Times New Roman"/>
          <w:sz w:val="22"/>
        </w:rPr>
        <w:t xml:space="preserve"> Sensibilidade do dimensionamento da frota à largura útil do sensor, ao tempo de revisita e à disponibilidade operacional.</w:t>
      </w:r>
    </w:p>
    <w:p>
      <w:pPr>
        <w:jc w:val="center"/>
      </w:pPr>
      <w:r>
        <w:drawing>
          <wp:inline xmlns:a="http://schemas.openxmlformats.org/drawingml/2006/main" xmlns:pic="http://schemas.openxmlformats.org/drawingml/2006/picture">
            <wp:extent cx="5400000" cy="1735714"/>
            <wp:docPr id="23" name="Picture 23"/>
            <wp:cNvGraphicFramePr>
              <a:graphicFrameLocks noChangeAspect="1"/>
            </wp:cNvGraphicFramePr>
            <a:graphic>
              <a:graphicData uri="http://schemas.openxmlformats.org/drawingml/2006/picture">
                <pic:pic>
                  <pic:nvPicPr>
                    <pic:cNvPr id="0" name="07_sensibilidade.png"/>
                    <pic:cNvPicPr/>
                  </pic:nvPicPr>
                  <pic:blipFill>
                    <a:blip r:embed="rId32"/>
                    <a:stretch>
                      <a:fillRect/>
                    </a:stretch>
                  </pic:blipFill>
                  <pic:spPr>
                    <a:xfrm>
                      <a:off x="0" y="0"/>
                      <a:ext cx="5400000" cy="1735714"/>
                    </a:xfrm>
                    <a:prstGeom prst="rect"/>
                  </pic:spPr>
                </pic:pic>
              </a:graphicData>
            </a:graphic>
          </wp:inline>
        </w:drawing>
      </w:r>
    </w:p>
    <w:p>
      <w:pPr>
        <w:spacing w:line="480" w:lineRule="auto"/>
        <w:ind w:firstLine="0"/>
        <w:jc w:val="center"/>
      </w:pPr>
      <w:r>
        <w:rPr>
          <w:rFonts w:ascii="Times New Roman" w:hAnsi="Times New Roman"/>
          <w:b/>
          <w:sz w:val="22"/>
        </w:rPr>
        <w:t>Figura 20 -</w:t>
      </w:r>
      <w:r>
        <w:rPr>
          <w:rFonts w:ascii="Times New Roman" w:hAnsi="Times New Roman"/>
          <w:sz w:val="22"/>
        </w:rPr>
        <w:t xml:space="preserve"> Painel geoespacial interativo: índice de risco multi-ameaça (1156 células), apreensões marítimas 2020+, desembarques PT, bases MCLP (Porto + Portimão), seis sectores de patrulha e painel Q1–Q3. O artefacto completo está em </w:t>
      </w:r>
      <w:r>
        <w:rPr>
          <w:rFonts w:ascii="Consolas" w:hAnsi="Consolas"/>
          <w:sz w:val="20"/>
        </w:rPr>
        <w:t>resultados/mapa_interativo.html</w:t>
      </w:r>
      <w:r>
        <w:rPr>
          <w:rFonts w:ascii="Times New Roman" w:hAnsi="Times New Roman"/>
          <w:sz w:val="22"/>
        </w:rPr>
        <w:t>.</w:t>
      </w:r>
    </w:p>
    <w:p>
      <w:pPr>
        <w:jc w:val="center"/>
      </w:pPr>
      <w:r>
        <w:drawing>
          <wp:inline xmlns:a="http://schemas.openxmlformats.org/drawingml/2006/main" xmlns:pic="http://schemas.openxmlformats.org/drawingml/2006/picture">
            <wp:extent cx="5400000" cy="4165537"/>
            <wp:docPr id="24" name="Picture 24"/>
            <wp:cNvGraphicFramePr>
              <a:graphicFrameLocks noChangeAspect="1"/>
            </wp:cNvGraphicFramePr>
            <a:graphic>
              <a:graphicData uri="http://schemas.openxmlformats.org/drawingml/2006/picture">
                <pic:pic>
                  <pic:nvPicPr>
                    <pic:cNvPr id="0" name="20_mapa_interativo.png"/>
                    <pic:cNvPicPr/>
                  </pic:nvPicPr>
                  <pic:blipFill>
                    <a:blip r:embed="rId33"/>
                    <a:stretch>
                      <a:fillRect/>
                    </a:stretch>
                  </pic:blipFill>
                  <pic:spPr>
                    <a:xfrm>
                      <a:off x="0" y="0"/>
                      <a:ext cx="5400000" cy="4165537"/>
                    </a:xfrm>
                    <a:prstGeom prst="rect"/>
                  </pic:spPr>
                </pic:pic>
              </a:graphicData>
            </a:graphic>
          </wp:inline>
        </w:drawing>
      </w:r>
    </w:p>
    <w:p>
      <w:pPr>
        <w:spacing w:line="480" w:lineRule="auto"/>
        <w:ind w:firstLine="0"/>
        <w:jc w:val="center"/>
      </w:pPr>
      <w:r>
        <w:rPr>
          <w:rFonts w:ascii="Times New Roman" w:hAnsi="Times New Roman"/>
          <w:b/>
          <w:sz w:val="22"/>
        </w:rPr>
        <w:t>Figura 21 -</w:t>
      </w:r>
      <w:r>
        <w:rPr>
          <w:rFonts w:ascii="Times New Roman" w:hAnsi="Times New Roman"/>
          <w:sz w:val="22"/>
        </w:rPr>
        <w:t xml:space="preserve"> Backtesting temporal: taxa de acerto do SAD (treino com apreensões até 2022) no holdout de apreensões marítimas 2023–2024, face a baselines aleatório e referência top 20 %.</w:t>
      </w:r>
    </w:p>
    <w:p>
      <w:pPr>
        <w:jc w:val="center"/>
      </w:pPr>
      <w:r>
        <w:drawing>
          <wp:inline xmlns:a="http://schemas.openxmlformats.org/drawingml/2006/main" xmlns:pic="http://schemas.openxmlformats.org/drawingml/2006/picture">
            <wp:extent cx="5400000" cy="3240000"/>
            <wp:docPr id="25" name="Picture 25"/>
            <wp:cNvGraphicFramePr>
              <a:graphicFrameLocks noChangeAspect="1"/>
            </wp:cNvGraphicFramePr>
            <a:graphic>
              <a:graphicData uri="http://schemas.openxmlformats.org/drawingml/2006/picture">
                <pic:pic>
                  <pic:nvPicPr>
                    <pic:cNvPr id="0" name="21_backtest_temporal.png"/>
                    <pic:cNvPicPr/>
                  </pic:nvPicPr>
                  <pic:blipFill>
                    <a:blip r:embed="rId34"/>
                    <a:stretch>
                      <a:fillRect/>
                    </a:stretch>
                  </pic:blipFill>
                  <pic:spPr>
                    <a:xfrm>
                      <a:off x="0" y="0"/>
                      <a:ext cx="5400000" cy="3240000"/>
                    </a:xfrm>
                    <a:prstGeom prst="rect"/>
                  </pic:spPr>
                </pic:pic>
              </a:graphicData>
            </a:graphic>
          </wp:inline>
        </w:drawing>
      </w:r>
    </w:p>
    <w:p>
      <w:pPr>
        <w:spacing w:line="480" w:lineRule="auto"/>
        <w:ind w:firstLine="0"/>
        <w:jc w:val="center"/>
      </w:pPr>
      <w:r>
        <w:rPr>
          <w:rFonts w:ascii="Times New Roman" w:hAnsi="Times New Roman"/>
          <w:b/>
          <w:sz w:val="22"/>
        </w:rPr>
        <w:t>Figura 22 -</w:t>
      </w:r>
      <w:r>
        <w:rPr>
          <w:rFonts w:ascii="Times New Roman" w:hAnsi="Times New Roman"/>
          <w:sz w:val="22"/>
        </w:rPr>
        <w:t xml:space="preserve"> Comparação da captura de risco: SAD </w:t>
      </w:r>
      <w:r>
        <w:rPr>
          <w:rFonts w:ascii="Times New Roman" w:hAnsi="Times New Roman"/>
          <w:i/>
          <w:sz w:val="22"/>
        </w:rPr>
        <w:t>versus</w:t>
      </w:r>
      <w:r>
        <w:rPr>
          <w:rFonts w:ascii="Times New Roman" w:hAnsi="Times New Roman"/>
          <w:sz w:val="22"/>
        </w:rPr>
        <w:t xml:space="preserve"> patrulha aleatória e uniforme costeira. patrulha aleatória e patrulha uniforme costeira.</w:t>
      </w:r>
    </w:p>
    <w:p>
      <w:pPr>
        <w:jc w:val="center"/>
      </w:pPr>
      <w:r>
        <w:drawing>
          <wp:inline xmlns:a="http://schemas.openxmlformats.org/drawingml/2006/main" xmlns:pic="http://schemas.openxmlformats.org/drawingml/2006/picture">
            <wp:extent cx="5400000" cy="3489231"/>
            <wp:docPr id="26" name="Picture 26"/>
            <wp:cNvGraphicFramePr>
              <a:graphicFrameLocks noChangeAspect="1"/>
            </wp:cNvGraphicFramePr>
            <a:graphic>
              <a:graphicData uri="http://schemas.openxmlformats.org/drawingml/2006/picture">
                <pic:pic>
                  <pic:nvPicPr>
                    <pic:cNvPr id="0" name="22_baseline_patrulha.png"/>
                    <pic:cNvPicPr/>
                  </pic:nvPicPr>
                  <pic:blipFill>
                    <a:blip r:embed="rId35"/>
                    <a:stretch>
                      <a:fillRect/>
                    </a:stretch>
                  </pic:blipFill>
                  <pic:spPr>
                    <a:xfrm>
                      <a:off x="0" y="0"/>
                      <a:ext cx="5400000" cy="3489231"/>
                    </a:xfrm>
                    <a:prstGeom prst="rect"/>
                  </pic:spPr>
                </pic:pic>
              </a:graphicData>
            </a:graphic>
          </wp:inline>
        </w:drawing>
      </w:r>
    </w:p>
    <w:p>
      <w:pPr>
        <w:spacing w:line="480" w:lineRule="auto"/>
        <w:ind w:firstLine="0"/>
        <w:jc w:val="center"/>
      </w:pPr>
      <w:r>
        <w:rPr>
          <w:rFonts w:ascii="Times New Roman" w:hAnsi="Times New Roman"/>
          <w:b/>
          <w:sz w:val="22"/>
        </w:rPr>
        <w:t>Figura 23 -</w:t>
      </w:r>
      <w:r>
        <w:rPr>
          <w:rFonts w:ascii="Times New Roman" w:hAnsi="Times New Roman"/>
          <w:sz w:val="22"/>
        </w:rPr>
        <w:t xml:space="preserve"> Plataforma operacional: meteo, AIS, risco e alertas em tempo quase real. (protótipo web em </w:t>
      </w:r>
      <w:r>
        <w:rPr>
          <w:rFonts w:ascii="Consolas" w:hAnsi="Consolas"/>
          <w:sz w:val="20"/>
        </w:rPr>
        <w:t>plataforma/</w:t>
      </w:r>
      <w:r>
        <w:rPr>
          <w:rFonts w:ascii="Times New Roman" w:hAnsi="Times New Roman"/>
          <w:sz w:val="22"/>
        </w:rPr>
        <w:t>).</w:t>
      </w:r>
    </w:p>
    <w:p>
      <w:pPr>
        <w:jc w:val="center"/>
      </w:pPr>
      <w:r>
        <w:drawing>
          <wp:inline xmlns:a="http://schemas.openxmlformats.org/drawingml/2006/main" xmlns:pic="http://schemas.openxmlformats.org/drawingml/2006/picture">
            <wp:extent cx="5400000" cy="3167546"/>
            <wp:docPr id="27" name="Picture 27"/>
            <wp:cNvGraphicFramePr>
              <a:graphicFrameLocks noChangeAspect="1"/>
            </wp:cNvGraphicFramePr>
            <a:graphic>
              <a:graphicData uri="http://schemas.openxmlformats.org/drawingml/2006/picture">
                <pic:pic>
                  <pic:nvPicPr>
                    <pic:cNvPr id="0" name="23_plataforma_operacional.png"/>
                    <pic:cNvPicPr/>
                  </pic:nvPicPr>
                  <pic:blipFill>
                    <a:blip r:embed="rId36"/>
                    <a:stretch>
                      <a:fillRect/>
                    </a:stretch>
                  </pic:blipFill>
                  <pic:spPr>
                    <a:xfrm>
                      <a:off x="0" y="0"/>
                      <a:ext cx="5400000" cy="3167546"/>
                    </a:xfrm>
                    <a:prstGeom prst="rect"/>
                  </pic:spPr>
                </pic:pic>
              </a:graphicData>
            </a:graphic>
          </wp:inline>
        </w:drawing>
      </w:r>
    </w:p>
    <w:p>
      <w:pPr>
        <w:spacing w:line="480" w:lineRule="auto"/>
        <w:ind w:firstLine="0"/>
        <w:jc w:val="center"/>
      </w:pPr>
      <w:r>
        <w:rPr>
          <w:rFonts w:ascii="Times New Roman" w:hAnsi="Times New Roman"/>
          <w:b/>
          <w:sz w:val="22"/>
        </w:rPr>
        <w:t>Figura 24 -</w:t>
      </w:r>
      <w:r>
        <w:rPr>
          <w:rFonts w:ascii="Times New Roman" w:hAnsi="Times New Roman"/>
          <w:sz w:val="22"/>
        </w:rPr>
        <w:t xml:space="preserve"> Pesos das ameaças por AHP (Saaty) face à ponderação adotada.</w:t>
      </w:r>
    </w:p>
    <w:p>
      <w:pPr>
        <w:jc w:val="center"/>
      </w:pPr>
      <w:r>
        <w:drawing>
          <wp:inline xmlns:a="http://schemas.openxmlformats.org/drawingml/2006/main" xmlns:pic="http://schemas.openxmlformats.org/drawingml/2006/picture">
            <wp:extent cx="5400000" cy="2251216"/>
            <wp:docPr id="28" name="Picture 28"/>
            <wp:cNvGraphicFramePr>
              <a:graphicFrameLocks noChangeAspect="1"/>
            </wp:cNvGraphicFramePr>
            <a:graphic>
              <a:graphicData uri="http://schemas.openxmlformats.org/drawingml/2006/picture">
                <pic:pic>
                  <pic:nvPicPr>
                    <pic:cNvPr id="0" name="24_ahp_pesos.png"/>
                    <pic:cNvPicPr/>
                  </pic:nvPicPr>
                  <pic:blipFill>
                    <a:blip r:embed="rId37"/>
                    <a:stretch>
                      <a:fillRect/>
                    </a:stretch>
                  </pic:blipFill>
                  <pic:spPr>
                    <a:xfrm>
                      <a:off x="0" y="0"/>
                      <a:ext cx="5400000" cy="2251216"/>
                    </a:xfrm>
                    <a:prstGeom prst="rect"/>
                  </pic:spPr>
                </pic:pic>
              </a:graphicData>
            </a:graphic>
          </wp:inline>
        </w:drawing>
      </w:r>
    </w:p>
    <w:p>
      <w:pPr>
        <w:spacing w:line="480" w:lineRule="auto"/>
        <w:ind w:firstLine="0"/>
        <w:jc w:val="center"/>
      </w:pPr>
      <w:r>
        <w:rPr>
          <w:rFonts w:ascii="Times New Roman" w:hAnsi="Times New Roman"/>
          <w:b/>
          <w:sz w:val="22"/>
        </w:rPr>
        <w:t>Figura 25 -</w:t>
      </w:r>
      <w:r>
        <w:rPr>
          <w:rFonts w:ascii="Times New Roman" w:hAnsi="Times New Roman"/>
          <w:sz w:val="22"/>
        </w:rPr>
        <w:t xml:space="preserve"> Sensibilidade da classificação ao limiar de decisão.</w:t>
      </w:r>
    </w:p>
    <w:p>
      <w:pPr>
        <w:jc w:val="center"/>
      </w:pPr>
      <w:r>
        <w:drawing>
          <wp:inline xmlns:a="http://schemas.openxmlformats.org/drawingml/2006/main" xmlns:pic="http://schemas.openxmlformats.org/drawingml/2006/picture">
            <wp:extent cx="5400000" cy="3150000"/>
            <wp:docPr id="29" name="Picture 29"/>
            <wp:cNvGraphicFramePr>
              <a:graphicFrameLocks noChangeAspect="1"/>
            </wp:cNvGraphicFramePr>
            <a:graphic>
              <a:graphicData uri="http://schemas.openxmlformats.org/drawingml/2006/picture">
                <pic:pic>
                  <pic:nvPicPr>
                    <pic:cNvPr id="0" name="25_sensibilidade_limiar.png"/>
                    <pic:cNvPicPr/>
                  </pic:nvPicPr>
                  <pic:blipFill>
                    <a:blip r:embed="rId38"/>
                    <a:stretch>
                      <a:fillRect/>
                    </a:stretch>
                  </pic:blipFill>
                  <pic:spPr>
                    <a:xfrm>
                      <a:off x="0" y="0"/>
                      <a:ext cx="5400000" cy="3150000"/>
                    </a:xfrm>
                    <a:prstGeom prst="rect"/>
                  </pic:spPr>
                </pic:pic>
              </a:graphicData>
            </a:graphic>
          </wp:inline>
        </w:drawing>
      </w:r>
    </w:p>
    <w:p>
      <w:pPr>
        <w:pStyle w:val="Heading2"/>
      </w:pPr>
      <w:r>
        <w:t>Anexo B — Tabelas de resultados</w:t>
      </w:r>
    </w:p>
    <w:p>
      <w:pPr>
        <w:spacing w:line="480" w:lineRule="auto"/>
        <w:ind w:firstLine="0"/>
        <w:jc w:val="center"/>
      </w:pPr>
      <w:r>
        <w:rPr>
          <w:rFonts w:ascii="Times New Roman" w:hAnsi="Times New Roman"/>
          <w:b/>
          <w:sz w:val="22"/>
        </w:rPr>
        <w:t>Tabela B1 -</w:t>
      </w:r>
      <w:r>
        <w:rPr>
          <w:rFonts w:ascii="Times New Roman" w:hAnsi="Times New Roman"/>
          <w:sz w:val="22"/>
        </w:rPr>
        <w:t xml:space="preserve"> </w:t>
      </w:r>
      <w:r>
        <w:rPr>
          <w:rFonts w:ascii="Times New Roman" w:hAnsi="Times New Roman"/>
          <w:i/>
          <w:sz w:val="22"/>
        </w:rPr>
        <w:t>Variância explicada pelas dez primeiras componentes principais.</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rFonts w:ascii="Times New Roman" w:hAnsi="Times New Roman"/>
                <w:b/>
                <w:sz w:val="20"/>
              </w:rPr>
              <w:t>Componente</w:t>
            </w:r>
          </w:p>
        </w:tc>
        <w:tc>
          <w:tcPr>
            <w:tcW w:type="dxa" w:w="851"/>
          </w:tcPr>
          <w:p>
            <w:r>
              <w:rPr>
                <w:rFonts w:ascii="Times New Roman" w:hAnsi="Times New Roman"/>
                <w:b/>
                <w:sz w:val="20"/>
              </w:rPr>
              <w:t>1</w:t>
            </w:r>
          </w:p>
        </w:tc>
        <w:tc>
          <w:tcPr>
            <w:tcW w:type="dxa" w:w="851"/>
          </w:tcPr>
          <w:p>
            <w:r>
              <w:rPr>
                <w:rFonts w:ascii="Times New Roman" w:hAnsi="Times New Roman"/>
                <w:b/>
                <w:sz w:val="20"/>
              </w:rPr>
              <w:t>2</w:t>
            </w:r>
          </w:p>
        </w:tc>
        <w:tc>
          <w:tcPr>
            <w:tcW w:type="dxa" w:w="851"/>
          </w:tcPr>
          <w:p>
            <w:r>
              <w:rPr>
                <w:rFonts w:ascii="Times New Roman" w:hAnsi="Times New Roman"/>
                <w:b/>
                <w:sz w:val="20"/>
              </w:rPr>
              <w:t>3</w:t>
            </w:r>
          </w:p>
        </w:tc>
        <w:tc>
          <w:tcPr>
            <w:tcW w:type="dxa" w:w="851"/>
          </w:tcPr>
          <w:p>
            <w:r>
              <w:rPr>
                <w:rFonts w:ascii="Times New Roman" w:hAnsi="Times New Roman"/>
                <w:b/>
                <w:sz w:val="20"/>
              </w:rPr>
              <w:t>4</w:t>
            </w:r>
          </w:p>
        </w:tc>
        <w:tc>
          <w:tcPr>
            <w:tcW w:type="dxa" w:w="851"/>
          </w:tcPr>
          <w:p>
            <w:r>
              <w:rPr>
                <w:rFonts w:ascii="Times New Roman" w:hAnsi="Times New Roman"/>
                <w:b/>
                <w:sz w:val="20"/>
              </w:rPr>
              <w:t>5</w:t>
            </w:r>
          </w:p>
        </w:tc>
        <w:tc>
          <w:tcPr>
            <w:tcW w:type="dxa" w:w="851"/>
          </w:tcPr>
          <w:p>
            <w:r>
              <w:rPr>
                <w:rFonts w:ascii="Times New Roman" w:hAnsi="Times New Roman"/>
                <w:b/>
                <w:sz w:val="20"/>
              </w:rPr>
              <w:t>6</w:t>
            </w:r>
          </w:p>
        </w:tc>
        <w:tc>
          <w:tcPr>
            <w:tcW w:type="dxa" w:w="851"/>
          </w:tcPr>
          <w:p>
            <w:r>
              <w:rPr>
                <w:rFonts w:ascii="Times New Roman" w:hAnsi="Times New Roman"/>
                <w:b/>
                <w:sz w:val="20"/>
              </w:rPr>
              <w:t>7</w:t>
            </w:r>
          </w:p>
        </w:tc>
        <w:tc>
          <w:tcPr>
            <w:tcW w:type="dxa" w:w="851"/>
          </w:tcPr>
          <w:p>
            <w:r>
              <w:rPr>
                <w:rFonts w:ascii="Times New Roman" w:hAnsi="Times New Roman"/>
                <w:b/>
                <w:sz w:val="20"/>
              </w:rPr>
              <w:t>8</w:t>
            </w:r>
          </w:p>
        </w:tc>
        <w:tc>
          <w:tcPr>
            <w:tcW w:type="dxa" w:w="851"/>
          </w:tcPr>
          <w:p>
            <w:r>
              <w:rPr>
                <w:rFonts w:ascii="Times New Roman" w:hAnsi="Times New Roman"/>
                <w:b/>
                <w:sz w:val="20"/>
              </w:rPr>
              <w:t>9</w:t>
            </w:r>
          </w:p>
        </w:tc>
        <w:tc>
          <w:tcPr>
            <w:tcW w:type="dxa" w:w="851"/>
          </w:tcPr>
          <w:p>
            <w:r>
              <w:rPr>
                <w:rFonts w:ascii="Times New Roman" w:hAnsi="Times New Roman"/>
                <w:b/>
                <w:sz w:val="20"/>
              </w:rPr>
              <w:t>10</w:t>
            </w:r>
          </w:p>
        </w:tc>
      </w:tr>
      <w:tr>
        <w:tc>
          <w:tcPr>
            <w:tcW w:type="dxa" w:w="851"/>
          </w:tcPr>
          <w:p>
            <w:r>
              <w:rPr>
                <w:rFonts w:ascii="Times New Roman" w:hAnsi="Times New Roman"/>
                <w:sz w:val="20"/>
              </w:rPr>
              <w:t>Variância (%)</w:t>
            </w:r>
          </w:p>
        </w:tc>
        <w:tc>
          <w:tcPr>
            <w:tcW w:type="dxa" w:w="851"/>
          </w:tcPr>
          <w:p>
            <w:r>
              <w:rPr>
                <w:rFonts w:ascii="Times New Roman" w:hAnsi="Times New Roman"/>
                <w:sz w:val="20"/>
              </w:rPr>
              <w:t>14,5</w:t>
            </w:r>
          </w:p>
        </w:tc>
        <w:tc>
          <w:tcPr>
            <w:tcW w:type="dxa" w:w="851"/>
          </w:tcPr>
          <w:p>
            <w:r>
              <w:rPr>
                <w:rFonts w:ascii="Times New Roman" w:hAnsi="Times New Roman"/>
                <w:sz w:val="20"/>
              </w:rPr>
              <w:t>10,5</w:t>
            </w:r>
          </w:p>
        </w:tc>
        <w:tc>
          <w:tcPr>
            <w:tcW w:type="dxa" w:w="851"/>
          </w:tcPr>
          <w:p>
            <w:r>
              <w:rPr>
                <w:rFonts w:ascii="Times New Roman" w:hAnsi="Times New Roman"/>
                <w:sz w:val="20"/>
              </w:rPr>
              <w:t>9,8</w:t>
            </w:r>
          </w:p>
        </w:tc>
        <w:tc>
          <w:tcPr>
            <w:tcW w:type="dxa" w:w="851"/>
          </w:tcPr>
          <w:p>
            <w:r>
              <w:rPr>
                <w:rFonts w:ascii="Times New Roman" w:hAnsi="Times New Roman"/>
                <w:sz w:val="20"/>
              </w:rPr>
              <w:t>8,3</w:t>
            </w:r>
          </w:p>
        </w:tc>
        <w:tc>
          <w:tcPr>
            <w:tcW w:type="dxa" w:w="851"/>
          </w:tcPr>
          <w:p>
            <w:r>
              <w:rPr>
                <w:rFonts w:ascii="Times New Roman" w:hAnsi="Times New Roman"/>
                <w:sz w:val="20"/>
              </w:rPr>
              <w:t>7,9</w:t>
            </w:r>
          </w:p>
        </w:tc>
        <w:tc>
          <w:tcPr>
            <w:tcW w:type="dxa" w:w="851"/>
          </w:tcPr>
          <w:p>
            <w:r>
              <w:rPr>
                <w:rFonts w:ascii="Times New Roman" w:hAnsi="Times New Roman"/>
                <w:sz w:val="20"/>
              </w:rPr>
              <w:t>7,7</w:t>
            </w:r>
          </w:p>
        </w:tc>
        <w:tc>
          <w:tcPr>
            <w:tcW w:type="dxa" w:w="851"/>
          </w:tcPr>
          <w:p>
            <w:r>
              <w:rPr>
                <w:rFonts w:ascii="Times New Roman" w:hAnsi="Times New Roman"/>
                <w:sz w:val="20"/>
              </w:rPr>
              <w:t>6,6</w:t>
            </w:r>
          </w:p>
        </w:tc>
        <w:tc>
          <w:tcPr>
            <w:tcW w:type="dxa" w:w="851"/>
          </w:tcPr>
          <w:p>
            <w:r>
              <w:rPr>
                <w:rFonts w:ascii="Times New Roman" w:hAnsi="Times New Roman"/>
                <w:sz w:val="20"/>
              </w:rPr>
              <w:t>6,2</w:t>
            </w:r>
          </w:p>
        </w:tc>
        <w:tc>
          <w:tcPr>
            <w:tcW w:type="dxa" w:w="851"/>
          </w:tcPr>
          <w:p>
            <w:r>
              <w:rPr>
                <w:rFonts w:ascii="Times New Roman" w:hAnsi="Times New Roman"/>
                <w:sz w:val="20"/>
              </w:rPr>
              <w:t>5,7</w:t>
            </w:r>
          </w:p>
        </w:tc>
        <w:tc>
          <w:tcPr>
            <w:tcW w:type="dxa" w:w="851"/>
          </w:tcPr>
          <w:p>
            <w:r>
              <w:rPr>
                <w:rFonts w:ascii="Times New Roman" w:hAnsi="Times New Roman"/>
                <w:sz w:val="20"/>
              </w:rPr>
              <w:t>5,7</w:t>
            </w:r>
          </w:p>
        </w:tc>
      </w:tr>
      <w:tr>
        <w:tc>
          <w:tcPr>
            <w:tcW w:type="dxa" w:w="851"/>
          </w:tcPr>
          <w:p>
            <w:r>
              <w:rPr>
                <w:rFonts w:ascii="Times New Roman" w:hAnsi="Times New Roman"/>
                <w:sz w:val="20"/>
              </w:rPr>
              <w:t>Acumulada (%)</w:t>
            </w:r>
          </w:p>
        </w:tc>
        <w:tc>
          <w:tcPr>
            <w:tcW w:type="dxa" w:w="851"/>
          </w:tcPr>
          <w:p>
            <w:r>
              <w:rPr>
                <w:rFonts w:ascii="Times New Roman" w:hAnsi="Times New Roman"/>
                <w:sz w:val="20"/>
              </w:rPr>
              <w:t>14,5</w:t>
            </w:r>
          </w:p>
        </w:tc>
        <w:tc>
          <w:tcPr>
            <w:tcW w:type="dxa" w:w="851"/>
          </w:tcPr>
          <w:p>
            <w:r>
              <w:rPr>
                <w:rFonts w:ascii="Times New Roman" w:hAnsi="Times New Roman"/>
                <w:sz w:val="20"/>
              </w:rPr>
              <w:t>25,0</w:t>
            </w:r>
          </w:p>
        </w:tc>
        <w:tc>
          <w:tcPr>
            <w:tcW w:type="dxa" w:w="851"/>
          </w:tcPr>
          <w:p>
            <w:r>
              <w:rPr>
                <w:rFonts w:ascii="Times New Roman" w:hAnsi="Times New Roman"/>
                <w:sz w:val="20"/>
              </w:rPr>
              <w:t>34,8</w:t>
            </w:r>
          </w:p>
        </w:tc>
        <w:tc>
          <w:tcPr>
            <w:tcW w:type="dxa" w:w="851"/>
          </w:tcPr>
          <w:p>
            <w:r>
              <w:rPr>
                <w:rFonts w:ascii="Times New Roman" w:hAnsi="Times New Roman"/>
                <w:sz w:val="20"/>
              </w:rPr>
              <w:t>43,1</w:t>
            </w:r>
          </w:p>
        </w:tc>
        <w:tc>
          <w:tcPr>
            <w:tcW w:type="dxa" w:w="851"/>
          </w:tcPr>
          <w:p>
            <w:r>
              <w:rPr>
                <w:rFonts w:ascii="Times New Roman" w:hAnsi="Times New Roman"/>
                <w:sz w:val="20"/>
              </w:rPr>
              <w:t>51,0</w:t>
            </w:r>
          </w:p>
        </w:tc>
        <w:tc>
          <w:tcPr>
            <w:tcW w:type="dxa" w:w="851"/>
          </w:tcPr>
          <w:p>
            <w:r>
              <w:rPr>
                <w:rFonts w:ascii="Times New Roman" w:hAnsi="Times New Roman"/>
                <w:sz w:val="20"/>
              </w:rPr>
              <w:t>58,7</w:t>
            </w:r>
          </w:p>
        </w:tc>
        <w:tc>
          <w:tcPr>
            <w:tcW w:type="dxa" w:w="851"/>
          </w:tcPr>
          <w:p>
            <w:r>
              <w:rPr>
                <w:rFonts w:ascii="Times New Roman" w:hAnsi="Times New Roman"/>
                <w:sz w:val="20"/>
              </w:rPr>
              <w:t>65,3</w:t>
            </w:r>
          </w:p>
        </w:tc>
        <w:tc>
          <w:tcPr>
            <w:tcW w:type="dxa" w:w="851"/>
          </w:tcPr>
          <w:p>
            <w:r>
              <w:rPr>
                <w:rFonts w:ascii="Times New Roman" w:hAnsi="Times New Roman"/>
                <w:sz w:val="20"/>
              </w:rPr>
              <w:t>71,5</w:t>
            </w:r>
          </w:p>
        </w:tc>
        <w:tc>
          <w:tcPr>
            <w:tcW w:type="dxa" w:w="851"/>
          </w:tcPr>
          <w:p>
            <w:r>
              <w:rPr>
                <w:rFonts w:ascii="Times New Roman" w:hAnsi="Times New Roman"/>
                <w:sz w:val="20"/>
              </w:rPr>
              <w:t>77,3</w:t>
            </w:r>
          </w:p>
        </w:tc>
        <w:tc>
          <w:tcPr>
            <w:tcW w:type="dxa" w:w="851"/>
          </w:tcPr>
          <w:p>
            <w:r>
              <w:rPr>
                <w:rFonts w:ascii="Times New Roman" w:hAnsi="Times New Roman"/>
                <w:sz w:val="20"/>
              </w:rPr>
              <w:t>82,9</w:t>
            </w:r>
          </w:p>
        </w:tc>
      </w:tr>
    </w:tbl>
    <w:p>
      <w:pPr>
        <w:spacing w:line="480" w:lineRule="auto"/>
        <w:ind w:firstLine="0"/>
        <w:jc w:val="center"/>
      </w:pPr>
      <w:r>
        <w:rPr>
          <w:rFonts w:ascii="Times New Roman" w:hAnsi="Times New Roman"/>
          <w:b/>
          <w:sz w:val="22"/>
        </w:rPr>
        <w:t>Tabela B2 -</w:t>
      </w:r>
      <w:r>
        <w:rPr>
          <w:rFonts w:ascii="Times New Roman" w:hAnsi="Times New Roman"/>
          <w:sz w:val="22"/>
        </w:rPr>
        <w:t xml:space="preserve"> </w:t>
      </w:r>
      <w:r>
        <w:rPr>
          <w:rFonts w:ascii="Times New Roman" w:hAnsi="Times New Roman"/>
          <w:i/>
          <w:sz w:val="22"/>
        </w:rPr>
        <w:t>Cobertura máxima do risco em função do número de bases, com raio operacional de 90 km (cenário do estudo anterior).</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Pr>
          <w:p>
            <w:r>
              <w:rPr>
                <w:rFonts w:ascii="Times New Roman" w:hAnsi="Times New Roman"/>
                <w:b/>
                <w:sz w:val="20"/>
              </w:rPr>
              <w:t>N.º de bases (k)</w:t>
            </w:r>
          </w:p>
        </w:tc>
        <w:tc>
          <w:tcPr>
            <w:tcW w:type="dxa" w:w="936"/>
          </w:tcPr>
          <w:p>
            <w:r>
              <w:rPr>
                <w:rFonts w:ascii="Times New Roman" w:hAnsi="Times New Roman"/>
                <w:b/>
                <w:sz w:val="20"/>
              </w:rPr>
              <w:t>1</w:t>
            </w:r>
          </w:p>
        </w:tc>
        <w:tc>
          <w:tcPr>
            <w:tcW w:type="dxa" w:w="936"/>
          </w:tcPr>
          <w:p>
            <w:r>
              <w:rPr>
                <w:rFonts w:ascii="Times New Roman" w:hAnsi="Times New Roman"/>
                <w:b/>
                <w:sz w:val="20"/>
              </w:rPr>
              <w:t>2</w:t>
            </w:r>
          </w:p>
        </w:tc>
        <w:tc>
          <w:tcPr>
            <w:tcW w:type="dxa" w:w="936"/>
          </w:tcPr>
          <w:p>
            <w:r>
              <w:rPr>
                <w:rFonts w:ascii="Times New Roman" w:hAnsi="Times New Roman"/>
                <w:b/>
                <w:sz w:val="20"/>
              </w:rPr>
              <w:t>3</w:t>
            </w:r>
          </w:p>
        </w:tc>
        <w:tc>
          <w:tcPr>
            <w:tcW w:type="dxa" w:w="936"/>
          </w:tcPr>
          <w:p>
            <w:r>
              <w:rPr>
                <w:rFonts w:ascii="Times New Roman" w:hAnsi="Times New Roman"/>
                <w:b/>
                <w:sz w:val="20"/>
              </w:rPr>
              <w:t>4</w:t>
            </w:r>
          </w:p>
        </w:tc>
        <w:tc>
          <w:tcPr>
            <w:tcW w:type="dxa" w:w="936"/>
          </w:tcPr>
          <w:p>
            <w:r>
              <w:rPr>
                <w:rFonts w:ascii="Times New Roman" w:hAnsi="Times New Roman"/>
                <w:b/>
                <w:sz w:val="20"/>
              </w:rPr>
              <w:t>5</w:t>
            </w:r>
          </w:p>
        </w:tc>
        <w:tc>
          <w:tcPr>
            <w:tcW w:type="dxa" w:w="936"/>
          </w:tcPr>
          <w:p>
            <w:r>
              <w:rPr>
                <w:rFonts w:ascii="Times New Roman" w:hAnsi="Times New Roman"/>
                <w:b/>
                <w:sz w:val="20"/>
              </w:rPr>
              <w:t>6</w:t>
            </w:r>
          </w:p>
        </w:tc>
        <w:tc>
          <w:tcPr>
            <w:tcW w:type="dxa" w:w="936"/>
          </w:tcPr>
          <w:p>
            <w:r>
              <w:rPr>
                <w:rFonts w:ascii="Times New Roman" w:hAnsi="Times New Roman"/>
                <w:b/>
                <w:sz w:val="20"/>
              </w:rPr>
              <w:t>7</w:t>
            </w:r>
          </w:p>
        </w:tc>
        <w:tc>
          <w:tcPr>
            <w:tcW w:type="dxa" w:w="936"/>
          </w:tcPr>
          <w:p>
            <w:r>
              <w:rPr>
                <w:rFonts w:ascii="Times New Roman" w:hAnsi="Times New Roman"/>
                <w:b/>
                <w:sz w:val="20"/>
              </w:rPr>
              <w:t>8</w:t>
            </w:r>
          </w:p>
        </w:tc>
        <w:tc>
          <w:tcPr>
            <w:tcW w:type="dxa" w:w="936"/>
          </w:tcPr>
          <w:p>
            <w:r>
              <w:rPr>
                <w:rFonts w:ascii="Times New Roman" w:hAnsi="Times New Roman"/>
                <w:b/>
                <w:sz w:val="20"/>
              </w:rPr>
              <w:t>≥ 9</w:t>
            </w:r>
          </w:p>
        </w:tc>
      </w:tr>
      <w:tr>
        <w:tc>
          <w:tcPr>
            <w:tcW w:type="dxa" w:w="936"/>
          </w:tcPr>
          <w:p>
            <w:r>
              <w:rPr>
                <w:rFonts w:ascii="Times New Roman" w:hAnsi="Times New Roman"/>
                <w:sz w:val="20"/>
              </w:rPr>
              <w:t>Fração do risco coberta</w:t>
            </w:r>
          </w:p>
        </w:tc>
        <w:tc>
          <w:tcPr>
            <w:tcW w:type="dxa" w:w="936"/>
          </w:tcPr>
          <w:p>
            <w:r>
              <w:rPr>
                <w:rFonts w:ascii="Times New Roman" w:hAnsi="Times New Roman"/>
                <w:sz w:val="20"/>
              </w:rPr>
              <w:t>31,1 %</w:t>
            </w:r>
          </w:p>
        </w:tc>
        <w:tc>
          <w:tcPr>
            <w:tcW w:type="dxa" w:w="936"/>
          </w:tcPr>
          <w:p>
            <w:r>
              <w:rPr>
                <w:rFonts w:ascii="Times New Roman" w:hAnsi="Times New Roman"/>
                <w:sz w:val="20"/>
              </w:rPr>
              <w:t>44,0 %</w:t>
            </w:r>
          </w:p>
        </w:tc>
        <w:tc>
          <w:tcPr>
            <w:tcW w:type="dxa" w:w="936"/>
          </w:tcPr>
          <w:p>
            <w:r>
              <w:rPr>
                <w:rFonts w:ascii="Times New Roman" w:hAnsi="Times New Roman"/>
                <w:sz w:val="20"/>
              </w:rPr>
              <w:t>51,6 %</w:t>
            </w:r>
          </w:p>
        </w:tc>
        <w:tc>
          <w:tcPr>
            <w:tcW w:type="dxa" w:w="936"/>
          </w:tcPr>
          <w:p>
            <w:r>
              <w:rPr>
                <w:rFonts w:ascii="Times New Roman" w:hAnsi="Times New Roman"/>
                <w:sz w:val="20"/>
              </w:rPr>
              <w:t>57,7 %</w:t>
            </w:r>
          </w:p>
        </w:tc>
        <w:tc>
          <w:tcPr>
            <w:tcW w:type="dxa" w:w="936"/>
          </w:tcPr>
          <w:p>
            <w:r>
              <w:rPr>
                <w:rFonts w:ascii="Times New Roman" w:hAnsi="Times New Roman"/>
                <w:sz w:val="20"/>
              </w:rPr>
              <w:t>61,0 %</w:t>
            </w:r>
          </w:p>
        </w:tc>
        <w:tc>
          <w:tcPr>
            <w:tcW w:type="dxa" w:w="936"/>
          </w:tcPr>
          <w:p>
            <w:r>
              <w:rPr>
                <w:rFonts w:ascii="Times New Roman" w:hAnsi="Times New Roman"/>
                <w:sz w:val="20"/>
              </w:rPr>
              <w:t>64,4 %</w:t>
            </w:r>
          </w:p>
        </w:tc>
        <w:tc>
          <w:tcPr>
            <w:tcW w:type="dxa" w:w="936"/>
          </w:tcPr>
          <w:p>
            <w:r>
              <w:rPr>
                <w:rFonts w:ascii="Times New Roman" w:hAnsi="Times New Roman"/>
                <w:sz w:val="20"/>
              </w:rPr>
              <w:t>65,3 %</w:t>
            </w:r>
          </w:p>
        </w:tc>
        <w:tc>
          <w:tcPr>
            <w:tcW w:type="dxa" w:w="936"/>
          </w:tcPr>
          <w:p>
            <w:r>
              <w:rPr>
                <w:rFonts w:ascii="Times New Roman" w:hAnsi="Times New Roman"/>
                <w:sz w:val="20"/>
              </w:rPr>
              <w:t>66,2 %</w:t>
            </w:r>
          </w:p>
        </w:tc>
        <w:tc>
          <w:tcPr>
            <w:tcW w:type="dxa" w:w="936"/>
          </w:tcPr>
          <w:p>
            <w:r>
              <w:rPr>
                <w:rFonts w:ascii="Times New Roman" w:hAnsi="Times New Roman"/>
                <w:sz w:val="20"/>
              </w:rPr>
              <w:t>66,8 %</w:t>
            </w:r>
          </w:p>
        </w:tc>
      </w:tr>
    </w:tbl>
    <w:p>
      <w:pPr>
        <w:spacing w:line="480" w:lineRule="auto"/>
        <w:ind w:firstLine="0"/>
        <w:jc w:val="center"/>
      </w:pPr>
      <w:r>
        <w:rPr>
          <w:rFonts w:ascii="Times New Roman" w:hAnsi="Times New Roman"/>
          <w:b/>
          <w:sz w:val="22"/>
        </w:rPr>
        <w:t>Tabela B3 -</w:t>
      </w:r>
      <w:r>
        <w:rPr>
          <w:rFonts w:ascii="Times New Roman" w:hAnsi="Times New Roman"/>
          <w:sz w:val="22"/>
        </w:rPr>
        <w:t xml:space="preserve"> </w:t>
      </w:r>
      <w:r>
        <w:rPr>
          <w:rFonts w:ascii="Times New Roman" w:hAnsi="Times New Roman"/>
          <w:i/>
          <w:sz w:val="22"/>
        </w:rPr>
        <w:t>Cobertura por cenário de vento (raio de 90 km; células de alto risco alcançáveis com as doze bases; 300 células de alto risco).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Cenário de vento</w:t>
            </w:r>
          </w:p>
        </w:tc>
        <w:tc>
          <w:tcPr>
            <w:tcW w:type="dxa" w:w="2340"/>
          </w:tcPr>
          <w:p>
            <w:r>
              <w:rPr>
                <w:rFonts w:ascii="Times New Roman" w:hAnsi="Times New Roman"/>
                <w:b/>
                <w:sz w:val="20"/>
              </w:rPr>
              <w:t>Raio efetivo (km)</w:t>
            </w:r>
          </w:p>
        </w:tc>
        <w:tc>
          <w:tcPr>
            <w:tcW w:type="dxa" w:w="2340"/>
          </w:tcPr>
          <w:p>
            <w:r>
              <w:rPr>
                <w:rFonts w:ascii="Times New Roman" w:hAnsi="Times New Roman"/>
                <w:b/>
                <w:sz w:val="20"/>
              </w:rPr>
              <w:t>Células cobríveis</w:t>
            </w:r>
          </w:p>
        </w:tc>
        <w:tc>
          <w:tcPr>
            <w:tcW w:type="dxa" w:w="2340"/>
          </w:tcPr>
          <w:p>
            <w:r>
              <w:rPr>
                <w:rFonts w:ascii="Times New Roman" w:hAnsi="Times New Roman"/>
                <w:b/>
                <w:sz w:val="20"/>
              </w:rPr>
              <w:t>Células não cobríveis</w:t>
            </w:r>
          </w:p>
        </w:tc>
      </w:tr>
      <w:tr>
        <w:tc>
          <w:tcPr>
            <w:tcW w:type="dxa" w:w="2340"/>
          </w:tcPr>
          <w:p>
            <w:r>
              <w:rPr>
                <w:rFonts w:ascii="Times New Roman" w:hAnsi="Times New Roman"/>
                <w:sz w:val="20"/>
              </w:rPr>
              <w:t>Calmo (4 m/s)</w:t>
            </w:r>
          </w:p>
        </w:tc>
        <w:tc>
          <w:tcPr>
            <w:tcW w:type="dxa" w:w="2340"/>
          </w:tcPr>
          <w:p>
            <w:r>
              <w:rPr>
                <w:rFonts w:ascii="Times New Roman" w:hAnsi="Times New Roman"/>
                <w:sz w:val="20"/>
              </w:rPr>
              <w:t>90,0</w:t>
            </w:r>
          </w:p>
        </w:tc>
        <w:tc>
          <w:tcPr>
            <w:tcW w:type="dxa" w:w="2340"/>
          </w:tcPr>
          <w:p>
            <w:r>
              <w:rPr>
                <w:rFonts w:ascii="Times New Roman" w:hAnsi="Times New Roman"/>
                <w:sz w:val="20"/>
              </w:rPr>
              <w:t>240</w:t>
            </w:r>
          </w:p>
        </w:tc>
        <w:tc>
          <w:tcPr>
            <w:tcW w:type="dxa" w:w="2340"/>
          </w:tcPr>
          <w:p>
            <w:r>
              <w:rPr>
                <w:rFonts w:ascii="Times New Roman" w:hAnsi="Times New Roman"/>
                <w:sz w:val="20"/>
              </w:rPr>
              <w:t>19</w:t>
            </w:r>
          </w:p>
        </w:tc>
      </w:tr>
      <w:tr>
        <w:tc>
          <w:tcPr>
            <w:tcW w:type="dxa" w:w="2340"/>
          </w:tcPr>
          <w:p>
            <w:r>
              <w:rPr>
                <w:rFonts w:ascii="Times New Roman" w:hAnsi="Times New Roman"/>
                <w:sz w:val="20"/>
              </w:rPr>
              <w:t>Moderado (12 m/s)</w:t>
            </w:r>
          </w:p>
        </w:tc>
        <w:tc>
          <w:tcPr>
            <w:tcW w:type="dxa" w:w="2340"/>
          </w:tcPr>
          <w:p>
            <w:r>
              <w:rPr>
                <w:rFonts w:ascii="Times New Roman" w:hAnsi="Times New Roman"/>
                <w:sz w:val="20"/>
              </w:rPr>
              <w:t>76,5</w:t>
            </w:r>
          </w:p>
        </w:tc>
        <w:tc>
          <w:tcPr>
            <w:tcW w:type="dxa" w:w="2340"/>
          </w:tcPr>
          <w:p>
            <w:r>
              <w:rPr>
                <w:rFonts w:ascii="Times New Roman" w:hAnsi="Times New Roman"/>
                <w:sz w:val="20"/>
              </w:rPr>
              <w:t>213</w:t>
            </w:r>
          </w:p>
        </w:tc>
        <w:tc>
          <w:tcPr>
            <w:tcW w:type="dxa" w:w="2340"/>
          </w:tcPr>
          <w:p>
            <w:r>
              <w:rPr>
                <w:rFonts w:ascii="Times New Roman" w:hAnsi="Times New Roman"/>
                <w:sz w:val="20"/>
              </w:rPr>
              <w:t>46</w:t>
            </w:r>
          </w:p>
        </w:tc>
      </w:tr>
      <w:tr>
        <w:tc>
          <w:tcPr>
            <w:tcW w:type="dxa" w:w="2340"/>
          </w:tcPr>
          <w:p>
            <w:r>
              <w:rPr>
                <w:rFonts w:ascii="Times New Roman" w:hAnsi="Times New Roman"/>
                <w:sz w:val="20"/>
              </w:rPr>
              <w:t>Forte (18 m/s)</w:t>
            </w:r>
          </w:p>
        </w:tc>
        <w:tc>
          <w:tcPr>
            <w:tcW w:type="dxa" w:w="2340"/>
          </w:tcPr>
          <w:p>
            <w:r>
              <w:rPr>
                <w:rFonts w:ascii="Times New Roman" w:hAnsi="Times New Roman"/>
                <w:sz w:val="20"/>
              </w:rPr>
              <w:t>63,0</w:t>
            </w:r>
          </w:p>
        </w:tc>
        <w:tc>
          <w:tcPr>
            <w:tcW w:type="dxa" w:w="2340"/>
          </w:tcPr>
          <w:p>
            <w:r>
              <w:rPr>
                <w:rFonts w:ascii="Times New Roman" w:hAnsi="Times New Roman"/>
                <w:sz w:val="20"/>
              </w:rPr>
              <w:t>169</w:t>
            </w:r>
          </w:p>
        </w:tc>
        <w:tc>
          <w:tcPr>
            <w:tcW w:type="dxa" w:w="2340"/>
          </w:tcPr>
          <w:p>
            <w:r>
              <w:rPr>
                <w:rFonts w:ascii="Times New Roman" w:hAnsi="Times New Roman"/>
                <w:sz w:val="20"/>
              </w:rPr>
              <w:t>90</w:t>
            </w:r>
          </w:p>
        </w:tc>
      </w:tr>
    </w:tbl>
    <w:p>
      <w:pPr>
        <w:spacing w:line="480" w:lineRule="auto"/>
        <w:ind w:firstLine="0"/>
        <w:jc w:val="center"/>
      </w:pPr>
      <w:r>
        <w:rPr>
          <w:rFonts w:ascii="Times New Roman" w:hAnsi="Times New Roman"/>
          <w:b/>
          <w:sz w:val="22"/>
        </w:rPr>
        <w:t>Tabela B4 -</w:t>
      </w:r>
      <w:r>
        <w:rPr>
          <w:rFonts w:ascii="Times New Roman" w:hAnsi="Times New Roman"/>
          <w:sz w:val="22"/>
        </w:rPr>
        <w:t xml:space="preserve"> </w:t>
      </w:r>
      <w:r>
        <w:rPr>
          <w:rFonts w:ascii="Times New Roman" w:hAnsi="Times New Roman"/>
          <w:i/>
          <w:sz w:val="22"/>
        </w:rPr>
        <w:t>Validação cruzada estratificada de cinco folds das configurações otimizadas (média ± desvio-padrão). Em negrito, os melhores valores.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0"/>
              </w:rPr>
              <w:t>Modelo</w:t>
            </w:r>
          </w:p>
        </w:tc>
        <w:tc>
          <w:tcPr>
            <w:tcW w:type="dxa" w:w="2340"/>
          </w:tcPr>
          <w:p>
            <w:r>
              <w:rPr>
                <w:rFonts w:ascii="Times New Roman" w:hAnsi="Times New Roman"/>
                <w:b/>
                <w:sz w:val="20"/>
              </w:rPr>
              <w:t>F1 (média ± dp)</w:t>
            </w:r>
          </w:p>
        </w:tc>
        <w:tc>
          <w:tcPr>
            <w:tcW w:type="dxa" w:w="2340"/>
          </w:tcPr>
          <w:p>
            <w:r>
              <w:rPr>
                <w:rFonts w:ascii="Times New Roman" w:hAnsi="Times New Roman"/>
                <w:b/>
                <w:sz w:val="20"/>
              </w:rPr>
              <w:t>ROC-AUC (média ± dp)</w:t>
            </w:r>
          </w:p>
        </w:tc>
        <w:tc>
          <w:tcPr>
            <w:tcW w:type="dxa" w:w="2340"/>
          </w:tcPr>
          <w:p>
            <w:r>
              <w:rPr>
                <w:rFonts w:ascii="Times New Roman" w:hAnsi="Times New Roman"/>
                <w:b/>
                <w:sz w:val="20"/>
              </w:rPr>
              <w:t>PR-AUC (média ± dp)</w:t>
            </w:r>
          </w:p>
        </w:tc>
      </w:tr>
      <w:tr>
        <w:tc>
          <w:tcPr>
            <w:tcW w:type="dxa" w:w="2340"/>
          </w:tcPr>
          <w:p>
            <w:r>
              <w:rPr>
                <w:rFonts w:ascii="Times New Roman" w:hAnsi="Times New Roman"/>
                <w:sz w:val="20"/>
              </w:rPr>
              <w:t>Bayes (otim.)</w:t>
            </w:r>
          </w:p>
        </w:tc>
        <w:tc>
          <w:tcPr>
            <w:tcW w:type="dxa" w:w="2340"/>
          </w:tcPr>
          <w:p>
            <w:r>
              <w:rPr>
                <w:rFonts w:ascii="Times New Roman" w:hAnsi="Times New Roman"/>
                <w:sz w:val="20"/>
              </w:rPr>
              <w:t>0,080 ± 0,001</w:t>
            </w:r>
          </w:p>
        </w:tc>
        <w:tc>
          <w:tcPr>
            <w:tcW w:type="dxa" w:w="2340"/>
          </w:tcPr>
          <w:p>
            <w:r>
              <w:rPr>
                <w:rFonts w:ascii="Times New Roman" w:hAnsi="Times New Roman"/>
                <w:sz w:val="20"/>
              </w:rPr>
              <w:t>0,858 ± 0,059</w:t>
            </w:r>
          </w:p>
        </w:tc>
        <w:tc>
          <w:tcPr>
            <w:tcW w:type="dxa" w:w="2340"/>
          </w:tcPr>
          <w:p>
            <w:r>
              <w:rPr>
                <w:rFonts w:ascii="Times New Roman" w:hAnsi="Times New Roman"/>
                <w:sz w:val="20"/>
              </w:rPr>
              <w:t>0,326 ± 0,136</w:t>
            </w:r>
          </w:p>
        </w:tc>
      </w:tr>
      <w:tr>
        <w:tc>
          <w:tcPr>
            <w:tcW w:type="dxa" w:w="2340"/>
          </w:tcPr>
          <w:p>
            <w:r>
              <w:rPr>
                <w:rFonts w:ascii="Times New Roman" w:hAnsi="Times New Roman"/>
                <w:sz w:val="20"/>
              </w:rPr>
              <w:t>k-vizinhos (otim.)</w:t>
            </w:r>
          </w:p>
        </w:tc>
        <w:tc>
          <w:tcPr>
            <w:tcW w:type="dxa" w:w="2340"/>
          </w:tcPr>
          <w:p>
            <w:r>
              <w:rPr>
                <w:rFonts w:ascii="Times New Roman" w:hAnsi="Times New Roman"/>
                <w:sz w:val="20"/>
              </w:rPr>
              <w:t>0,551 ± 0,032</w:t>
            </w:r>
          </w:p>
        </w:tc>
        <w:tc>
          <w:tcPr>
            <w:tcW w:type="dxa" w:w="2340"/>
          </w:tcPr>
          <w:p>
            <w:r>
              <w:rPr>
                <w:rFonts w:ascii="Times New Roman" w:hAnsi="Times New Roman"/>
                <w:sz w:val="20"/>
              </w:rPr>
              <w:t>0,893 ± 0,036</w:t>
            </w:r>
          </w:p>
        </w:tc>
        <w:tc>
          <w:tcPr>
            <w:tcW w:type="dxa" w:w="2340"/>
          </w:tcPr>
          <w:p>
            <w:r>
              <w:rPr>
                <w:rFonts w:ascii="Times New Roman" w:hAnsi="Times New Roman"/>
                <w:sz w:val="20"/>
              </w:rPr>
              <w:t>0,484 ± 0,065</w:t>
            </w:r>
          </w:p>
        </w:tc>
      </w:tr>
      <w:tr>
        <w:tc>
          <w:tcPr>
            <w:tcW w:type="dxa" w:w="2340"/>
          </w:tcPr>
          <w:p>
            <w:r>
              <w:rPr>
                <w:rFonts w:ascii="Times New Roman" w:hAnsi="Times New Roman"/>
                <w:sz w:val="20"/>
              </w:rPr>
              <w:t>Árvore (otim.)</w:t>
            </w:r>
          </w:p>
        </w:tc>
        <w:tc>
          <w:tcPr>
            <w:tcW w:type="dxa" w:w="2340"/>
          </w:tcPr>
          <w:p>
            <w:r>
              <w:rPr>
                <w:rFonts w:ascii="Times New Roman" w:hAnsi="Times New Roman"/>
                <w:b/>
                <w:sz w:val="20"/>
              </w:rPr>
              <w:t>0,560 ± 0,033</w:t>
            </w:r>
          </w:p>
        </w:tc>
        <w:tc>
          <w:tcPr>
            <w:tcW w:type="dxa" w:w="2340"/>
          </w:tcPr>
          <w:p>
            <w:r>
              <w:rPr>
                <w:rFonts w:ascii="Times New Roman" w:hAnsi="Times New Roman"/>
                <w:sz w:val="20"/>
              </w:rPr>
              <w:t>0,783 ± 0,033</w:t>
            </w:r>
          </w:p>
        </w:tc>
        <w:tc>
          <w:tcPr>
            <w:tcW w:type="dxa" w:w="2340"/>
          </w:tcPr>
          <w:p>
            <w:r>
              <w:rPr>
                <w:rFonts w:ascii="Times New Roman" w:hAnsi="Times New Roman"/>
                <w:sz w:val="20"/>
              </w:rPr>
              <w:t>0,371 ± 0,050</w:t>
            </w:r>
          </w:p>
        </w:tc>
      </w:tr>
      <w:tr>
        <w:tc>
          <w:tcPr>
            <w:tcW w:type="dxa" w:w="2340"/>
          </w:tcPr>
          <w:p>
            <w:r>
              <w:rPr>
                <w:rFonts w:ascii="Times New Roman" w:hAnsi="Times New Roman"/>
                <w:b/>
                <w:sz w:val="20"/>
              </w:rPr>
              <w:t>Perceptrão multicamada (otim.)</w:t>
            </w:r>
          </w:p>
        </w:tc>
        <w:tc>
          <w:tcPr>
            <w:tcW w:type="dxa" w:w="2340"/>
          </w:tcPr>
          <w:p>
            <w:r>
              <w:rPr>
                <w:rFonts w:ascii="Times New Roman" w:hAnsi="Times New Roman"/>
                <w:sz w:val="20"/>
              </w:rPr>
              <w:t>0,551 ± 0,053</w:t>
            </w:r>
          </w:p>
        </w:tc>
        <w:tc>
          <w:tcPr>
            <w:tcW w:type="dxa" w:w="2340"/>
          </w:tcPr>
          <w:p>
            <w:r>
              <w:rPr>
                <w:rFonts w:ascii="Times New Roman" w:hAnsi="Times New Roman"/>
                <w:b/>
                <w:sz w:val="20"/>
              </w:rPr>
              <w:t>0,926 ± 0,022</w:t>
            </w:r>
          </w:p>
        </w:tc>
        <w:tc>
          <w:tcPr>
            <w:tcW w:type="dxa" w:w="2340"/>
          </w:tcPr>
          <w:p>
            <w:r>
              <w:rPr>
                <w:rFonts w:ascii="Times New Roman" w:hAnsi="Times New Roman"/>
                <w:b/>
                <w:sz w:val="20"/>
              </w:rPr>
              <w:t>0,625 ± 0,069</w:t>
            </w:r>
          </w:p>
        </w:tc>
      </w:tr>
    </w:tbl>
    <w:p>
      <w:pPr>
        <w:spacing w:line="480" w:lineRule="auto"/>
        <w:ind w:firstLine="0"/>
        <w:jc w:val="center"/>
      </w:pPr>
      <w:r>
        <w:rPr>
          <w:rFonts w:ascii="Times New Roman" w:hAnsi="Times New Roman"/>
          <w:b/>
          <w:sz w:val="22"/>
        </w:rPr>
        <w:t>Tabela B5 -</w:t>
      </w:r>
      <w:r>
        <w:rPr>
          <w:rFonts w:ascii="Times New Roman" w:hAnsi="Times New Roman"/>
          <w:sz w:val="22"/>
        </w:rPr>
        <w:t xml:space="preserve"> </w:t>
      </w:r>
      <w:r>
        <w:rPr>
          <w:rFonts w:ascii="Times New Roman" w:hAnsi="Times New Roman"/>
          <w:i/>
          <w:sz w:val="22"/>
        </w:rPr>
        <w:t>Frota total e parâmetros operacionais em função do número de bases (área total de alto risco).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rFonts w:ascii="Times New Roman" w:hAnsi="Times New Roman"/>
                <w:b/>
                <w:sz w:val="20"/>
              </w:rPr>
              <w:t>N.º de bases</w:t>
            </w:r>
          </w:p>
        </w:tc>
        <w:tc>
          <w:tcPr>
            <w:tcW w:type="dxa" w:w="1872"/>
          </w:tcPr>
          <w:p>
            <w:r>
              <w:rPr>
                <w:rFonts w:ascii="Times New Roman" w:hAnsi="Times New Roman"/>
                <w:b/>
                <w:sz w:val="20"/>
              </w:rPr>
              <w:t>Bases selecionadas</w:t>
            </w:r>
          </w:p>
        </w:tc>
        <w:tc>
          <w:tcPr>
            <w:tcW w:type="dxa" w:w="1872"/>
          </w:tcPr>
          <w:p>
            <w:r>
              <w:rPr>
                <w:rFonts w:ascii="Times New Roman" w:hAnsi="Times New Roman"/>
                <w:b/>
                <w:sz w:val="20"/>
              </w:rPr>
              <w:t>Dist. média (km)</w:t>
            </w:r>
          </w:p>
        </w:tc>
        <w:tc>
          <w:tcPr>
            <w:tcW w:type="dxa" w:w="1872"/>
          </w:tcPr>
          <w:p>
            <w:r>
              <w:rPr>
                <w:rFonts w:ascii="Times New Roman" w:hAnsi="Times New Roman"/>
                <w:b/>
                <w:sz w:val="20"/>
              </w:rPr>
              <w:t>Tempo de estação (h)</w:t>
            </w:r>
          </w:p>
        </w:tc>
        <w:tc>
          <w:tcPr>
            <w:tcW w:type="dxa" w:w="1872"/>
          </w:tcPr>
          <w:p>
            <w:r>
              <w:rPr>
                <w:rFonts w:ascii="Times New Roman" w:hAnsi="Times New Roman"/>
                <w:b/>
                <w:sz w:val="20"/>
              </w:rPr>
              <w:t>Frota total</w:t>
            </w:r>
          </w:p>
        </w:tc>
      </w:tr>
      <w:tr>
        <w:tc>
          <w:tcPr>
            <w:tcW w:type="dxa" w:w="1872"/>
          </w:tcPr>
          <w:p>
            <w:r>
              <w:rPr>
                <w:rFonts w:ascii="Times New Roman" w:hAnsi="Times New Roman"/>
                <w:sz w:val="20"/>
              </w:rPr>
              <w:t>1</w:t>
            </w:r>
          </w:p>
        </w:tc>
        <w:tc>
          <w:tcPr>
            <w:tcW w:type="dxa" w:w="1872"/>
          </w:tcPr>
          <w:p>
            <w:r>
              <w:rPr>
                <w:rFonts w:ascii="Times New Roman" w:hAnsi="Times New Roman"/>
                <w:sz w:val="20"/>
              </w:rPr>
              <w:t>Montijo (BA6)</w:t>
            </w:r>
          </w:p>
        </w:tc>
        <w:tc>
          <w:tcPr>
            <w:tcW w:type="dxa" w:w="1872"/>
          </w:tcPr>
          <w:p>
            <w:r>
              <w:rPr>
                <w:rFonts w:ascii="Times New Roman" w:hAnsi="Times New Roman"/>
                <w:sz w:val="20"/>
              </w:rPr>
              <w:t>120,1</w:t>
            </w:r>
          </w:p>
        </w:tc>
        <w:tc>
          <w:tcPr>
            <w:tcW w:type="dxa" w:w="1872"/>
          </w:tcPr>
          <w:p>
            <w:r>
              <w:rPr>
                <w:rFonts w:ascii="Times New Roman" w:hAnsi="Times New Roman"/>
                <w:sz w:val="20"/>
              </w:rPr>
              <w:t>12,6</w:t>
            </w:r>
          </w:p>
        </w:tc>
        <w:tc>
          <w:tcPr>
            <w:tcW w:type="dxa" w:w="1872"/>
          </w:tcPr>
          <w:p>
            <w:r>
              <w:rPr>
                <w:rFonts w:ascii="Times New Roman" w:hAnsi="Times New Roman"/>
                <w:sz w:val="20"/>
              </w:rPr>
              <w:t>12</w:t>
            </w:r>
          </w:p>
        </w:tc>
      </w:tr>
      <w:tr>
        <w:tc>
          <w:tcPr>
            <w:tcW w:type="dxa" w:w="1872"/>
          </w:tcPr>
          <w:p>
            <w:r>
              <w:rPr>
                <w:rFonts w:ascii="Times New Roman" w:hAnsi="Times New Roman"/>
                <w:sz w:val="20"/>
              </w:rPr>
              <w:t>2 a 11</w:t>
            </w:r>
          </w:p>
        </w:tc>
        <w:tc>
          <w:tcPr>
            <w:tcW w:type="dxa" w:w="1872"/>
          </w:tcPr>
          <w:p>
            <w:r>
              <w:rPr>
                <w:rFonts w:ascii="Times New Roman" w:hAnsi="Times New Roman"/>
                <w:sz w:val="20"/>
              </w:rPr>
              <w:t>Porto + Portimão</w:t>
            </w:r>
          </w:p>
        </w:tc>
        <w:tc>
          <w:tcPr>
            <w:tcW w:type="dxa" w:w="1872"/>
          </w:tcPr>
          <w:p>
            <w:r>
              <w:rPr>
                <w:rFonts w:ascii="Times New Roman" w:hAnsi="Times New Roman"/>
                <w:sz w:val="20"/>
              </w:rPr>
              <w:t>138,8</w:t>
            </w:r>
          </w:p>
        </w:tc>
        <w:tc>
          <w:tcPr>
            <w:tcW w:type="dxa" w:w="1872"/>
          </w:tcPr>
          <w:p>
            <w:r>
              <w:rPr>
                <w:rFonts w:ascii="Times New Roman" w:hAnsi="Times New Roman"/>
                <w:sz w:val="20"/>
              </w:rPr>
              <w:t>12,2</w:t>
            </w:r>
          </w:p>
        </w:tc>
        <w:tc>
          <w:tcPr>
            <w:tcW w:type="dxa" w:w="1872"/>
          </w:tcPr>
          <w:p>
            <w:r>
              <w:rPr>
                <w:rFonts w:ascii="Times New Roman" w:hAnsi="Times New Roman"/>
                <w:sz w:val="20"/>
              </w:rPr>
              <w:t>13</w:t>
            </w:r>
          </w:p>
        </w:tc>
      </w:tr>
      <w:tr>
        <w:tc>
          <w:tcPr>
            <w:tcW w:type="dxa" w:w="1872"/>
          </w:tcPr>
          <w:p>
            <w:r>
              <w:rPr>
                <w:rFonts w:ascii="Times New Roman" w:hAnsi="Times New Roman"/>
                <w:sz w:val="20"/>
              </w:rPr>
              <w:t>12</w:t>
            </w:r>
          </w:p>
        </w:tc>
        <w:tc>
          <w:tcPr>
            <w:tcW w:type="dxa" w:w="1872"/>
          </w:tcPr>
          <w:p>
            <w:r>
              <w:rPr>
                <w:rFonts w:ascii="Times New Roman" w:hAnsi="Times New Roman"/>
                <w:sz w:val="20"/>
              </w:rPr>
              <w:t>Rede completa (12 aeródromos)</w:t>
            </w:r>
          </w:p>
        </w:tc>
        <w:tc>
          <w:tcPr>
            <w:tcW w:type="dxa" w:w="1872"/>
          </w:tcPr>
          <w:p>
            <w:r>
              <w:rPr>
                <w:rFonts w:ascii="Times New Roman" w:hAnsi="Times New Roman"/>
                <w:sz w:val="20"/>
              </w:rPr>
              <w:t>55,9</w:t>
            </w:r>
          </w:p>
        </w:tc>
        <w:tc>
          <w:tcPr>
            <w:tcW w:type="dxa" w:w="1872"/>
          </w:tcPr>
          <w:p>
            <w:r>
              <w:rPr>
                <w:rFonts w:ascii="Times New Roman" w:hAnsi="Times New Roman"/>
                <w:sz w:val="20"/>
              </w:rPr>
              <w:t>13,9</w:t>
            </w:r>
          </w:p>
        </w:tc>
        <w:tc>
          <w:tcPr>
            <w:tcW w:type="dxa" w:w="1872"/>
          </w:tcPr>
          <w:p>
            <w:r>
              <w:rPr>
                <w:rFonts w:ascii="Times New Roman" w:hAnsi="Times New Roman"/>
                <w:sz w:val="20"/>
              </w:rPr>
              <w:t>11</w:t>
            </w:r>
          </w:p>
        </w:tc>
      </w:tr>
    </w:tbl>
    <w:p>
      <w:pPr>
        <w:spacing w:line="480" w:lineRule="auto"/>
        <w:ind w:firstLine="0"/>
        <w:jc w:val="center"/>
      </w:pPr>
      <w:r>
        <w:rPr>
          <w:rFonts w:ascii="Times New Roman" w:hAnsi="Times New Roman"/>
          <w:b/>
          <w:sz w:val="22"/>
        </w:rPr>
        <w:t>Tabela B6 -</w:t>
      </w:r>
      <w:r>
        <w:rPr>
          <w:rFonts w:ascii="Times New Roman" w:hAnsi="Times New Roman"/>
          <w:sz w:val="22"/>
        </w:rPr>
        <w:t xml:space="preserve"> </w:t>
      </w:r>
      <w:r>
        <w:rPr>
          <w:rFonts w:ascii="Times New Roman" w:hAnsi="Times New Roman"/>
          <w:i/>
          <w:sz w:val="22"/>
        </w:rPr>
        <w:t>Análise de sensibilidade da frota total.</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Parâmetro</w:t>
            </w:r>
          </w:p>
        </w:tc>
        <w:tc>
          <w:tcPr>
            <w:tcW w:type="dxa" w:w="4680"/>
          </w:tcPr>
          <w:p>
            <w:r>
              <w:rPr>
                <w:rFonts w:ascii="Times New Roman" w:hAnsi="Times New Roman"/>
                <w:b/>
                <w:sz w:val="20"/>
              </w:rPr>
              <w:t>Valores testados → frota</w:t>
            </w:r>
          </w:p>
        </w:tc>
      </w:tr>
      <w:tr>
        <w:tc>
          <w:tcPr>
            <w:tcW w:type="dxa" w:w="4680"/>
          </w:tcPr>
          <w:p>
            <w:r>
              <w:rPr>
                <w:rFonts w:ascii="Times New Roman" w:hAnsi="Times New Roman"/>
                <w:sz w:val="20"/>
              </w:rPr>
              <w:t>Largura útil do sensor (km)</w:t>
            </w:r>
          </w:p>
        </w:tc>
        <w:tc>
          <w:tcPr>
            <w:tcW w:type="dxa" w:w="4680"/>
          </w:tcPr>
          <w:p>
            <w:r>
              <w:rPr>
                <w:rFonts w:ascii="Times New Roman" w:hAnsi="Times New Roman"/>
                <w:sz w:val="20"/>
              </w:rPr>
              <w:t>20 → 14 · 30 → 11 · 40 → 9 · 50 → 6</w:t>
            </w:r>
          </w:p>
        </w:tc>
      </w:tr>
      <w:tr>
        <w:tc>
          <w:tcPr>
            <w:tcW w:type="dxa" w:w="4680"/>
          </w:tcPr>
          <w:p>
            <w:r>
              <w:rPr>
                <w:rFonts w:ascii="Times New Roman" w:hAnsi="Times New Roman"/>
                <w:sz w:val="20"/>
              </w:rPr>
              <w:t>Período de revisita (h)</w:t>
            </w:r>
          </w:p>
        </w:tc>
        <w:tc>
          <w:tcPr>
            <w:tcW w:type="dxa" w:w="4680"/>
          </w:tcPr>
          <w:p>
            <w:r>
              <w:rPr>
                <w:rFonts w:ascii="Times New Roman" w:hAnsi="Times New Roman"/>
                <w:sz w:val="20"/>
              </w:rPr>
              <w:t>2 → 14 · 3 → 11 · 4 → 9 · 6 → 6</w:t>
            </w:r>
          </w:p>
        </w:tc>
      </w:tr>
      <w:tr>
        <w:tc>
          <w:tcPr>
            <w:tcW w:type="dxa" w:w="4680"/>
          </w:tcPr>
          <w:p>
            <w:r>
              <w:rPr>
                <w:rFonts w:ascii="Times New Roman" w:hAnsi="Times New Roman"/>
                <w:sz w:val="20"/>
              </w:rPr>
              <w:t>Disponibilidade operacional</w:t>
            </w:r>
          </w:p>
        </w:tc>
        <w:tc>
          <w:tcPr>
            <w:tcW w:type="dxa" w:w="4680"/>
          </w:tcPr>
          <w:p>
            <w:r>
              <w:rPr>
                <w:rFonts w:ascii="Times New Roman" w:hAnsi="Times New Roman"/>
                <w:sz w:val="20"/>
              </w:rPr>
              <w:t>0,60 → 13 · 0,70 → 11 · 0,80 → 10 · 0,90 → 9</w:t>
            </w:r>
          </w:p>
        </w:tc>
      </w:tr>
    </w:tbl>
    <w:p>
      <w:pPr>
        <w:spacing w:line="480" w:lineRule="auto"/>
        <w:ind w:firstLine="0"/>
        <w:jc w:val="center"/>
      </w:pPr>
      <w:r>
        <w:rPr>
          <w:rFonts w:ascii="Times New Roman" w:hAnsi="Times New Roman"/>
          <w:b/>
          <w:sz w:val="22"/>
        </w:rPr>
        <w:t>Tabela B7 -</w:t>
      </w:r>
      <w:r>
        <w:rPr>
          <w:rFonts w:ascii="Times New Roman" w:hAnsi="Times New Roman"/>
          <w:sz w:val="22"/>
        </w:rPr>
        <w:t xml:space="preserve"> </w:t>
      </w:r>
      <w:r>
        <w:rPr>
          <w:rFonts w:ascii="Times New Roman" w:hAnsi="Times New Roman"/>
          <w:i/>
          <w:sz w:val="22"/>
        </w:rPr>
        <w:t>Hiperparâmetros selecionados por GridSearchCV (configurações otimizadas).</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Família</w:t>
            </w:r>
          </w:p>
        </w:tc>
        <w:tc>
          <w:tcPr>
            <w:tcW w:type="dxa" w:w="4680"/>
          </w:tcPr>
          <w:p>
            <w:r>
              <w:rPr>
                <w:rFonts w:ascii="Times New Roman" w:hAnsi="Times New Roman"/>
                <w:b/>
                <w:sz w:val="20"/>
              </w:rPr>
              <w:t>Hiperparâmetros selecionados</w:t>
            </w:r>
          </w:p>
        </w:tc>
      </w:tr>
      <w:tr>
        <w:tc>
          <w:tcPr>
            <w:tcW w:type="dxa" w:w="4680"/>
          </w:tcPr>
          <w:p>
            <w:r>
              <w:rPr>
                <w:rFonts w:ascii="Times New Roman" w:hAnsi="Times New Roman"/>
                <w:sz w:val="20"/>
              </w:rPr>
              <w:t>Bayes (Naive)</w:t>
            </w:r>
          </w:p>
        </w:tc>
        <w:tc>
          <w:tcPr>
            <w:tcW w:type="dxa" w:w="4680"/>
          </w:tcPr>
          <w:p>
            <w:r>
              <w:rPr>
                <w:rFonts w:ascii="Times New Roman" w:hAnsi="Times New Roman"/>
                <w:sz w:val="20"/>
              </w:rPr>
              <w:t>var_smoothing = 1e-8</w:t>
            </w:r>
          </w:p>
        </w:tc>
      </w:tr>
      <w:tr>
        <w:tc>
          <w:tcPr>
            <w:tcW w:type="dxa" w:w="4680"/>
          </w:tcPr>
          <w:p>
            <w:r>
              <w:rPr>
                <w:rFonts w:ascii="Times New Roman" w:hAnsi="Times New Roman"/>
                <w:sz w:val="20"/>
              </w:rPr>
              <w:t>k-vizinhos</w:t>
            </w:r>
          </w:p>
        </w:tc>
        <w:tc>
          <w:tcPr>
            <w:tcW w:type="dxa" w:w="4680"/>
          </w:tcPr>
          <w:p>
            <w:r>
              <w:rPr>
                <w:rFonts w:ascii="Times New Roman" w:hAnsi="Times New Roman"/>
                <w:sz w:val="20"/>
              </w:rPr>
              <w:t>n_neighbors = 5, weights = distance</w:t>
            </w:r>
          </w:p>
        </w:tc>
      </w:tr>
      <w:tr>
        <w:tc>
          <w:tcPr>
            <w:tcW w:type="dxa" w:w="4680"/>
          </w:tcPr>
          <w:p>
            <w:r>
              <w:rPr>
                <w:rFonts w:ascii="Times New Roman" w:hAnsi="Times New Roman"/>
                <w:sz w:val="20"/>
              </w:rPr>
              <w:t>Árvore de decisão</w:t>
            </w:r>
          </w:p>
        </w:tc>
        <w:tc>
          <w:tcPr>
            <w:tcW w:type="dxa" w:w="4680"/>
          </w:tcPr>
          <w:p>
            <w:r>
              <w:rPr>
                <w:rFonts w:ascii="Times New Roman" w:hAnsi="Times New Roman"/>
                <w:sz w:val="20"/>
              </w:rPr>
              <w:t>criterion = gini, max_depth = None, min_samples_leaf = 1</w:t>
            </w:r>
          </w:p>
        </w:tc>
      </w:tr>
      <w:tr>
        <w:tc>
          <w:tcPr>
            <w:tcW w:type="dxa" w:w="4680"/>
          </w:tcPr>
          <w:p>
            <w:r>
              <w:rPr>
                <w:rFonts w:ascii="Times New Roman" w:hAnsi="Times New Roman"/>
                <w:sz w:val="20"/>
              </w:rPr>
              <w:t>Perceptrão multicamada</w:t>
            </w:r>
          </w:p>
        </w:tc>
        <w:tc>
          <w:tcPr>
            <w:tcW w:type="dxa" w:w="4680"/>
          </w:tcPr>
          <w:p>
            <w:r>
              <w:rPr>
                <w:rFonts w:ascii="Times New Roman" w:hAnsi="Times New Roman"/>
                <w:sz w:val="20"/>
              </w:rPr>
              <w:t>hidden_layer_sizes = (64), alpha = 1e-4</w:t>
            </w:r>
          </w:p>
        </w:tc>
      </w:tr>
    </w:tbl>
    <w:p>
      <w:pPr>
        <w:pStyle w:val="Heading2"/>
      </w:pPr>
      <w:r>
        <w:t>Anexo C — Reprodução computacional e arranque da plataforma</w:t>
      </w:r>
    </w:p>
    <w:p>
      <w:pPr>
        <w:spacing w:line="480" w:lineRule="auto"/>
        <w:ind w:firstLine="720"/>
        <w:jc w:val="both"/>
      </w:pPr>
      <w:r>
        <w:rPr>
          <w:rFonts w:ascii="Times New Roman" w:hAnsi="Times New Roman"/>
          <w:sz w:val="24"/>
        </w:rPr>
        <w:t>O sistema está integralmente implementado em Python e é reprodutível através dos seguintes comandos:</w:t>
      </w:r>
    </w:p>
    <w:p>
      <w:pPr>
        <w:spacing w:after="0"/>
      </w:pPr>
      <w:r>
        <w:rPr>
          <w:rFonts w:ascii="Consolas" w:hAnsi="Consolas"/>
          <w:sz w:val="18"/>
        </w:rPr>
        <w:t>pip install -r requirements.txt</w:t>
      </w:r>
    </w:p>
    <w:p>
      <w:pPr>
        <w:spacing w:after="0"/>
      </w:pPr>
      <w:r>
        <w:rPr>
          <w:rFonts w:ascii="Consolas" w:hAnsi="Consolas"/>
          <w:sz w:val="18"/>
        </w:rPr>
        <w:t>cd src</w:t>
      </w:r>
    </w:p>
    <w:p>
      <w:pPr>
        <w:spacing w:after="0"/>
      </w:pPr>
      <w:r>
        <w:rPr>
          <w:rFonts w:ascii="Consolas" w:hAnsi="Consolas"/>
          <w:sz w:val="18"/>
        </w:rPr>
        <w:t>python -m dm.construir_dados_reais   # intensidades reais (EMODnet AIS + IOM + apreensões)</w:t>
      </w:r>
    </w:p>
    <w:p>
      <w:pPr>
        <w:spacing w:after="0"/>
      </w:pPr>
      <w:r>
        <w:rPr>
          <w:rFonts w:ascii="Consolas" w:hAnsi="Consolas"/>
          <w:sz w:val="18"/>
        </w:rPr>
        <w:t>python validacao.py                 # backtesting temporal + baseline (Fase C)</w:t>
      </w:r>
    </w:p>
    <w:p>
      <w:pPr>
        <w:spacing w:after="0"/>
      </w:pPr>
      <w:r>
        <w:rPr>
          <w:rFonts w:ascii="Consolas" w:hAnsi="Consolas"/>
          <w:sz w:val="18"/>
        </w:rPr>
        <w:t>python main.py             # índice de risco, otimização de bases e dimensionamento de frota</w:t>
      </w:r>
    </w:p>
    <w:p>
      <w:pPr>
        <w:spacing w:after="0"/>
      </w:pPr>
      <w:r>
        <w:rPr>
          <w:rFonts w:ascii="Consolas" w:hAnsi="Consolas"/>
          <w:sz w:val="18"/>
        </w:rPr>
        <w:t>python -m dm.main_dm        # pipeline de data mining (EDA, PCA, clustering, classificação, difuso)</w:t>
      </w:r>
    </w:p>
    <w:p>
      <w:pPr>
        <w:spacing w:after="0"/>
      </w:pPr>
      <w:r>
        <w:rPr>
          <w:rFonts w:ascii="Consolas" w:hAnsi="Consolas"/>
          <w:sz w:val="18"/>
        </w:rPr>
        <w:t>python mapa_interativo.py   # painel geoespacial interativo (resultados/mapa_interativo.html)</w:t>
      </w:r>
    </w:p>
    <w:p>
      <w:pPr>
        <w:spacing w:after="0"/>
      </w:pPr>
      <w:r>
        <w:rPr>
          <w:rFonts w:ascii="Consolas" w:hAnsi="Consolas"/>
          <w:sz w:val="18"/>
        </w:rPr>
        <w:t>python gerar_docx.py        # geração do presente relatório em formato Word</w:t>
      </w:r>
    </w:p>
    <w:p>
      <w:pPr>
        <w:spacing w:line="480" w:lineRule="auto"/>
        <w:ind w:firstLine="720"/>
        <w:jc w:val="both"/>
      </w:pPr>
      <w:r>
        <w:rPr>
          <w:rFonts w:ascii="Times New Roman" w:hAnsi="Times New Roman"/>
          <w:sz w:val="24"/>
        </w:rPr>
        <w:t xml:space="preserve">As fontes de dados reais (densidade de embarcações do EMODnet e incidentes do IOM Missing Migrants) residem em </w:t>
      </w:r>
      <w:r>
        <w:rPr>
          <w:rFonts w:ascii="Consolas" w:hAnsi="Consolas"/>
          <w:sz w:val="22"/>
        </w:rPr>
        <w:t>dados/fontes/</w:t>
      </w:r>
      <w:r>
        <w:rPr>
          <w:rFonts w:ascii="Times New Roman" w:hAnsi="Times New Roman"/>
          <w:sz w:val="24"/>
        </w:rPr>
        <w:t xml:space="preserve">; o passo </w:t>
      </w:r>
      <w:r>
        <w:rPr>
          <w:rFonts w:ascii="Consolas" w:hAnsi="Consolas"/>
          <w:sz w:val="22"/>
        </w:rPr>
        <w:t>dm.construir_dados_reais</w:t>
      </w:r>
      <w:r>
        <w:rPr>
          <w:rFonts w:ascii="Times New Roman" w:hAnsi="Times New Roman"/>
          <w:sz w:val="24"/>
        </w:rPr>
        <w:t xml:space="preserve"> amostra-as sobre a grelha de procura e escreve </w:t>
      </w:r>
      <w:r>
        <w:rPr>
          <w:rFonts w:ascii="Consolas" w:hAnsi="Consolas"/>
          <w:sz w:val="22"/>
        </w:rPr>
        <w:t>dados/processados/intensidades_reais.csv</w:t>
      </w:r>
      <w:r>
        <w:rPr>
          <w:rFonts w:ascii="Times New Roman" w:hAnsi="Times New Roman"/>
          <w:sz w:val="24"/>
        </w:rPr>
        <w:t xml:space="preserve">, consumido por </w:t>
      </w:r>
      <w:r>
        <w:rPr>
          <w:rFonts w:ascii="Consolas" w:hAnsi="Consolas"/>
          <w:sz w:val="22"/>
        </w:rPr>
        <w:t>risco.py</w:t>
      </w:r>
      <w:r>
        <w:rPr>
          <w:rFonts w:ascii="Times New Roman" w:hAnsi="Times New Roman"/>
          <w:sz w:val="24"/>
        </w:rPr>
        <w:t>. O painel interativo (</w:t>
      </w:r>
      <w:r>
        <w:rPr>
          <w:rFonts w:ascii="Consolas" w:hAnsi="Consolas"/>
          <w:sz w:val="22"/>
        </w:rPr>
        <w:t>resultados/mapa_interativo.html</w:t>
      </w:r>
      <w:r>
        <w:rPr>
          <w:rFonts w:ascii="Times New Roman" w:hAnsi="Times New Roman"/>
          <w:sz w:val="24"/>
        </w:rPr>
        <w:t>) abre-se diretamente em qualquer navegador.</w:t>
      </w:r>
    </w:p>
    <w:p>
      <w:pPr>
        <w:spacing w:line="480" w:lineRule="auto"/>
        <w:ind w:firstLine="720"/>
        <w:jc w:val="both"/>
      </w:pPr>
      <w:r>
        <w:rPr>
          <w:rFonts w:ascii="Times New Roman" w:hAnsi="Times New Roman"/>
          <w:sz w:val="24"/>
        </w:rPr>
        <w:t xml:space="preserve">Todos os parâmetros do sistema — pesos das ameaças, especificações do AR5, largura útil do sensor, período de revisita, disponibilidade e cenários de vento — estão centralizados no ficheiro </w:t>
      </w:r>
      <w:r>
        <w:rPr>
          <w:rFonts w:ascii="Consolas" w:hAnsi="Consolas"/>
          <w:sz w:val="22"/>
        </w:rPr>
        <w:t>src/config.py</w:t>
      </w:r>
      <w:r>
        <w:rPr>
          <w:rFonts w:ascii="Times New Roman" w:hAnsi="Times New Roman"/>
          <w:sz w:val="24"/>
        </w:rPr>
        <w:t xml:space="preserve">. Os resultados numéricos são exportados para </w:t>
      </w:r>
      <w:r>
        <w:rPr>
          <w:rFonts w:ascii="Consolas" w:hAnsi="Consolas"/>
          <w:sz w:val="22"/>
        </w:rPr>
        <w:t>resultados/resultados.json</w:t>
      </w:r>
      <w:r>
        <w:rPr>
          <w:rFonts w:ascii="Times New Roman" w:hAnsi="Times New Roman"/>
          <w:sz w:val="24"/>
        </w:rPr>
        <w:t xml:space="preserve"> e </w:t>
      </w:r>
      <w:r>
        <w:rPr>
          <w:rFonts w:ascii="Consolas" w:hAnsi="Consolas"/>
          <w:sz w:val="22"/>
        </w:rPr>
        <w:t>resultados/dm/dm_resultados.json</w:t>
      </w:r>
      <w:r>
        <w:rPr>
          <w:rFonts w:ascii="Times New Roman" w:hAnsi="Times New Roman"/>
          <w:sz w:val="24"/>
        </w:rPr>
        <w:t xml:space="preserve">, e as figuras para </w:t>
      </w:r>
      <w:r>
        <w:rPr>
          <w:rFonts w:ascii="Consolas" w:hAnsi="Consolas"/>
          <w:sz w:val="22"/>
        </w:rPr>
        <w:t>resultados/figuras/</w:t>
      </w:r>
      <w:r>
        <w:rPr>
          <w:rFonts w:ascii="Times New Roman" w:hAnsi="Times New Roman"/>
          <w:sz w:val="24"/>
        </w:rPr>
        <w:t xml:space="preserve"> e </w:t>
      </w:r>
      <w:r>
        <w:rPr>
          <w:rFonts w:ascii="Consolas" w:hAnsi="Consolas"/>
          <w:sz w:val="22"/>
        </w:rPr>
        <w:t>resultados/dm/</w:t>
      </w:r>
      <w:r>
        <w:rPr>
          <w:rFonts w:ascii="Times New Roman" w:hAnsi="Times New Roman"/>
          <w:sz w:val="24"/>
        </w:rPr>
        <w:t>.</w:t>
      </w:r>
    </w:p>
    <w:p>
      <w:pPr>
        <w:spacing w:line="480" w:lineRule="auto"/>
        <w:ind w:firstLine="720"/>
        <w:jc w:val="both"/>
      </w:pPr>
      <w:r>
        <w:rPr>
          <w:rFonts w:ascii="Times New Roman" w:hAnsi="Times New Roman"/>
          <w:b/>
          <w:sz w:val="24"/>
        </w:rPr>
        <w:t>Plataforma operacional:</w:t>
      </w:r>
    </w:p>
    <w:p>
      <w:pPr>
        <w:spacing w:after="0"/>
      </w:pPr>
      <w:r>
        <w:rPr>
          <w:rFonts w:ascii="Consolas" w:hAnsi="Consolas"/>
          <w:sz w:val="18"/>
        </w:rPr>
        <w:t>cd plataforma &amp;&amp; ./setup-mac.sh &amp;&amp; ./start-mac.sh</w:t>
      </w:r>
    </w:p>
    <w:p>
      <w:pPr>
        <w:spacing w:after="0"/>
      </w:pPr>
      <w:r>
        <w:rPr>
          <w:rFonts w:ascii="Consolas" w:hAnsi="Consolas"/>
          <w:sz w:val="18"/>
        </w:rPr>
        <w:t># http://localhost:5173  ·  API: http://127.0.0.1:8080/docs</w:t>
      </w:r>
    </w:p>
    <w:p>
      <w:pPr>
        <w:pStyle w:val="Heading2"/>
      </w:pPr>
      <w:r>
        <w:t>Anexo D — Mapa de integração do projeto SIGA (Grupo VI)</w:t>
      </w:r>
    </w:p>
    <w:p>
      <w:pPr>
        <w:spacing w:line="480" w:lineRule="auto"/>
        <w:ind w:firstLine="720"/>
        <w:jc w:val="both"/>
      </w:pPr>
      <w:r>
        <w:rPr>
          <w:rFonts w:ascii="Times New Roman" w:hAnsi="Times New Roman"/>
          <w:sz w:val="24"/>
        </w:rPr>
        <w:t xml:space="preserve">A entrega final unificada encontra-se na pasta de entrega </w:t>
      </w:r>
      <w:r>
        <w:rPr>
          <w:rFonts w:ascii="Times New Roman" w:hAnsi="Times New Roman"/>
          <w:b/>
          <w:sz w:val="24"/>
        </w:rPr>
        <w:t>`SIGA_GRUPOVI_ENTREGA/`</w:t>
      </w:r>
      <w:r>
        <w:rPr>
          <w:rFonts w:ascii="Times New Roman" w:hAnsi="Times New Roman"/>
          <w:sz w:val="24"/>
        </w:rPr>
        <w:t>, que articula todos os componentes:</w:t>
      </w:r>
    </w:p>
    <w:p>
      <w:pPr>
        <w:spacing w:after="0"/>
      </w:pPr>
      <w:r>
        <w:rPr>
          <w:rFonts w:ascii="Consolas" w:hAnsi="Consolas"/>
          <w:sz w:val="18"/>
        </w:rPr>
        <w:t>SIGA_GRUPOVI_ENTREGA/</w:t>
      </w:r>
    </w:p>
    <w:p>
      <w:pPr>
        <w:spacing w:after="0"/>
      </w:pPr>
      <w:r>
        <w:rPr>
          <w:rFonts w:ascii="Consolas" w:hAnsi="Consolas"/>
          <w:sz w:val="18"/>
        </w:rPr>
        <w:t>├── README.md                 ← índice mestre e arranque</w:t>
      </w:r>
    </w:p>
    <w:p>
      <w:pPr>
        <w:spacing w:after="0"/>
      </w:pPr>
      <w:r>
        <w:rPr>
          <w:rFonts w:ascii="Consolas" w:hAnsi="Consolas"/>
          <w:sz w:val="18"/>
        </w:rPr>
        <w:t>├── NOTAS_ENTREGA.md</w:t>
      </w:r>
    </w:p>
    <w:p>
      <w:pPr>
        <w:spacing w:after="0"/>
      </w:pPr>
      <w:r>
        <w:rPr>
          <w:rFonts w:ascii="Consolas" w:hAnsi="Consolas"/>
          <w:sz w:val="18"/>
        </w:rPr>
        <w:t>├── DEMONSTRACAO.md           ← roteiro 3–5 min          ← métricas canónicas e notas</w:t>
      </w:r>
    </w:p>
    <w:p>
      <w:pPr>
        <w:spacing w:after="0"/>
      </w:pPr>
      <w:r>
        <w:rPr>
          <w:rFonts w:ascii="Consolas" w:hAnsi="Consolas"/>
          <w:sz w:val="18"/>
        </w:rPr>
        <w:t>├── dados/                    ← fontes + processados (grelha PT)</w:t>
      </w:r>
    </w:p>
    <w:p>
      <w:pPr>
        <w:spacing w:after="0"/>
      </w:pPr>
      <w:r>
        <w:rPr>
          <w:rFonts w:ascii="Consolas" w:hAnsi="Consolas"/>
          <w:sz w:val="18"/>
        </w:rPr>
        <w:t>│   ├── fontes/               apreensões, IOM, EMODnet, SIG ref.</w:t>
      </w:r>
    </w:p>
    <w:p>
      <w:pPr>
        <w:spacing w:after="0"/>
      </w:pPr>
      <w:r>
        <w:rPr>
          <w:rFonts w:ascii="Consolas" w:hAnsi="Consolas"/>
          <w:sz w:val="18"/>
        </w:rPr>
        <w:t>│   └── processados/          intensidades_reais.csv</w:t>
      </w:r>
    </w:p>
    <w:p>
      <w:pPr>
        <w:spacing w:after="0"/>
      </w:pPr>
      <w:r>
        <w:rPr>
          <w:rFonts w:ascii="Consolas" w:hAnsi="Consolas"/>
          <w:sz w:val="18"/>
        </w:rPr>
        <w:t>├── src/                      ← pipeline analítico (Python)</w:t>
      </w:r>
    </w:p>
    <w:p>
      <w:pPr>
        <w:spacing w:after="0"/>
      </w:pPr>
      <w:r>
        <w:rPr>
          <w:rFonts w:ascii="Consolas" w:hAnsi="Consolas"/>
          <w:sz w:val="18"/>
        </w:rPr>
        <w:t>│   ├── config.py … validacao.py</w:t>
      </w:r>
    </w:p>
    <w:p>
      <w:pPr>
        <w:spacing w:after="0"/>
      </w:pPr>
      <w:r>
        <w:rPr>
          <w:rFonts w:ascii="Consolas" w:hAnsi="Consolas"/>
          <w:sz w:val="18"/>
        </w:rPr>
        <w:t>│   ├── dm/                   data mining (EDA → classificação → difuso)</w:t>
      </w:r>
    </w:p>
    <w:p>
      <w:pPr>
        <w:spacing w:after="0"/>
      </w:pPr>
      <w:r>
        <w:rPr>
          <w:rFonts w:ascii="Consolas" w:hAnsi="Consolas"/>
          <w:sz w:val="18"/>
        </w:rPr>
        <w:t>│   └── gerar_docx.py         Markdown → Word (formatação CT302)</w:t>
      </w:r>
    </w:p>
    <w:p>
      <w:pPr>
        <w:spacing w:after="0"/>
      </w:pPr>
      <w:r>
        <w:rPr>
          <w:rFonts w:ascii="Consolas" w:hAnsi="Consolas"/>
          <w:sz w:val="18"/>
        </w:rPr>
        <w:t>├── resultados/               ← saídas numéricas e visuais</w:t>
      </w:r>
    </w:p>
    <w:p>
      <w:pPr>
        <w:spacing w:after="0"/>
      </w:pPr>
      <w:r>
        <w:rPr>
          <w:rFonts w:ascii="Consolas" w:hAnsi="Consolas"/>
          <w:sz w:val="18"/>
        </w:rPr>
        <w:t>│   ├── figuras/              otimização (01–08, 20–22)</w:t>
      </w:r>
    </w:p>
    <w:p>
      <w:pPr>
        <w:spacing w:after="0"/>
      </w:pPr>
      <w:r>
        <w:rPr>
          <w:rFonts w:ascii="Consolas" w:hAnsi="Consolas"/>
          <w:sz w:val="18"/>
        </w:rPr>
        <w:t>│   ├── dm/                   figuras data mining + dm_resultados.json</w:t>
      </w:r>
    </w:p>
    <w:p>
      <w:pPr>
        <w:spacing w:after="0"/>
      </w:pPr>
      <w:r>
        <w:rPr>
          <w:rFonts w:ascii="Consolas" w:hAnsi="Consolas"/>
          <w:sz w:val="18"/>
        </w:rPr>
        <w:t>│   ├── resultados.json       bases, frota, cenários vento</w:t>
      </w:r>
    </w:p>
    <w:p>
      <w:pPr>
        <w:spacing w:after="0"/>
      </w:pPr>
      <w:r>
        <w:rPr>
          <w:rFonts w:ascii="Consolas" w:hAnsi="Consolas"/>
          <w:sz w:val="18"/>
        </w:rPr>
        <w:t>│   ├── validacao.json        Q1/Q2/Q3, backtest, baseline 2,06×</w:t>
      </w:r>
    </w:p>
    <w:p>
      <w:pPr>
        <w:spacing w:after="0"/>
      </w:pPr>
      <w:r>
        <w:rPr>
          <w:rFonts w:ascii="Consolas" w:hAnsi="Consolas"/>
          <w:sz w:val="18"/>
        </w:rPr>
        <w:t>│   ├── camadas_mapa.json     IOM + apreensões (plataforma)</w:t>
      </w:r>
    </w:p>
    <w:p>
      <w:pPr>
        <w:spacing w:after="0"/>
      </w:pPr>
      <w:r>
        <w:rPr>
          <w:rFonts w:ascii="Consolas" w:hAnsi="Consolas"/>
          <w:sz w:val="18"/>
        </w:rPr>
        <w:t>│   └── mapa_interativo.html  painel Folium</w:t>
      </w:r>
    </w:p>
    <w:p>
      <w:pPr>
        <w:spacing w:after="0"/>
      </w:pPr>
      <w:r>
        <w:rPr>
          <w:rFonts w:ascii="Consolas" w:hAnsi="Consolas"/>
          <w:sz w:val="18"/>
        </w:rPr>
        <w:t>├── relatorio/</w:t>
      </w:r>
    </w:p>
    <w:p>
      <w:pPr>
        <w:spacing w:after="0"/>
      </w:pPr>
      <w:r>
        <w:rPr>
          <w:rFonts w:ascii="Consolas" w:hAnsi="Consolas"/>
          <w:sz w:val="18"/>
        </w:rPr>
        <w:t>│   ├── Relatorio_SAD_AR5.md  ← fonte única de verdade</w:t>
      </w:r>
    </w:p>
    <w:p>
      <w:pPr>
        <w:spacing w:after="0"/>
      </w:pPr>
      <w:r>
        <w:rPr>
          <w:rFonts w:ascii="Consolas" w:hAnsi="Consolas"/>
          <w:sz w:val="18"/>
        </w:rPr>
        <w:t>│   └── Relatorio_SAD_AR5.docx</w:t>
      </w:r>
    </w:p>
    <w:p>
      <w:pPr>
        <w:spacing w:after="0"/>
      </w:pPr>
      <w:r>
        <w:rPr>
          <w:rFonts w:ascii="Consolas" w:hAnsi="Consolas"/>
          <w:sz w:val="18"/>
        </w:rPr>
        <w:t>└── plataforma/               ← protótipo operacional web</w:t>
      </w:r>
    </w:p>
    <w:p>
      <w:pPr>
        <w:spacing w:after="0"/>
      </w:pPr>
      <w:r>
        <w:rPr>
          <w:rFonts w:ascii="Consolas" w:hAnsi="Consolas"/>
          <w:sz w:val="18"/>
        </w:rPr>
        <w:t xml:space="preserve">    ├── api/                  FastAPI + OR-Tools + meteo</w:t>
      </w:r>
    </w:p>
    <w:p>
      <w:pPr>
        <w:spacing w:after="0"/>
      </w:pPr>
      <w:r>
        <w:rPr>
          <w:rFonts w:ascii="Consolas" w:hAnsi="Consolas"/>
          <w:sz w:val="18"/>
        </w:rPr>
        <w:t xml:space="preserve">    └── web/                  React/Leaflet (dist/ incluído)</w:t>
      </w:r>
    </w:p>
    <w:p>
      <w:pPr>
        <w:spacing w:line="480" w:lineRule="auto"/>
        <w:ind w:firstLine="720"/>
        <w:jc w:val="both"/>
      </w:pPr>
      <w:r>
        <w:rPr>
          <w:rFonts w:ascii="Times New Roman" w:hAnsi="Times New Roman"/>
          <w:b/>
          <w:sz w:val="24"/>
        </w:rPr>
        <w:t>Fluxo de dados:</w:t>
      </w:r>
    </w:p>
    <w:p>
      <w:pPr>
        <w:spacing w:line="480" w:lineRule="auto"/>
        <w:ind w:firstLine="720"/>
        <w:jc w:val="both"/>
      </w:pPr>
      <w:r>
        <w:rPr>
          <w:rFonts w:ascii="Times New Roman" w:hAnsi="Times New Roman"/>
          <w:sz w:val="24"/>
        </w:rPr>
        <w:t xml:space="preserve">1. </w:t>
      </w:r>
      <w:r>
        <w:rPr>
          <w:rFonts w:ascii="Consolas" w:hAnsi="Consolas"/>
          <w:sz w:val="22"/>
        </w:rPr>
        <w:t>dados/fontes/</w:t>
      </w:r>
      <w:r>
        <w:rPr>
          <w:rFonts w:ascii="Times New Roman" w:hAnsi="Times New Roman"/>
          <w:sz w:val="24"/>
        </w:rPr>
        <w:t xml:space="preserve"> → </w:t>
      </w:r>
      <w:r>
        <w:rPr>
          <w:rFonts w:ascii="Consolas" w:hAnsi="Consolas"/>
          <w:sz w:val="22"/>
        </w:rPr>
        <w:t>dm/construir_dados_reais.py</w:t>
      </w:r>
      <w:r>
        <w:rPr>
          <w:rFonts w:ascii="Times New Roman" w:hAnsi="Times New Roman"/>
          <w:sz w:val="24"/>
        </w:rPr>
        <w:t xml:space="preserve"> → </w:t>
      </w:r>
      <w:r>
        <w:rPr>
          <w:rFonts w:ascii="Consolas" w:hAnsi="Consolas"/>
          <w:sz w:val="22"/>
        </w:rPr>
        <w:t>dados/processados/intensidades_reais.csv</w:t>
      </w:r>
      <w:r>
        <w:rPr>
          <w:rFonts w:ascii="Times New Roman" w:hAnsi="Times New Roman"/>
          <w:sz w:val="24"/>
        </w:rPr>
        <w:t xml:space="preserve"> 2. </w:t>
      </w:r>
      <w:r>
        <w:rPr>
          <w:rFonts w:ascii="Consolas" w:hAnsi="Consolas"/>
          <w:sz w:val="22"/>
        </w:rPr>
        <w:t>intensidades_reais.csv</w:t>
      </w:r>
      <w:r>
        <w:rPr>
          <w:rFonts w:ascii="Times New Roman" w:hAnsi="Times New Roman"/>
          <w:sz w:val="24"/>
        </w:rPr>
        <w:t xml:space="preserve"> + </w:t>
      </w:r>
      <w:r>
        <w:rPr>
          <w:rFonts w:ascii="Consolas" w:hAnsi="Consolas"/>
          <w:sz w:val="22"/>
        </w:rPr>
        <w:t>config.py</w:t>
      </w:r>
      <w:r>
        <w:rPr>
          <w:rFonts w:ascii="Times New Roman" w:hAnsi="Times New Roman"/>
          <w:sz w:val="24"/>
        </w:rPr>
        <w:t xml:space="preserve"> → </w:t>
      </w:r>
      <w:r>
        <w:rPr>
          <w:rFonts w:ascii="Consolas" w:hAnsi="Consolas"/>
          <w:sz w:val="22"/>
        </w:rPr>
        <w:t>risco.py</w:t>
      </w:r>
      <w:r>
        <w:rPr>
          <w:rFonts w:ascii="Times New Roman" w:hAnsi="Times New Roman"/>
          <w:sz w:val="24"/>
        </w:rPr>
        <w:t xml:space="preserve"> → grelha 1156 células 3. Grelha → </w:t>
      </w:r>
      <w:r>
        <w:rPr>
          <w:rFonts w:ascii="Consolas" w:hAnsi="Consolas"/>
          <w:sz w:val="22"/>
        </w:rPr>
        <w:t>otimizacao.py</w:t>
      </w:r>
      <w:r>
        <w:rPr>
          <w:rFonts w:ascii="Times New Roman" w:hAnsi="Times New Roman"/>
          <w:sz w:val="24"/>
        </w:rPr>
        <w:t xml:space="preserve"> → </w:t>
      </w:r>
      <w:r>
        <w:rPr>
          <w:rFonts w:ascii="Consolas" w:hAnsi="Consolas"/>
          <w:sz w:val="22"/>
        </w:rPr>
        <w:t>resultados.json</w:t>
      </w:r>
      <w:r>
        <w:rPr>
          <w:rFonts w:ascii="Times New Roman" w:hAnsi="Times New Roman"/>
          <w:sz w:val="24"/>
        </w:rPr>
        <w:t xml:space="preserve"> (MCLP k=2; frota 9–11 AR5 com rede distribuída) 4. Apreensões → </w:t>
      </w:r>
      <w:r>
        <w:rPr>
          <w:rFonts w:ascii="Consolas" w:hAnsi="Consolas"/>
          <w:sz w:val="22"/>
        </w:rPr>
        <w:t>dm/</w:t>
      </w:r>
      <w:r>
        <w:rPr>
          <w:rFonts w:ascii="Times New Roman" w:hAnsi="Times New Roman"/>
          <w:sz w:val="24"/>
        </w:rPr>
        <w:t xml:space="preserve"> → figuras + </w:t>
      </w:r>
      <w:r>
        <w:rPr>
          <w:rFonts w:ascii="Consolas" w:hAnsi="Consolas"/>
          <w:sz w:val="22"/>
        </w:rPr>
        <w:t>dm_resultados.json</w:t>
      </w:r>
      <w:r>
        <w:rPr>
          <w:rFonts w:ascii="Times New Roman" w:hAnsi="Times New Roman"/>
          <w:sz w:val="24"/>
        </w:rPr>
        <w:t xml:space="preserve"> 5. Grelha + camadas → </w:t>
      </w:r>
      <w:r>
        <w:rPr>
          <w:rFonts w:ascii="Consolas" w:hAnsi="Consolas"/>
          <w:sz w:val="22"/>
        </w:rPr>
        <w:t>mapa_interativo.py</w:t>
      </w:r>
      <w:r>
        <w:rPr>
          <w:rFonts w:ascii="Times New Roman" w:hAnsi="Times New Roman"/>
          <w:sz w:val="24"/>
        </w:rPr>
        <w:t xml:space="preserve"> + </w:t>
      </w:r>
      <w:r>
        <w:rPr>
          <w:rFonts w:ascii="Consolas" w:hAnsi="Consolas"/>
          <w:sz w:val="22"/>
        </w:rPr>
        <w:t>plataforma/api/</w:t>
      </w:r>
      <w:r>
        <w:rPr>
          <w:rFonts w:ascii="Times New Roman" w:hAnsi="Times New Roman"/>
          <w:sz w:val="24"/>
        </w:rPr>
        <w:t xml:space="preserve"> → decisão operacional 6. </w:t>
      </w:r>
      <w:r>
        <w:rPr>
          <w:rFonts w:ascii="Consolas" w:hAnsi="Consolas"/>
          <w:sz w:val="22"/>
        </w:rPr>
        <w:t>Relatorio_SAD_AR5.md</w:t>
      </w:r>
      <w:r>
        <w:rPr>
          <w:rFonts w:ascii="Times New Roman" w:hAnsi="Times New Roman"/>
          <w:sz w:val="24"/>
        </w:rPr>
        <w:t xml:space="preserve"> → </w:t>
      </w:r>
      <w:r>
        <w:rPr>
          <w:rFonts w:ascii="Consolas" w:hAnsi="Consolas"/>
          <w:sz w:val="22"/>
        </w:rPr>
        <w:t>gerar_docx.py</w:t>
      </w:r>
      <w:r>
        <w:rPr>
          <w:rFonts w:ascii="Times New Roman" w:hAnsi="Times New Roman"/>
          <w:sz w:val="24"/>
        </w:rPr>
        <w:t xml:space="preserve"> → entrega Word (capa Grupo VI, índices auto)</w:t>
      </w:r>
    </w:p>
    <w:p>
      <w:pPr>
        <w:spacing w:line="480" w:lineRule="auto"/>
        <w:ind w:firstLine="720"/>
        <w:jc w:val="both"/>
      </w:pPr>
      <w:r>
        <w:rPr>
          <w:rFonts w:ascii="Times New Roman" w:hAnsi="Times New Roman"/>
          <w:b/>
          <w:sz w:val="24"/>
        </w:rPr>
        <w:t>Respostas operacionais (validacao.json):</w:t>
      </w:r>
    </w:p>
    <w:tbl>
      <w:tblPr>
        <w:tblStyle w:val="TableGrid"/>
        <w:tblW w:type="auto" w:w="0"/>
        <w:jc w:val="center"/>
        <w:tblLook w:firstColumn="1" w:firstRow="1" w:lastColumn="0" w:lastRow="0" w:noHBand="0" w:noVBand="1" w:val="04A0"/>
      </w:tblPr>
      <w:tblGrid>
        <w:gridCol w:w="4680"/>
        <w:gridCol w:w="4680"/>
      </w:tblGrid>
      <w:tr>
        <w:tc>
          <w:tcPr>
            <w:tcW w:type="dxa" w:w="4680"/>
          </w:tcPr>
          <w:p>
            <w:r>
              <w:rPr>
                <w:rFonts w:ascii="Times New Roman" w:hAnsi="Times New Roman"/>
                <w:b/>
                <w:sz w:val="20"/>
              </w:rPr>
              <w:t>Questão</w:t>
            </w:r>
          </w:p>
        </w:tc>
        <w:tc>
          <w:tcPr>
            <w:tcW w:type="dxa" w:w="4680"/>
          </w:tcPr>
          <w:p>
            <w:r>
              <w:rPr>
                <w:rFonts w:ascii="Times New Roman" w:hAnsi="Times New Roman"/>
                <w:b/>
                <w:sz w:val="20"/>
              </w:rPr>
              <w:t>Resposta</w:t>
            </w:r>
          </w:p>
        </w:tc>
      </w:tr>
      <w:tr>
        <w:tc>
          <w:tcPr>
            <w:tcW w:type="dxa" w:w="4680"/>
          </w:tcPr>
          <w:p>
            <w:r>
              <w:rPr>
                <w:rFonts w:ascii="Times New Roman" w:hAnsi="Times New Roman"/>
                <w:sz w:val="20"/>
              </w:rPr>
              <w:t>Q1 — Onde?</w:t>
            </w:r>
          </w:p>
        </w:tc>
        <w:tc>
          <w:tcPr>
            <w:tcW w:type="dxa" w:w="4680"/>
          </w:tcPr>
          <w:p>
            <w:r>
              <w:rPr>
                <w:rFonts w:ascii="Times New Roman" w:hAnsi="Times New Roman"/>
                <w:sz w:val="20"/>
              </w:rPr>
              <w:t>Algarve · Setúbal–Lisboa · NW/Peniche</w:t>
            </w:r>
          </w:p>
        </w:tc>
      </w:tr>
      <w:tr>
        <w:tc>
          <w:tcPr>
            <w:tcW w:type="dxa" w:w="4680"/>
          </w:tcPr>
          <w:p>
            <w:r>
              <w:rPr>
                <w:rFonts w:ascii="Times New Roman" w:hAnsi="Times New Roman"/>
                <w:sz w:val="20"/>
              </w:rPr>
              <w:t>Q2 — Quantos?</w:t>
            </w:r>
          </w:p>
        </w:tc>
        <w:tc>
          <w:tcPr>
            <w:tcW w:type="dxa" w:w="4680"/>
          </w:tcPr>
          <w:p>
            <w:r>
              <w:rPr>
                <w:rFonts w:ascii="Times New Roman" w:hAnsi="Times New Roman"/>
                <w:sz w:val="20"/>
              </w:rPr>
              <w:t>11 AR5 área total (12 bases) · 9 AR5 faixa costeira (5 bases)</w:t>
            </w:r>
          </w:p>
        </w:tc>
      </w:tr>
      <w:tr>
        <w:tc>
          <w:tcPr>
            <w:tcW w:type="dxa" w:w="4680"/>
          </w:tcPr>
          <w:p>
            <w:r>
              <w:rPr>
                <w:rFonts w:ascii="Times New Roman" w:hAnsi="Times New Roman"/>
                <w:sz w:val="20"/>
              </w:rPr>
              <w:t>Q3 — Bases (MCLP)?</w:t>
            </w:r>
          </w:p>
        </w:tc>
        <w:tc>
          <w:tcPr>
            <w:tcW w:type="dxa" w:w="4680"/>
          </w:tcPr>
          <w:p>
            <w:r>
              <w:rPr>
                <w:rFonts w:ascii="Times New Roman" w:hAnsi="Times New Roman"/>
                <w:sz w:val="20"/>
              </w:rPr>
              <w:t>Porto (Sá Carneiro) + Portimão (100 % risco; frota só com estas: 13 AR5)</w:t>
            </w:r>
          </w:p>
        </w:tc>
      </w:tr>
      <w:tr>
        <w:tc>
          <w:tcPr>
            <w:tcW w:type="dxa" w:w="4680"/>
          </w:tcPr>
          <w:p>
            <w:r>
              <w:rPr>
                <w:rFonts w:ascii="Times New Roman" w:hAnsi="Times New Roman"/>
                <w:sz w:val="20"/>
              </w:rPr>
              <w:t>Validação</w:t>
            </w:r>
          </w:p>
        </w:tc>
        <w:tc>
          <w:tcPr>
            <w:tcW w:type="dxa" w:w="4680"/>
          </w:tcPr>
          <w:p>
            <w:r>
              <w:rPr>
                <w:rFonts w:ascii="Times New Roman" w:hAnsi="Times New Roman"/>
                <w:sz w:val="20"/>
              </w:rPr>
              <w:t xml:space="preserve">Ganho SAD vs aleatório: </w:t>
            </w:r>
            <w:r>
              <w:rPr>
                <w:rFonts w:ascii="Times New Roman" w:hAnsi="Times New Roman"/>
                <w:b/>
                <w:sz w:val="20"/>
              </w:rPr>
              <w:t>2,06×</w:t>
            </w:r>
          </w:p>
        </w:tc>
      </w:tr>
    </w:tbl>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sz w:val="20"/>
      </w:rPr>
      <w:t>SAD AR5 VIGILÂNCIA COSTEIRA PT</w:t>
    </w:r>
    <w:tab/>
    <w:r>
      <w:rPr>
        <w:rFonts w:ascii="Times New Roman" w:hAnsi="Times New Roman"/>
        <w:sz w:val="20"/>
      </w:rP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line="480" w:lineRule="auto"/>
      <w:ind w:firstLine="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line="480" w:lineRule="auto"/>
      <w:ind w:firstLine="0"/>
      <w:outlineLvl w:val="2"/>
    </w:pPr>
    <w:rPr>
      <w:rFonts w:asciiTheme="majorHAnsi" w:eastAsiaTheme="majorEastAsia" w:hAnsiTheme="majorHAnsi" w:cstheme="majorBidi" w:ascii="Times New Roman" w:hAnsi="Times New Roman"/>
      <w:b/>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