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Tabela A — Especificações do TEKEVER AR5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Característica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Especificação do TEKEVER AR5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Tipo de plataforma</w:t>
            </w:r>
          </w:p>
        </w:tc>
        <w:tc>
          <w:tcPr>
            <w:tcW w:type="dxa" w:w="5102"/>
          </w:tcPr>
          <w:p>
            <w:r>
              <w:t>UAV tático de asa fixa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Fabrico</w:t>
            </w:r>
          </w:p>
        </w:tc>
        <w:tc>
          <w:tcPr>
            <w:tcW w:type="dxa" w:w="5102"/>
          </w:tcPr>
          <w:p>
            <w:r>
              <w:t>Nacional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Autonomia</w:t>
            </w:r>
          </w:p>
        </w:tc>
        <w:tc>
          <w:tcPr>
            <w:tcW w:type="dxa" w:w="5102"/>
          </w:tcPr>
          <w:p>
            <w:r>
              <w:t>16 a 20 horas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Velocidade de cruzeiro</w:t>
            </w:r>
          </w:p>
        </w:tc>
        <w:tc>
          <w:tcPr>
            <w:tcW w:type="dxa" w:w="5102"/>
          </w:tcPr>
          <w:p>
            <w:r>
              <w:t>100 km/h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Teto de serviço</w:t>
            </w:r>
          </w:p>
        </w:tc>
        <w:tc>
          <w:tcPr>
            <w:tcW w:type="dxa" w:w="5102"/>
          </w:tcPr>
          <w:p>
            <w:r>
              <w:t>3 600 m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Peso máximo à descolagem</w:t>
            </w:r>
          </w:p>
        </w:tc>
        <w:tc>
          <w:tcPr>
            <w:tcW w:type="dxa" w:w="5102"/>
          </w:tcPr>
          <w:p>
            <w:r>
              <w:t>180 kg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Carga útil</w:t>
            </w:r>
          </w:p>
        </w:tc>
        <w:tc>
          <w:tcPr>
            <w:tcW w:type="dxa" w:w="5102"/>
          </w:tcPr>
          <w:p>
            <w:r>
              <w:t>50 kg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Comunicações em linha de vista</w:t>
            </w:r>
          </w:p>
        </w:tc>
        <w:tc>
          <w:tcPr>
            <w:tcW w:type="dxa" w:w="5102"/>
          </w:tcPr>
          <w:p>
            <w:r>
              <w:t>Até 230 km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Comunicações por satélite</w:t>
            </w:r>
          </w:p>
        </w:tc>
        <w:tc>
          <w:tcPr>
            <w:tcW w:type="dxa" w:w="5102"/>
          </w:tcPr>
          <w:p>
            <w:r>
              <w:t>Sem limite prático de alcance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Sistema eletro-ótico/infravermelho</w:t>
            </w:r>
          </w:p>
        </w:tc>
        <w:tc>
          <w:tcPr>
            <w:tcW w:type="dxa" w:w="5102"/>
          </w:tcPr>
          <w:p>
            <w:r>
              <w:t>Giro-estabilizado, com ampliação de 30×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Recetor AIS</w:t>
            </w:r>
          </w:p>
        </w:tc>
        <w:tc>
          <w:tcPr>
            <w:tcW w:type="dxa" w:w="5102"/>
          </w:tcPr>
          <w:p>
            <w:r>
              <w:t>Sim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Recetor EPIRB</w:t>
            </w:r>
          </w:p>
        </w:tc>
        <w:tc>
          <w:tcPr>
            <w:tcW w:type="dxa" w:w="5102"/>
          </w:tcPr>
          <w:p>
            <w:r>
              <w:t>Sim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Capacidade SIGINT</w:t>
            </w:r>
          </w:p>
        </w:tc>
        <w:tc>
          <w:tcPr>
            <w:tcW w:type="dxa" w:w="5102"/>
          </w:tcPr>
          <w:p>
            <w:r>
              <w:t>Sim, com capacidade de interceção de sinais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Distância de projeção num só sentido</w:t>
            </w:r>
          </w:p>
        </w:tc>
        <w:tc>
          <w:tcPr>
            <w:tcW w:type="dxa" w:w="5102"/>
          </w:tcPr>
          <w:p>
            <w:r>
              <w:t>Até 1 500 km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Distância em missão de ida e volta</w:t>
            </w:r>
          </w:p>
        </w:tc>
        <w:tc>
          <w:tcPr>
            <w:tcW w:type="dxa" w:w="5102"/>
          </w:tcPr>
          <w:p>
            <w:r>
              <w:t>Até 750 km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Comparação com o estudo de referência</w:t>
            </w:r>
          </w:p>
        </w:tc>
        <w:tc>
          <w:tcPr>
            <w:tcW w:type="dxa" w:w="5102"/>
          </w:tcPr>
          <w:p>
            <w:r>
              <w:t>Os valores excedem largamente o raio de 90 km adotado no estudo</w:t>
            </w:r>
          </w:p>
        </w:tc>
      </w:tr>
    </w:tbl>
    <w:p>
      <w:r>
        <w:rPr>
          <w:i/>
        </w:rPr>
        <w:t xml:space="preserve">Fonte: </w:t>
      </w:r>
      <w:r>
        <w:t>Especificações públicas TEKEVER AR5 (dossier técnico / material de apresentação).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