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9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5986"/>
        <w:gridCol w:w="3400"/>
      </w:tblGrid>
      <w:tr>
        <w:tc>
          <w:tcPr>
            <w:tcW w:type="dxa" w:w="1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115"/>
              <w:left w:type="dxa" w:w="140"/>
              <w:bottom w:type="dxa" w:w="115"/>
              <w:right w:type="dxa" w:w="13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819150" cy="1047750"/>
                  <wp:effectExtent t="0" r="0" b="0" l="0"/>
                  <wp:docPr id="1" name="photo" descr="Photo de profil" title="Pho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915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98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95"/>
              <w:left w:type="dxa" w:w="190"/>
              <w:bottom w:type="dxa" w:w="95"/>
              <w:right w:type="dxa" w:w="190"/>
            </w:tcMar>
            <w:vAlign w:val="center"/>
          </w:tcPr>
          <w:p>
            <w:pPr>
              <w:spacing w:after="16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54"/>
                <w:szCs w:val="54"/>
              </w:rPr>
              <w:t xml:space="preserve">de MEDEIROS</w:t>
            </w:r>
          </w:p>
          <w:p>
            <w:pPr>
              <w:spacing w:after="14" w:before="0"/>
              <w:jc w:val="center"/>
            </w:pPr>
            <w:r>
              <w:rPr>
                <w:rFonts w:ascii="Calibri" w:cs="Calibri" w:eastAsia="Calibri" w:hAnsi="Calibri"/>
                <w:color w:val="BDD7EE"/>
                <w:sz w:val="30"/>
                <w:szCs w:val="30"/>
              </w:rPr>
              <w:t xml:space="preserve">Makafui Komlan Léopoldo</w:t>
            </w:r>
          </w:p>
          <w:p>
            <w:pPr>
              <w:spacing w:after="10" w:before="0"/>
              <w:jc w:val="center"/>
            </w:pPr>
            <w:r>
              <w:rPr>
                <w:rFonts w:ascii="Calibri" w:cs="Calibri" w:eastAsia="Calibri" w:hAnsi="Calibri"/>
                <w:color w:val="C8A84B"/>
                <w:sz w:val="14"/>
                <w:szCs w:val="14"/>
              </w:rPr>
              <w:t xml:space="preserve">――――――――――――――――――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BDD7EE"/>
                <w:sz w:val="21"/>
                <w:szCs w:val="21"/>
              </w:rPr>
              <w:t xml:space="preserve">Étudiant en Informatique  ·  Développement &amp; Administration Réseau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63E62" w:val="clear"/>
            <w:tcMar>
              <w:top w:type="dxa" w:w="95"/>
              <w:left w:type="dxa" w:w="165"/>
              <w:bottom w:type="dxa" w:w="95"/>
              <w:right w:type="dxa" w:w="130"/>
            </w:tcMar>
            <w:vAlign w:val="center"/>
          </w:tcPr>
          <w:p>
            <w:pPr>
              <w:spacing w:after="42" w:before="0"/>
            </w:pPr>
            <w:r>
              <w:rPr>
                <w:rFonts w:ascii="Calibri" w:cs="Calibri" w:eastAsia="Calibri" w:hAnsi="Calibri"/>
                <w:b/>
                <w:bCs/>
                <w:color w:val="BDD7EE"/>
                <w:sz w:val="18"/>
                <w:szCs w:val="18"/>
              </w:rPr>
              <w:t xml:space="preserve">Adresse : </w:t>
            </w:r>
            <w:r>
              <w:rPr>
                <w:rFonts w:ascii="Calibri" w:cs="Calibri" w:eastAsia="Calibri" w:hAnsi="Calibri"/>
                <w:color w:val="FFFFFF"/>
                <w:sz w:val="17"/>
                <w:szCs w:val="17"/>
              </w:rPr>
              <w:t xml:space="preserve">HEDZRANAWOE, Lomé</w:t>
            </w:r>
          </w:p>
          <w:p>
            <w:pPr>
              <w:spacing w:after="42" w:before="0"/>
            </w:pPr>
            <w:r>
              <w:rPr>
                <w:rFonts w:ascii="Calibri" w:cs="Calibri" w:eastAsia="Calibri" w:hAnsi="Calibri"/>
                <w:b/>
                <w:bCs/>
                <w:color w:val="BDD7EE"/>
                <w:sz w:val="18"/>
                <w:szCs w:val="18"/>
              </w:rPr>
              <w:t xml:space="preserve">Tél. : </w:t>
            </w:r>
            <w:r>
              <w:rPr>
                <w:rFonts w:ascii="Calibri" w:cs="Calibri" w:eastAsia="Calibri" w:hAnsi="Calibri"/>
                <w:color w:val="FFFFFF"/>
                <w:sz w:val="17"/>
                <w:szCs w:val="17"/>
              </w:rPr>
              <w:t xml:space="preserve">97 28 04 08 / 91 95 96 47</w:t>
            </w:r>
          </w:p>
          <w:p>
            <w:pPr>
              <w:spacing w:after="42" w:before="0"/>
            </w:pPr>
            <w:r>
              <w:rPr>
                <w:rFonts w:ascii="Calibri" w:cs="Calibri" w:eastAsia="Calibri" w:hAnsi="Calibri"/>
                <w:b/>
                <w:bCs/>
                <w:color w:val="BDD7EE"/>
                <w:sz w:val="18"/>
                <w:szCs w:val="18"/>
              </w:rPr>
              <w:t xml:space="preserve">E-mail : </w:t>
            </w:r>
            <w:r>
              <w:rPr>
                <w:rFonts w:ascii="Calibri" w:cs="Calibri" w:eastAsia="Calibri" w:hAnsi="Calibri"/>
                <w:color w:val="FFFFFF"/>
                <w:sz w:val="17"/>
                <w:szCs w:val="17"/>
              </w:rPr>
              <w:t xml:space="preserve">demedeirosmakafui@gmail.com</w:t>
            </w:r>
          </w:p>
          <w:p>
            <w:pPr>
              <w:spacing w:after="42" w:before="0"/>
            </w:pPr>
            <w:r>
              <w:rPr>
                <w:rFonts w:ascii="Calibri" w:cs="Calibri" w:eastAsia="Calibri" w:hAnsi="Calibri"/>
                <w:b/>
                <w:bCs/>
                <w:color w:val="BDD7EE"/>
                <w:sz w:val="18"/>
                <w:szCs w:val="18"/>
              </w:rPr>
              <w:t xml:space="preserve">Né le : </w:t>
            </w:r>
            <w:r>
              <w:rPr>
                <w:rFonts w:ascii="Calibri" w:cs="Calibri" w:eastAsia="Calibri" w:hAnsi="Calibri"/>
                <w:color w:val="FFFFFF"/>
                <w:sz w:val="17"/>
                <w:szCs w:val="17"/>
              </w:rPr>
              <w:t xml:space="preserve">19 décembre 2006</w:t>
            </w:r>
          </w:p>
          <w:p>
            <w:pPr>
              <w:spacing w:after="42" w:before="0"/>
            </w:pPr>
            <w:r>
              <w:rPr>
                <w:rFonts w:ascii="Calibri" w:cs="Calibri" w:eastAsia="Calibri" w:hAnsi="Calibri"/>
                <w:b/>
                <w:bCs/>
                <w:color w:val="BDD7EE"/>
                <w:sz w:val="18"/>
                <w:szCs w:val="18"/>
              </w:rPr>
              <w:t xml:space="preserve">Permis : </w:t>
            </w:r>
            <w:r>
              <w:rPr>
                <w:rFonts w:ascii="Calibri" w:cs="Calibri" w:eastAsia="Calibri" w:hAnsi="Calibri"/>
                <w:color w:val="FFFFFF"/>
                <w:sz w:val="17"/>
                <w:szCs w:val="17"/>
              </w:rPr>
              <w:t xml:space="preserve">Oui</w:t>
            </w:r>
          </w:p>
        </w:tc>
      </w:tr>
    </w:tbl>
    <w:p>
      <w:pPr>
        <w:spacing w:after="74" w:before="0"/>
      </w:pPr>
    </w:p>
    <w:p>
      <w:pPr>
        <w:shd w:fill="1F4E79" w:val="clear"/>
        <w:spacing w:after="28" w:before="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  OBJECTIF PROFESSIONNEL</w:t>
      </w:r>
    </w:p>
    <w:p>
      <w:pPr>
        <w:spacing w:after="20" w:before="0"/>
      </w:pPr>
    </w:p>
    <w:p>
      <w:pPr>
        <w:spacing w:after="70" w:before="0"/>
        <w:jc w:val="both"/>
      </w:pPr>
      <w:r>
        <w:rPr>
          <w:rFonts w:ascii="Calibri" w:cs="Calibri" w:eastAsia="Calibri" w:hAnsi="Calibri"/>
          <w:color w:val="3D3D3D"/>
          <w:sz w:val="21"/>
          <w:szCs w:val="21"/>
        </w:rPr>
        <w:t xml:space="preserve">Étudiant en Licence ASR à l’IAI-TOGO, certifié Cisco CCNA 1 &amp; 2, je recherche un stage en développement logiciel ou en administration et sécurité des réseaux. Polyvalent, je combine des compétences en développement mobile (Flutter/Dart), web back-end (ASP.NET Core, Flask, PHP) et en infrastructure réseau, ce qui me permet de m’intégrer efficacement dans tout environnement technique.</w:t>
      </w:r>
    </w:p>
    <w:tbl>
      <w:tblPr>
        <w:tblW w:type="dxa" w:w="109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60"/>
        <w:gridCol w:w="220"/>
        <w:gridCol w:w="5866"/>
      </w:tblGrid>
      <w:tr>
        <w:tc>
          <w:tcPr>
            <w:tcW w:type="dxa" w:w="48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hd w:fill="1F4E79" w:val="clear"/>
              <w:spacing w:after="28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FORMATION</w:t>
            </w:r>
          </w:p>
          <w:p>
            <w:pPr>
              <w:spacing w:after="20" w:before="0"/>
            </w:pPr>
          </w:p>
          <w:p>
            <w:pPr>
              <w:spacing w:after="14" w:before="48"/>
            </w:pPr>
            <w:r>
              <w:rPr>
                <w:rFonts w:ascii="Calibri" w:cs="Calibri" w:eastAsia="Calibri" w:hAnsi="Calibri"/>
                <w:b/>
                <w:bCs/>
                <w:color w:val="2E75B6"/>
                <w:sz w:val="20"/>
                <w:szCs w:val="20"/>
              </w:rPr>
              <w:t xml:space="preserve">2024 – présent 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IAI-TOGO, Lomé</w:t>
            </w:r>
          </w:p>
          <w:p>
            <w:pPr>
              <w:spacing w:after="14" w:before="0"/>
              <w:ind w:left="175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Licence ASR – Administration &amp; Sécurité Réseau (en cours)</w:t>
            </w:r>
          </w:p>
          <w:p>
            <w:pPr>
              <w:spacing w:after="28" w:before="0"/>
              <w:ind w:left="175"/>
              <w:jc w:val="both"/>
            </w:pPr>
            <w:r>
              <w:rPr>
                <w:rFonts w:ascii="Calibri" w:cs="Calibri" w:eastAsia="Calibri" w:hAnsi="Calibri"/>
                <w:b/>
                <w:bCs/>
                <w:color w:val="666666"/>
                <w:sz w:val="18"/>
                <w:szCs w:val="18"/>
              </w:rPr>
              <w:t xml:space="preserve">Cours : </w:t>
            </w:r>
            <w:r>
              <w:rPr>
                <w:rFonts w:ascii="Calibri" w:cs="Calibri" w:eastAsia="Calibri" w:hAnsi="Calibri"/>
                <w:i/>
                <w:iCs/>
                <w:color w:val="666666"/>
                <w:sz w:val="18"/>
                <w:szCs w:val="18"/>
              </w:rPr>
              <w:t xml:space="preserve">Admin. réseau, Sécurité, Virtualisation, WEB 2, Cloud, TCP/IP, Maintenance</w:t>
            </w:r>
          </w:p>
          <w:p>
            <w:pPr>
              <w:spacing w:after="14" w:before="48"/>
            </w:pPr>
            <w:r>
              <w:rPr>
                <w:rFonts w:ascii="Calibri" w:cs="Calibri" w:eastAsia="Calibri" w:hAnsi="Calibri"/>
                <w:b/>
                <w:bCs/>
                <w:color w:val="2E75B6"/>
                <w:sz w:val="20"/>
                <w:szCs w:val="20"/>
              </w:rPr>
              <w:t xml:space="preserve">2023 – 2024 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Notre Dame de la Trinité, Lomé</w:t>
            </w:r>
          </w:p>
          <w:p>
            <w:pPr>
              <w:spacing w:after="14" w:before="0"/>
              <w:ind w:left="175"/>
            </w:pP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Baccalauréat Scientifique — Mention Assez Bien</w:t>
            </w:r>
          </w:p>
          <w:p>
            <w:pPr>
              <w:shd w:fill="1F4E79" w:val="clear"/>
              <w:spacing w:after="28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CERTIFICATIONS</w:t>
            </w:r>
          </w:p>
          <w:p>
            <w:pPr>
              <w:spacing w:after="20" w:before="0"/>
            </w:pPr>
          </w:p>
          <w:p>
            <w:pPr>
              <w:spacing w:after="10" w:before="16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1"/>
                <w:szCs w:val="21"/>
              </w:rPr>
              <w:t xml:space="preserve">✦  Cisco CCNA 1</w:t>
            </w:r>
          </w:p>
          <w:p>
            <w:pPr>
              <w:spacing w:after="22" w:before="0"/>
              <w:ind w:left="205"/>
              <w:jc w:val="both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8"/>
                <w:szCs w:val="18"/>
              </w:rPr>
              <w:t xml:space="preserve">Introduction to Networks — Fondamentaux réseaux, modèles OSI/TCP-IP, adressage IPv4/IPv6.</w:t>
            </w:r>
          </w:p>
          <w:p>
            <w:pPr>
              <w:spacing w:after="10" w:before="8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1"/>
                <w:szCs w:val="21"/>
              </w:rPr>
              <w:t xml:space="preserve">✦  Cisco CCNA 2</w:t>
            </w:r>
          </w:p>
          <w:p>
            <w:pPr>
              <w:spacing w:after="50" w:before="0"/>
              <w:ind w:left="205"/>
              <w:jc w:val="both"/>
            </w:pPr>
            <w:r>
              <w:rPr>
                <w:rFonts w:ascii="Calibri" w:cs="Calibri" w:eastAsia="Calibri" w:hAnsi="Calibri"/>
                <w:i/>
                <w:iCs/>
                <w:color w:val="666666"/>
                <w:sz w:val="18"/>
                <w:szCs w:val="18"/>
              </w:rPr>
              <w:t xml:space="preserve">Switching, Routing &amp; Wireless Essentials — VLANs, STP, routage inter-VLAN, OSPF.</w:t>
            </w:r>
          </w:p>
          <w:p>
            <w:pPr>
              <w:shd w:fill="1F4E79" w:val="clear"/>
              <w:spacing w:after="28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PROJETS ACADÉMIQUES</w:t>
            </w:r>
          </w:p>
          <w:p>
            <w:pPr>
              <w:spacing w:after="20" w:before="0"/>
            </w:pPr>
          </w:p>
          <w:p>
            <w:pPr>
              <w:spacing w:after="14" w:before="14"/>
              <w:ind w:left="180" w:hanging="180"/>
              <w:jc w:val="both"/>
            </w:pPr>
            <w:r>
              <w:rPr>
                <w:rFonts w:ascii="Calibri" w:cs="Calibri" w:eastAsia="Calibri" w:hAnsi="Calibri"/>
                <w:color w:val="2E75B6"/>
                <w:sz w:val="20"/>
                <w:szCs w:val="20"/>
              </w:rPr>
              <w:t xml:space="preserve">▸ 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Réseau d’entreprise</w:t>
            </w: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 : VLAN, routage, sécurité (Cisco Packet Tracer)</w:t>
            </w:r>
          </w:p>
          <w:p>
            <w:pPr>
              <w:spacing w:after="14" w:before="14"/>
              <w:ind w:left="180" w:hanging="180"/>
              <w:jc w:val="both"/>
            </w:pPr>
            <w:r>
              <w:rPr>
                <w:rFonts w:ascii="Calibri" w:cs="Calibri" w:eastAsia="Calibri" w:hAnsi="Calibri"/>
                <w:color w:val="2E75B6"/>
                <w:sz w:val="20"/>
                <w:szCs w:val="20"/>
              </w:rPr>
              <w:t xml:space="preserve">▸ 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Serveur web &amp; DNS sous Linux</w:t>
            </w: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 : Apache, BIND9</w:t>
            </w:r>
          </w:p>
          <w:p>
            <w:pPr>
              <w:spacing w:after="14" w:before="14"/>
              <w:ind w:left="180" w:hanging="180"/>
              <w:jc w:val="both"/>
            </w:pPr>
            <w:r>
              <w:rPr>
                <w:rFonts w:ascii="Calibri" w:cs="Calibri" w:eastAsia="Calibri" w:hAnsi="Calibri"/>
                <w:color w:val="2E75B6"/>
                <w:sz w:val="20"/>
                <w:szCs w:val="20"/>
              </w:rPr>
              <w:t xml:space="preserve">▸ 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Supervision réseau</w:t>
            </w: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 : Nagios / Zabbix</w:t>
            </w:r>
          </w:p>
          <w:p>
            <w:pPr>
              <w:spacing w:after="48" w:before="0"/>
            </w:pPr>
          </w:p>
          <w:p>
            <w:pPr>
              <w:shd w:fill="1F4E79" w:val="clear"/>
              <w:spacing w:after="28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LANGUES</w:t>
            </w:r>
          </w:p>
          <w:p>
            <w:pPr>
              <w:spacing w:after="20" w:before="0"/>
            </w:pPr>
          </w:p>
          <w:p>
            <w:pPr>
              <w:spacing w:after="14" w:before="14"/>
              <w:ind w:left="180" w:hanging="180"/>
              <w:jc w:val="both"/>
            </w:pPr>
            <w:r>
              <w:rPr>
                <w:rFonts w:ascii="Calibri" w:cs="Calibri" w:eastAsia="Calibri" w:hAnsi="Calibri"/>
                <w:color w:val="2E75B6"/>
                <w:sz w:val="20"/>
                <w:szCs w:val="20"/>
              </w:rPr>
              <w:t xml:space="preserve">▸ 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Français</w:t>
            </w: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 : Courant — écrit et oral</w:t>
            </w:r>
          </w:p>
          <w:p>
            <w:pPr>
              <w:spacing w:after="14" w:before="14"/>
              <w:ind w:left="180" w:hanging="180"/>
              <w:jc w:val="both"/>
            </w:pPr>
            <w:r>
              <w:rPr>
                <w:rFonts w:ascii="Calibri" w:cs="Calibri" w:eastAsia="Calibri" w:hAnsi="Calibri"/>
                <w:color w:val="2E75B6"/>
                <w:sz w:val="20"/>
                <w:szCs w:val="20"/>
              </w:rPr>
              <w:t xml:space="preserve">▸ 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Anglais</w:t>
            </w: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 : Notions techniques — lecture de documentation</w:t>
            </w:r>
          </w:p>
          <w:p>
            <w:pPr>
              <w:spacing w:after="48" w:before="0"/>
            </w:pPr>
          </w:p>
          <w:p>
            <w:pPr>
              <w:shd w:fill="1F4E79" w:val="clear"/>
              <w:spacing w:after="28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CENTRES D’INTÉRÊT</w:t>
            </w:r>
          </w:p>
          <w:p>
            <w:pPr>
              <w:spacing w:after="20" w:before="0"/>
            </w:pPr>
          </w:p>
          <w:p>
            <w:pPr>
              <w:spacing w:after="28" w:before="14"/>
              <w:jc w:val="both"/>
            </w:pPr>
            <w:r>
              <w:rPr>
                <w:rFonts w:ascii="Calibri" w:cs="Calibri" w:eastAsia="Calibri" w:hAnsi="Calibri"/>
                <w:i/>
                <w:iCs/>
                <w:color w:val="3D3D3D"/>
                <w:sz w:val="20"/>
                <w:szCs w:val="20"/>
              </w:rPr>
              <w:t xml:space="preserve">Cybersécurité · Veille technologique · Musique · Jeux de réflexion</w:t>
            </w:r>
          </w:p>
        </w:tc>
        <w:tc>
          <w:tcPr>
            <w:tcW w:type="dxa" w:w="220"/>
            <w:tcBorders>
              <w:top w:val="none" w:color="FFFFFF" w:sz="0"/>
              <w:left w:val="single" w:color="D6E4F0" w:sz="4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/>
        </w:tc>
        <w:tc>
          <w:tcPr>
            <w:tcW w:type="dxa" w:w="5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55"/>
              <w:bottom w:type="dxa" w:w="0"/>
              <w:right w:type="dxa" w:w="0"/>
            </w:tcMar>
          </w:tcPr>
          <w:p>
            <w:pPr>
              <w:shd w:fill="1F4E79" w:val="clear"/>
              <w:spacing w:after="28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COMPÉTENCES TECHNIQUES</w:t>
            </w:r>
          </w:p>
          <w:p>
            <w:pPr>
              <w:spacing w:after="20" w:before="0"/>
            </w:pPr>
          </w:p>
          <w:p>
            <w:pPr>
              <w:spacing w:after="12" w:before="42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Réseaux &amp; Systèmes</w:t>
            </w:r>
          </w:p>
          <w:p>
            <w:pPr>
              <w:spacing w:after="14" w:before="14"/>
              <w:ind w:left="180" w:hanging="180"/>
              <w:jc w:val="both"/>
            </w:pPr>
            <w:r>
              <w:rPr>
                <w:rFonts w:ascii="Calibri" w:cs="Calibri" w:eastAsia="Calibri" w:hAnsi="Calibri"/>
                <w:color w:val="2E75B6"/>
                <w:sz w:val="20"/>
                <w:szCs w:val="20"/>
              </w:rPr>
              <w:t xml:space="preserve">▸  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Cisco CCNA 1 &amp; 2 — VLAN, STP, routage inter-VLAN, OSPF</w:t>
            </w:r>
          </w:p>
          <w:p>
            <w:pPr>
              <w:spacing w:after="14" w:before="14"/>
              <w:ind w:left="180" w:hanging="180"/>
              <w:jc w:val="both"/>
            </w:pPr>
            <w:r>
              <w:rPr>
                <w:rFonts w:ascii="Calibri" w:cs="Calibri" w:eastAsia="Calibri" w:hAnsi="Calibri"/>
                <w:color w:val="2E75B6"/>
                <w:sz w:val="20"/>
                <w:szCs w:val="20"/>
              </w:rPr>
              <w:t xml:space="preserve">▸  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Adressage IP/IPv6, sous-réseaux, interfaces</w:t>
            </w:r>
          </w:p>
          <w:p>
            <w:pPr>
              <w:spacing w:after="14" w:before="14"/>
              <w:ind w:left="180" w:hanging="180"/>
              <w:jc w:val="both"/>
            </w:pPr>
            <w:r>
              <w:rPr>
                <w:rFonts w:ascii="Calibri" w:cs="Calibri" w:eastAsia="Calibri" w:hAnsi="Calibri"/>
                <w:color w:val="2E75B6"/>
                <w:sz w:val="20"/>
                <w:szCs w:val="20"/>
              </w:rPr>
              <w:t xml:space="preserve">▸  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Modèles OSI / TCP-IP (Ethernet, IP, TCP/UDP, DHCP, DNS)</w:t>
            </w:r>
          </w:p>
          <w:p>
            <w:pPr>
              <w:spacing w:after="14" w:before="14"/>
              <w:ind w:left="180" w:hanging="180"/>
              <w:jc w:val="both"/>
            </w:pPr>
            <w:r>
              <w:rPr>
                <w:rFonts w:ascii="Calibri" w:cs="Calibri" w:eastAsia="Calibri" w:hAnsi="Calibri"/>
                <w:color w:val="2E75B6"/>
                <w:sz w:val="20"/>
                <w:szCs w:val="20"/>
              </w:rPr>
              <w:t xml:space="preserve">▸ 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Linux</w:t>
            </w: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 : Kali, Manjaro — administration CLI</w:t>
            </w:r>
          </w:p>
          <w:p>
            <w:pPr>
              <w:spacing w:after="14" w:before="14"/>
              <w:ind w:left="180" w:hanging="180"/>
              <w:jc w:val="both"/>
            </w:pPr>
            <w:r>
              <w:rPr>
                <w:rFonts w:ascii="Calibri" w:cs="Calibri" w:eastAsia="Calibri" w:hAnsi="Calibri"/>
                <w:color w:val="2E75B6"/>
                <w:sz w:val="20"/>
                <w:szCs w:val="20"/>
              </w:rPr>
              <w:t xml:space="preserve">▸ 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Dépannage matériel</w:t>
            </w: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 : BIOS/UEFI, configuration</w:t>
            </w:r>
          </w:p>
          <w:p>
            <w:pPr>
              <w:spacing w:after="24" w:before="0"/>
            </w:pPr>
          </w:p>
          <w:p>
            <w:pPr>
              <w:spacing w:after="12" w:before="2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Cybersécurité</w:t>
            </w:r>
          </w:p>
          <w:p>
            <w:pPr>
              <w:spacing w:after="14" w:before="14"/>
              <w:ind w:left="180" w:hanging="180"/>
              <w:jc w:val="both"/>
            </w:pPr>
            <w:r>
              <w:rPr>
                <w:rFonts w:ascii="Calibri" w:cs="Calibri" w:eastAsia="Calibri" w:hAnsi="Calibri"/>
                <w:color w:val="2E75B6"/>
                <w:sz w:val="20"/>
                <w:szCs w:val="20"/>
              </w:rPr>
              <w:t xml:space="preserve">▸  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Bonnes pratiques de sécurité réseau</w:t>
            </w:r>
          </w:p>
          <w:p>
            <w:pPr>
              <w:spacing w:after="14" w:before="14"/>
              <w:ind w:left="180" w:hanging="180"/>
              <w:jc w:val="both"/>
            </w:pPr>
            <w:r>
              <w:rPr>
                <w:rFonts w:ascii="Calibri" w:cs="Calibri" w:eastAsia="Calibri" w:hAnsi="Calibri"/>
                <w:color w:val="2E75B6"/>
                <w:sz w:val="20"/>
                <w:szCs w:val="20"/>
              </w:rPr>
              <w:t xml:space="preserve">▸ 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Tests de trafic</w:t>
            </w: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 : hping3, Wireshark — analyse de paquets</w:t>
            </w:r>
          </w:p>
          <w:p>
            <w:pPr>
              <w:spacing w:after="14" w:before="14"/>
              <w:ind w:left="180" w:hanging="180"/>
              <w:jc w:val="both"/>
            </w:pPr>
            <w:r>
              <w:rPr>
                <w:rFonts w:ascii="Calibri" w:cs="Calibri" w:eastAsia="Calibri" w:hAnsi="Calibri"/>
                <w:color w:val="2E75B6"/>
                <w:sz w:val="20"/>
                <w:szCs w:val="20"/>
              </w:rPr>
              <w:t xml:space="preserve">▸  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Pare-feu iptables / nftables</w:t>
            </w:r>
          </w:p>
          <w:p>
            <w:pPr>
              <w:spacing w:after="14" w:before="14"/>
              <w:ind w:left="180" w:hanging="180"/>
              <w:jc w:val="both"/>
            </w:pPr>
            <w:r>
              <w:rPr>
                <w:rFonts w:ascii="Calibri" w:cs="Calibri" w:eastAsia="Calibri" w:hAnsi="Calibri"/>
                <w:color w:val="2E75B6"/>
                <w:sz w:val="20"/>
                <w:szCs w:val="20"/>
              </w:rPr>
              <w:t xml:space="preserve">▸  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Détection d’anomalies réseau</w:t>
            </w:r>
          </w:p>
          <w:p>
            <w:pPr>
              <w:spacing w:after="24" w:before="0"/>
            </w:pPr>
          </w:p>
          <w:p>
            <w:pPr>
              <w:spacing w:after="12" w:before="2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Développement Mobile</w:t>
            </w:r>
          </w:p>
          <w:p>
            <w:pPr>
              <w:spacing w:after="14" w:before="14"/>
              <w:ind w:left="180" w:hanging="180"/>
              <w:jc w:val="both"/>
            </w:pPr>
            <w:r>
              <w:rPr>
                <w:rFonts w:ascii="Calibri" w:cs="Calibri" w:eastAsia="Calibri" w:hAnsi="Calibri"/>
                <w:color w:val="2E75B6"/>
                <w:sz w:val="20"/>
                <w:szCs w:val="20"/>
              </w:rPr>
              <w:t xml:space="preserve">▸ 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Flutter / Dart</w:t>
            </w: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 : UI multi-écrans, StatelessWidget/StatefulWidget, déploiement Android</w:t>
            </w:r>
          </w:p>
          <w:p>
            <w:pPr>
              <w:spacing w:after="12" w:before="2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Back-end &amp; API</w:t>
            </w:r>
          </w:p>
          <w:p>
            <w:pPr>
              <w:spacing w:after="14" w:before="14"/>
              <w:ind w:left="180" w:hanging="180"/>
              <w:jc w:val="both"/>
            </w:pPr>
            <w:r>
              <w:rPr>
                <w:rFonts w:ascii="Calibri" w:cs="Calibri" w:eastAsia="Calibri" w:hAnsi="Calibri"/>
                <w:color w:val="2E75B6"/>
                <w:sz w:val="20"/>
                <w:szCs w:val="20"/>
              </w:rPr>
              <w:t xml:space="preserve">▸ 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C# / ASP.NET Core</w:t>
            </w: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 : REST API, Entity Framework Core, POO, MySQL</w:t>
            </w:r>
          </w:p>
          <w:p>
            <w:pPr>
              <w:spacing w:after="14" w:before="14"/>
              <w:ind w:left="180" w:hanging="180"/>
              <w:jc w:val="both"/>
            </w:pPr>
            <w:r>
              <w:rPr>
                <w:rFonts w:ascii="Calibri" w:cs="Calibri" w:eastAsia="Calibri" w:hAnsi="Calibri"/>
                <w:color w:val="2E75B6"/>
                <w:sz w:val="20"/>
                <w:szCs w:val="20"/>
              </w:rPr>
              <w:t xml:space="preserve">▸ 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Python</w:t>
            </w: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 : Flask, Django, Scapy — API REST, auth JWT, bcrypt</w:t>
            </w:r>
          </w:p>
          <w:p>
            <w:pPr>
              <w:spacing w:after="14" w:before="14"/>
              <w:ind w:left="180" w:hanging="180"/>
              <w:jc w:val="both"/>
            </w:pPr>
            <w:r>
              <w:rPr>
                <w:rFonts w:ascii="Calibri" w:cs="Calibri" w:eastAsia="Calibri" w:hAnsi="Calibri"/>
                <w:color w:val="2E75B6"/>
                <w:sz w:val="20"/>
                <w:szCs w:val="20"/>
              </w:rPr>
              <w:t xml:space="preserve">▸ 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PHP</w:t>
            </w: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 : PDO, CRUD, architecture affichage/traitement</w:t>
            </w:r>
          </w:p>
          <w:p>
            <w:pPr>
              <w:spacing w:after="14" w:before="14"/>
              <w:ind w:left="180" w:hanging="180"/>
              <w:jc w:val="both"/>
            </w:pPr>
            <w:r>
              <w:rPr>
                <w:rFonts w:ascii="Calibri" w:cs="Calibri" w:eastAsia="Calibri" w:hAnsi="Calibri"/>
                <w:color w:val="2E75B6"/>
                <w:sz w:val="20"/>
                <w:szCs w:val="20"/>
              </w:rPr>
              <w:t xml:space="preserve">▸ 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Java / HTML / CSS</w:t>
            </w: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 : POO, WEB 1 &amp; WEB 2</w:t>
            </w:r>
          </w:p>
          <w:p>
            <w:pPr>
              <w:spacing w:after="14" w:before="14"/>
              <w:ind w:left="180" w:hanging="180"/>
              <w:jc w:val="both"/>
            </w:pPr>
            <w:r>
              <w:rPr>
                <w:rFonts w:ascii="Calibri" w:cs="Calibri" w:eastAsia="Calibri" w:hAnsi="Calibri"/>
                <w:color w:val="2E75B6"/>
                <w:sz w:val="20"/>
                <w:szCs w:val="20"/>
              </w:rPr>
              <w:t xml:space="preserve">▸ 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MySQL / MariaDB / SQLite</w:t>
            </w: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 : Modélisation relationnelle, SQL, ORM</w:t>
            </w:r>
          </w:p>
          <w:p>
            <w:pPr>
              <w:spacing w:after="12" w:before="2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Outils &amp; Environnements</w:t>
            </w:r>
          </w:p>
          <w:p>
            <w:pPr>
              <w:spacing w:after="14" w:before="14"/>
              <w:ind w:left="180" w:hanging="180"/>
              <w:jc w:val="both"/>
            </w:pPr>
            <w:r>
              <w:rPr>
                <w:rFonts w:ascii="Calibri" w:cs="Calibri" w:eastAsia="Calibri" w:hAnsi="Calibri"/>
                <w:color w:val="2E75B6"/>
                <w:sz w:val="20"/>
                <w:szCs w:val="20"/>
              </w:rPr>
              <w:t xml:space="preserve">▸ 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Android Studio / VS Code / Git</w:t>
            </w:r>
          </w:p>
          <w:p>
            <w:pPr>
              <w:spacing w:after="14" w:before="14"/>
              <w:ind w:left="180" w:hanging="180"/>
              <w:jc w:val="both"/>
            </w:pPr>
            <w:r>
              <w:rPr>
                <w:rFonts w:ascii="Calibri" w:cs="Calibri" w:eastAsia="Calibri" w:hAnsi="Calibri"/>
                <w:color w:val="2E75B6"/>
                <w:sz w:val="20"/>
                <w:szCs w:val="20"/>
              </w:rPr>
              <w:t xml:space="preserve">▸ 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Linux (Pop!_OS / Ubuntu)</w:t>
            </w: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 : configuration environnement dev, dual-boot, CLI</w:t>
            </w:r>
          </w:p>
          <w:p>
            <w:pPr>
              <w:spacing w:after="24" w:before="0"/>
            </w:pPr>
          </w:p>
          <w:p>
            <w:pPr>
              <w:spacing w:after="12" w:before="24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Compétences Transversales</w:t>
            </w:r>
          </w:p>
          <w:p>
            <w:pPr>
              <w:spacing w:after="14" w:before="14"/>
              <w:ind w:left="180" w:hanging="180"/>
              <w:jc w:val="both"/>
            </w:pPr>
            <w:r>
              <w:rPr>
                <w:rFonts w:ascii="Calibri" w:cs="Calibri" w:eastAsia="Calibri" w:hAnsi="Calibri"/>
                <w:color w:val="2E75B6"/>
                <w:sz w:val="20"/>
                <w:szCs w:val="20"/>
              </w:rPr>
              <w:t xml:space="preserve">▸  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Apprentissage rapide de nouveaux outils</w:t>
            </w:r>
          </w:p>
          <w:p>
            <w:pPr>
              <w:spacing w:after="14" w:before="14"/>
              <w:ind w:left="180" w:hanging="180"/>
              <w:jc w:val="both"/>
            </w:pPr>
            <w:r>
              <w:rPr>
                <w:rFonts w:ascii="Calibri" w:cs="Calibri" w:eastAsia="Calibri" w:hAnsi="Calibri"/>
                <w:color w:val="2E75B6"/>
                <w:sz w:val="20"/>
                <w:szCs w:val="20"/>
              </w:rPr>
              <w:t xml:space="preserve">▸  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Autonomie et rigueur dans la résolution de problèmes</w:t>
            </w:r>
          </w:p>
          <w:p>
            <w:pPr>
              <w:spacing w:after="14" w:before="14"/>
              <w:ind w:left="180" w:hanging="180"/>
              <w:jc w:val="both"/>
            </w:pPr>
            <w:r>
              <w:rPr>
                <w:rFonts w:ascii="Calibri" w:cs="Calibri" w:eastAsia="Calibri" w:hAnsi="Calibri"/>
                <w:color w:val="2E75B6"/>
                <w:sz w:val="20"/>
                <w:szCs w:val="20"/>
              </w:rPr>
              <w:t xml:space="preserve">▸  </w:t>
            </w:r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Esprit d’analyse et documentation technique</w:t>
            </w:r>
          </w:p>
          <w:p>
            <w:pPr>
              <w:spacing w:after="46" w:before="0"/>
            </w:pPr>
          </w:p>
          <w:p>
            <w:pPr>
              <w:shd w:fill="1F4E79" w:val="clear"/>
              <w:spacing w:after="28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PROJETS PERSONNELS</w:t>
            </w:r>
          </w:p>
          <w:p>
            <w:pPr>
              <w:spacing w:after="20" w:before="0"/>
            </w:pPr>
          </w:p>
          <w:p>
            <w:pPr>
              <w:spacing w:after="12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Pare-feu Linux</w:t>
            </w: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 — iptables / nftables, NAT, journalisation.</w:t>
            </w:r>
          </w:p>
          <w:p>
            <w:pPr>
              <w:spacing w:after="12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Analyse de trafic</w:t>
            </w: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 — Wireshark, détection ARP spoofing.</w:t>
            </w:r>
          </w:p>
          <w:p>
            <w:pPr>
              <w:spacing w:after="12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VPN WireGuard</w:t>
            </w: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 — Tunnels chiffrés, gestion des clés.</w:t>
            </w:r>
          </w:p>
          <w:p>
            <w:pPr>
              <w:spacing w:after="12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Script scan réseau</w:t>
            </w: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 — Python / Scapy, inventaire hôtes et ports.</w:t>
            </w:r>
          </w:p>
          <w:p>
            <w:pPr>
              <w:spacing w:after="12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connect_project</w:t>
            </w: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 — App mobile Flutter : UI d’authentification (login &amp; inscription), déployée sur appareil physique Android.</w:t>
            </w:r>
          </w:p>
          <w:p>
            <w:pPr>
              <w:spacing w:after="12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API STOP</w:t>
            </w: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 — API REST C# / ASP.NET Core + Entity Framework Core + MySQL.</w:t>
            </w:r>
          </w:p>
          <w:p>
            <w:pPr>
              <w:spacing w:after="12" w:before="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Gestion d’actifs (Flask)</w:t>
            </w:r>
            <w:r>
              <w:rPr>
                <w:rFonts w:ascii="Calibri" w:cs="Calibri" w:eastAsia="Calibri" w:hAnsi="Calibri"/>
                <w:color w:val="3D3D3D"/>
                <w:sz w:val="20"/>
                <w:szCs w:val="20"/>
              </w:rPr>
              <w:t xml:space="preserve"> — Application web Flask + SQLite : auth JWT, bcrypt, export PDF/GPX, carte Folium.</w:t>
            </w:r>
          </w:p>
          <w:p>
            <w:pPr>
              <w:spacing w:after="30" w:before="0"/>
            </w:pPr>
          </w:p>
          <w:tbl>
            <w:tblPr>
              <w:tblW w:type="dxa" w:w="554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20"/>
              <w:gridCol w:w="4826"/>
            </w:tblGrid>
            <w:tr>
              <w:tc>
                <w:tcPr>
                  <w:tcW w:type="dxa" w:w="720"/>
                  <w:tcBorders>
                    <w:top w:val="single" w:color="C8A84B" w:sz="8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FFDF5" w:val="clear"/>
                  <w:tcMar>
                    <w:top w:type="dxa" w:w="50"/>
                    <w:left w:type="dxa" w:w="65"/>
                    <w:bottom w:type="dxa" w:w="50"/>
                    <w:right w:type="dxa" w:w="85"/>
                  </w:tcMar>
                  <w:vAlign w:val="center"/>
                </w:tcPr>
                <w:p>
                  <w:pPr>
                    <w:jc w:val="center"/>
                  </w:pPr>
                  <w:r>
                    <w:drawing>
                      <wp:inline distT="0" distB="0" distL="0" distR="0">
                        <wp:extent cx="571500" cy="571500"/>
                        <wp:effectExtent t="0" r="0" b="0" l="0"/>
                        <wp:docPr id="1" name="qr" descr="QR Portfolio" title="QR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71500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4826"/>
                  <w:tcBorders>
                    <w:top w:val="single" w:color="C8A84B" w:sz="8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FFFDF5" w:val="clear"/>
                  <w:tcMar>
                    <w:top w:type="dxa" w:w="50"/>
                    <w:left w:type="dxa" w:w="125"/>
                    <w:bottom w:type="dxa" w:w="50"/>
                    <w:right w:type="dxa" w:w="85"/>
                  </w:tcMar>
                  <w:vAlign w:val="center"/>
                </w:tcPr>
                <w:p>
                  <w:pPr>
                    <w:spacing w:after="14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4E79"/>
                      <w:sz w:val="20"/>
                      <w:szCs w:val="20"/>
                    </w:rPr>
                    <w:t xml:space="preserve">Portfolio en ligne</w:t>
                  </w:r>
                </w:p>
                <w:p>
                  <w:pPr>
                    <w:spacing w:after="10" w:before="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3D3D3D"/>
                      <w:sz w:val="18"/>
                      <w:szCs w:val="18"/>
                    </w:rPr>
                    <w:t xml:space="preserve">Scannez pour accéder à mes projets et compétences.</w:t>
                  </w:r>
                </w:p>
                <w:p>
                  <w:r>
                    <w:rPr>
                      <w:rFonts w:ascii="Calibri" w:cs="Calibri" w:eastAsia="Calibri" w:hAnsi="Calibri"/>
                      <w:color w:val="2E75B6"/>
                      <w:sz w:val="17"/>
                      <w:szCs w:val="17"/>
                    </w:rPr>
                    <w:t xml:space="preserve">makafuid.github.io/marcdragnir.github.io</w:t>
                  </w:r>
                </w:p>
              </w:tc>
            </w:tr>
          </w:tbl>
          <w:p/>
        </w:tc>
      </w:tr>
    </w:tbl>
    <w:sectPr>
      <w:pgSz w:w="11906" w:h="16838" w:orient="portrait"/>
      <w:pgMar w:top="480" w:right="480" w:bottom="480" w:left="4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0f4099ac220f8a36d7e45dc55356c0f6d406dbf.jpg"/><Relationship Id="rId8" Type="http://schemas.openxmlformats.org/officeDocument/2006/relationships/image" Target="media/b4deac911bf5850a96f6f015d879ee99fa0e739e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2026-04-09T09:00:23.275Z</dcterms:created>
  <dcterms:modified xsi:type="dcterms:W3CDTF">2026-04-09T09:00:23.276Z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