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FD2" w:rsidRPr="0019095F" w:rsidRDefault="00C34FD2" w:rsidP="00C34FD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19095F">
        <w:rPr>
          <w:rFonts w:ascii="Times New Roman" w:hAnsi="Times New Roman" w:cs="Times New Roman"/>
          <w:iCs/>
          <w:sz w:val="20"/>
          <w:szCs w:val="20"/>
        </w:rPr>
        <w:t>Анкетирование</w:t>
      </w:r>
      <w:r w:rsidRPr="0019095F">
        <w:rPr>
          <w:rFonts w:ascii="Times New Roman" w:hAnsi="Times New Roman" w:cs="Times New Roman"/>
          <w:sz w:val="20"/>
          <w:szCs w:val="20"/>
        </w:rPr>
        <w:t xml:space="preserve"> – это письменная форма опроса, осуществляющаяся, как правило, заочно, т. е. без прямого и непосредственного контакта интервьюера с респондентом. </w:t>
      </w:r>
    </w:p>
    <w:p w:rsidR="00C34FD2" w:rsidRPr="0019095F" w:rsidRDefault="00C34FD2" w:rsidP="00C34FD2">
      <w:pPr>
        <w:tabs>
          <w:tab w:val="left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Оно целесообразно в двух случаях: </w:t>
      </w:r>
    </w:p>
    <w:p w:rsidR="00C34FD2" w:rsidRPr="0019095F" w:rsidRDefault="00C34FD2" w:rsidP="00C34FD2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когда нужно спросить большое число респондентов </w:t>
      </w:r>
      <w:proofErr w:type="gramStart"/>
      <w:r w:rsidRPr="0019095F">
        <w:rPr>
          <w:rFonts w:ascii="Times New Roman" w:hAnsi="Times New Roman" w:cs="Times New Roman"/>
          <w:sz w:val="20"/>
          <w:szCs w:val="20"/>
        </w:rPr>
        <w:t>за</w:t>
      </w:r>
      <w:proofErr w:type="gramEnd"/>
      <w:r w:rsidRPr="0019095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34FD2" w:rsidRPr="0019095F" w:rsidRDefault="00C34FD2" w:rsidP="00C34FD2">
      <w:pPr>
        <w:tabs>
          <w:tab w:val="left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относительно короткое время; </w:t>
      </w:r>
    </w:p>
    <w:p w:rsidR="00C34FD2" w:rsidRPr="0019095F" w:rsidRDefault="00C34FD2" w:rsidP="00C34FD2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респонденты должны тщательно подумать над своими ответами, </w:t>
      </w:r>
    </w:p>
    <w:p w:rsidR="00C34FD2" w:rsidRPr="0019095F" w:rsidRDefault="00C34FD2" w:rsidP="00C34FD2">
      <w:pPr>
        <w:tabs>
          <w:tab w:val="left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имея перед глазами отпечатанный вопросник. </w:t>
      </w:r>
    </w:p>
    <w:p w:rsidR="00C34FD2" w:rsidRPr="0019095F" w:rsidRDefault="00C34FD2" w:rsidP="00C34FD2">
      <w:pPr>
        <w:tabs>
          <w:tab w:val="left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Применение анкетирования для опроса многочисленной группы респондентов, особенно по вопросам, не требующим глубоких размышлений, не оправдано. В такой ситуации уместнее побеседовать с респондентом с глазу на глаз. </w:t>
      </w:r>
    </w:p>
    <w:p w:rsidR="00C34FD2" w:rsidRPr="0019095F" w:rsidRDefault="00C34FD2" w:rsidP="00C34FD2">
      <w:pPr>
        <w:tabs>
          <w:tab w:val="left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Анкетирование редко бывает сплошным (охватывающим всех членов изучаемой общности), гораздо чаще оно имеет выборочный характер. Поэтому достоверность и надежность полученной анкетированием информации зависит, прежде всего, от репрезентативности выборки. </w:t>
      </w:r>
    </w:p>
    <w:p w:rsidR="00C34FD2" w:rsidRPr="0019095F" w:rsidRDefault="00C34FD2" w:rsidP="00C34FD2">
      <w:pPr>
        <w:tabs>
          <w:tab w:val="left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Основным (но не единственным) инструментом этого метода является анкета, состоящая не только из опросного листа и «</w:t>
      </w:r>
      <w:proofErr w:type="spellStart"/>
      <w:r w:rsidRPr="0019095F">
        <w:rPr>
          <w:rFonts w:ascii="Times New Roman" w:hAnsi="Times New Roman" w:cs="Times New Roman"/>
          <w:sz w:val="20"/>
          <w:szCs w:val="20"/>
        </w:rPr>
        <w:t>паспортички</w:t>
      </w:r>
      <w:proofErr w:type="spellEnd"/>
      <w:r w:rsidRPr="0019095F">
        <w:rPr>
          <w:rFonts w:ascii="Times New Roman" w:hAnsi="Times New Roman" w:cs="Times New Roman"/>
          <w:sz w:val="20"/>
          <w:szCs w:val="20"/>
        </w:rPr>
        <w:t xml:space="preserve">», но и из </w:t>
      </w:r>
      <w:proofErr w:type="spellStart"/>
      <w:r w:rsidRPr="0019095F">
        <w:rPr>
          <w:rFonts w:ascii="Times New Roman" w:hAnsi="Times New Roman" w:cs="Times New Roman"/>
          <w:sz w:val="20"/>
          <w:szCs w:val="20"/>
        </w:rPr>
        <w:t>преамбульно-инструктивного</w:t>
      </w:r>
      <w:proofErr w:type="spellEnd"/>
      <w:r w:rsidRPr="0019095F">
        <w:rPr>
          <w:rFonts w:ascii="Times New Roman" w:hAnsi="Times New Roman" w:cs="Times New Roman"/>
          <w:sz w:val="20"/>
          <w:szCs w:val="20"/>
        </w:rPr>
        <w:t xml:space="preserve"> раздела. Значимость последнего нельзя недооценивать, т. к. в условиях заочного общения с респондентом преамбула – это единственное средство мотивации респондента на заполнение анкеты, формирования его установки на искренность ответов. Кроме того, в преамбуле говорится о том, кто и зачем проводит опрос, даются необходимые комментарии и инструкции по работе респондента с анкетой. </w:t>
      </w:r>
    </w:p>
    <w:p w:rsidR="00C34FD2" w:rsidRPr="0019095F" w:rsidRDefault="00C34FD2" w:rsidP="00C34FD2">
      <w:pPr>
        <w:tabs>
          <w:tab w:val="left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Главная часть анкеты (опросный лист) разрабатывается не только на основе общих требований к опросу, но и с учетом ряда дополнительных соображений. В анкете можно и нужно ставить:</w:t>
      </w:r>
    </w:p>
    <w:p w:rsidR="00C34FD2" w:rsidRPr="0019095F" w:rsidRDefault="00C34FD2" w:rsidP="00C34FD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не только программно-тематические, т. е. непосредственно вытекающие из исследовательской программы вопросы, но и процедурно-функциональные, нацеленные на оптимизацию хода опроса; </w:t>
      </w:r>
    </w:p>
    <w:p w:rsidR="00C34FD2" w:rsidRPr="0019095F" w:rsidRDefault="00C34FD2" w:rsidP="00C34FD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как прямые, предлагающие респонденту выразить свою собственную позицию, так и косвенные (согласие или несогласие с позиций других людей) вопросы; </w:t>
      </w:r>
    </w:p>
    <w:p w:rsidR="00C34FD2" w:rsidRPr="0019095F" w:rsidRDefault="00C34FD2" w:rsidP="00C34FD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вопросы – «крючки», ставящиеся для того, чтобы респондент «клюнул», т. е. ради поддержания его интереса к заполнению анкеты; </w:t>
      </w:r>
    </w:p>
    <w:p w:rsidR="00C34FD2" w:rsidRPr="0019095F" w:rsidRDefault="00C34FD2" w:rsidP="00C34FD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вопросы – «фильтры», позволяющие выделить часть респондентов по какому-либо признаку, скажем, отсеять ту их часть, мнение которой по следующему за «фильтром» вопросу представляется либо особо ценным, наоборот, либо не очень важным; </w:t>
      </w:r>
    </w:p>
    <w:p w:rsidR="00C34FD2" w:rsidRPr="0019095F" w:rsidRDefault="00C34FD2" w:rsidP="00C34FD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контрольные вопросы, проверяющие устойчивость и непротиворечивость мнений респондентов; </w:t>
      </w:r>
    </w:p>
    <w:p w:rsidR="00C34FD2" w:rsidRPr="0019095F" w:rsidRDefault="00C34FD2" w:rsidP="00C34FD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вопросы – «ловушки», являющиеся разновидностью контрольных, предназначенные для выяснения степени искренности ответов;</w:t>
      </w:r>
    </w:p>
    <w:p w:rsidR="00C34FD2" w:rsidRPr="0019095F" w:rsidRDefault="00C34FD2" w:rsidP="00C34FD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наводящие вопросы, помогающие точнее понять смысл последующего (более важного) вопроса; </w:t>
      </w:r>
    </w:p>
    <w:p w:rsidR="00C34FD2" w:rsidRPr="0019095F" w:rsidRDefault="00C34FD2" w:rsidP="00C34FD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дихотомические вопросы, предполагающие два взаимоисключающих друг друга варианта ответа (типа «</w:t>
      </w:r>
      <w:proofErr w:type="spellStart"/>
      <w:r w:rsidRPr="0019095F">
        <w:rPr>
          <w:rFonts w:ascii="Times New Roman" w:hAnsi="Times New Roman" w:cs="Times New Roman"/>
          <w:sz w:val="20"/>
          <w:szCs w:val="20"/>
        </w:rPr>
        <w:t>да-нет</w:t>
      </w:r>
      <w:proofErr w:type="spellEnd"/>
      <w:r w:rsidRPr="0019095F">
        <w:rPr>
          <w:rFonts w:ascii="Times New Roman" w:hAnsi="Times New Roman" w:cs="Times New Roman"/>
          <w:sz w:val="20"/>
          <w:szCs w:val="20"/>
        </w:rPr>
        <w:t>»);</w:t>
      </w:r>
    </w:p>
    <w:p w:rsidR="00C34FD2" w:rsidRPr="0019095F" w:rsidRDefault="00C34FD2" w:rsidP="00C34FD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вопросы – «меню», т. е. с поливариантными ответами, когда респондент может выбрать любое сочетание вариантов ответов; </w:t>
      </w:r>
    </w:p>
    <w:p w:rsidR="00C34FD2" w:rsidRPr="0019095F" w:rsidRDefault="00C34FD2" w:rsidP="00C34FD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вопросы – «диалоги», ответы на которые составляются из ответов воображаемых лиц; </w:t>
      </w:r>
    </w:p>
    <w:p w:rsidR="00C34FD2" w:rsidRPr="0019095F" w:rsidRDefault="00C34FD2" w:rsidP="00C34FD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шкальные вопросы, т. е. такие, ответ на которые заключен в </w:t>
      </w:r>
      <w:proofErr w:type="spellStart"/>
      <w:r w:rsidRPr="0019095F">
        <w:rPr>
          <w:rFonts w:ascii="Times New Roman" w:hAnsi="Times New Roman" w:cs="Times New Roman"/>
          <w:sz w:val="20"/>
          <w:szCs w:val="20"/>
        </w:rPr>
        <w:t>шкалировании</w:t>
      </w:r>
      <w:proofErr w:type="spellEnd"/>
      <w:r w:rsidRPr="0019095F">
        <w:rPr>
          <w:rFonts w:ascii="Times New Roman" w:hAnsi="Times New Roman" w:cs="Times New Roman"/>
          <w:sz w:val="20"/>
          <w:szCs w:val="20"/>
        </w:rPr>
        <w:t xml:space="preserve"> чего-либо; </w:t>
      </w:r>
    </w:p>
    <w:p w:rsidR="00C34FD2" w:rsidRPr="0019095F" w:rsidRDefault="00C34FD2" w:rsidP="00C34FD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табличные вопросы, предполагающие ответ в форме заполнения таблицы; </w:t>
      </w:r>
    </w:p>
    <w:p w:rsidR="00C34FD2" w:rsidRPr="0019095F" w:rsidRDefault="00C34FD2" w:rsidP="00C34FD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закрытые вопросы, т. е. сопровождаемые всеми теоретически возможными вариантами ответа, из которых респонденту предстоит выбрать тот, который соответствует его мнению; </w:t>
      </w:r>
    </w:p>
    <w:p w:rsidR="00C34FD2" w:rsidRPr="0019095F" w:rsidRDefault="00C34FD2" w:rsidP="00C34FD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открытые вопросы, не содержащие ни одного варианта ответа, предполагающие, что респондент напишет то, что хочет, в специально отведенном месте анкеты; </w:t>
      </w:r>
    </w:p>
    <w:p w:rsidR="00C34FD2" w:rsidRPr="0019095F" w:rsidRDefault="00C34FD2" w:rsidP="0019095F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полузакрытые, точнее, частично закрытые (или частично открытые) вопросы, на которые заранее дана лишь часть вариантов ответа, которая может не удовлетворить респондентов, имеющих возможность дописать свой вариант.</w:t>
      </w:r>
    </w:p>
    <w:p w:rsidR="00C34FD2" w:rsidRPr="0019095F" w:rsidRDefault="00C34FD2" w:rsidP="00C34FD2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19095F">
        <w:rPr>
          <w:rStyle w:val="a4"/>
          <w:sz w:val="20"/>
          <w:szCs w:val="20"/>
        </w:rPr>
        <w:t>Правила формулирования вопросов:</w:t>
      </w:r>
    </w:p>
    <w:p w:rsidR="00C34FD2" w:rsidRPr="0019095F" w:rsidRDefault="00C34FD2" w:rsidP="00C34FD2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Каждый </w:t>
      </w:r>
      <w:r w:rsidRPr="00E51B82">
        <w:rPr>
          <w:rFonts w:ascii="Times New Roman" w:hAnsi="Times New Roman" w:cs="Times New Roman"/>
          <w:sz w:val="20"/>
          <w:szCs w:val="20"/>
        </w:rPr>
        <w:t>вопрос</w:t>
      </w:r>
      <w:r w:rsidRPr="0019095F">
        <w:rPr>
          <w:rFonts w:ascii="Times New Roman" w:hAnsi="Times New Roman" w:cs="Times New Roman"/>
          <w:sz w:val="20"/>
          <w:szCs w:val="20"/>
        </w:rPr>
        <w:t xml:space="preserve"> должен быть </w:t>
      </w:r>
      <w:proofErr w:type="spellStart"/>
      <w:r w:rsidRPr="0019095F">
        <w:rPr>
          <w:rFonts w:ascii="Times New Roman" w:hAnsi="Times New Roman" w:cs="Times New Roman"/>
          <w:sz w:val="20"/>
          <w:szCs w:val="20"/>
        </w:rPr>
        <w:t>самодостаточным</w:t>
      </w:r>
      <w:proofErr w:type="spellEnd"/>
      <w:r w:rsidRPr="0019095F">
        <w:rPr>
          <w:rFonts w:ascii="Times New Roman" w:hAnsi="Times New Roman" w:cs="Times New Roman"/>
          <w:sz w:val="20"/>
          <w:szCs w:val="20"/>
        </w:rPr>
        <w:t xml:space="preserve"> - ответа на этот вопрос должно быть достаточно для того, чтобы уже сделать определенные выводы.</w:t>
      </w:r>
    </w:p>
    <w:p w:rsidR="00C34FD2" w:rsidRPr="0019095F" w:rsidRDefault="00C34FD2" w:rsidP="00C34FD2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Каждый вопрос должен касаться одного конкретного аспекта. Если то, о чем необходимо спросить респондента, складывается из нескольких факторов, то про каждый фактор необходимо спрашивать отдельно. Например, нельзя одним вопросом просить оценить "надежность" и "безопасность" одновременно. Также не рекомендуется просить оценить такую сложную характеристику как «удобство» помещения – этот вопрос должен быть разложен на составляющие: яркость освещения, шумность, достаточность кресел и т.п.</w:t>
      </w:r>
    </w:p>
    <w:p w:rsidR="00C34FD2" w:rsidRPr="0019095F" w:rsidRDefault="00C34FD2" w:rsidP="00C34FD2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Нежелательно употребление малораспространенных, малопонятных слов, жаргонизмов и специальных терминов, если это не является.</w:t>
      </w:r>
    </w:p>
    <w:p w:rsidR="00C34FD2" w:rsidRPr="0019095F" w:rsidRDefault="00C34FD2" w:rsidP="00C34FD2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Вопросы должны быть четкими, лаконичными и максимально краткими. При необходимости вопрос может сопровождаться пояснением, но сама формулировка должна оставаться лаконичной.</w:t>
      </w:r>
    </w:p>
    <w:p w:rsidR="00C34FD2" w:rsidRPr="0019095F" w:rsidRDefault="00C34FD2" w:rsidP="00C34FD2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Вопросы должны быть конкретными, а не абстрактными. </w:t>
      </w:r>
    </w:p>
    <w:p w:rsidR="00C34FD2" w:rsidRPr="0019095F" w:rsidRDefault="00C34FD2" w:rsidP="00C34FD2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Вопрос не должен быть наводящим или внушать определённый ответ, формулировка вопроса должна предотвратить получение шаблонных ответов.</w:t>
      </w:r>
    </w:p>
    <w:p w:rsidR="00C34FD2" w:rsidRPr="0019095F" w:rsidRDefault="00C34FD2" w:rsidP="00C34FD2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Вопрос не должен принуждать респондентов к психологически неприемлемым для них ответам.</w:t>
      </w:r>
    </w:p>
    <w:p w:rsidR="00C34FD2" w:rsidRPr="0019095F" w:rsidRDefault="00C34FD2" w:rsidP="00C34FD2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Язык вопросов не должен вызывать отвращение (к примеру, быть слишком экспрессивным).</w:t>
      </w:r>
    </w:p>
    <w:p w:rsidR="00C34FD2" w:rsidRPr="0019095F" w:rsidRDefault="00C34FD2" w:rsidP="00C34FD2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lastRenderedPageBreak/>
        <w:t>Недопустимы вопросы суггестивного (внушающего) характера.</w:t>
      </w:r>
    </w:p>
    <w:p w:rsidR="00C34FD2" w:rsidRPr="0019095F" w:rsidRDefault="00C34FD2" w:rsidP="00C34FD2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Необходимо учитывать </w:t>
      </w:r>
      <w:r w:rsidRPr="00E51B82">
        <w:rPr>
          <w:rFonts w:ascii="Times New Roman" w:hAnsi="Times New Roman" w:cs="Times New Roman"/>
          <w:sz w:val="20"/>
          <w:szCs w:val="20"/>
        </w:rPr>
        <w:t>эффект воронки</w:t>
      </w:r>
      <w:r w:rsidRPr="0019095F">
        <w:rPr>
          <w:rFonts w:ascii="Times New Roman" w:hAnsi="Times New Roman" w:cs="Times New Roman"/>
          <w:sz w:val="20"/>
          <w:szCs w:val="20"/>
        </w:rPr>
        <w:t>.</w:t>
      </w:r>
    </w:p>
    <w:p w:rsidR="00C34FD2" w:rsidRPr="0019095F" w:rsidRDefault="00C34FD2" w:rsidP="00C34FD2">
      <w:pPr>
        <w:pStyle w:val="a3"/>
        <w:spacing w:before="0" w:beforeAutospacing="0" w:after="0" w:afterAutospacing="0"/>
        <w:ind w:firstLine="709"/>
        <w:jc w:val="both"/>
        <w:rPr>
          <w:sz w:val="20"/>
          <w:szCs w:val="20"/>
        </w:rPr>
      </w:pPr>
      <w:r w:rsidRPr="0019095F">
        <w:rPr>
          <w:rStyle w:val="a4"/>
          <w:sz w:val="20"/>
          <w:szCs w:val="20"/>
        </w:rPr>
        <w:t>Правила формулирования ответов</w:t>
      </w:r>
    </w:p>
    <w:p w:rsidR="00C34FD2" w:rsidRPr="0019095F" w:rsidRDefault="00C34FD2" w:rsidP="00C34FD2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Варианты ответов должны включать все возможные варианты. Если нет твердой уверенности в соблюдении этого условия, то обязательно требуется добавление пункта «Другое» с пустым полем для пояснений.</w:t>
      </w:r>
    </w:p>
    <w:p w:rsidR="00C34FD2" w:rsidRPr="0019095F" w:rsidRDefault="00C34FD2" w:rsidP="00C34FD2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Недопустимо использование слишком большого числа вариантов ответов в закрытых и полузакрытых вопросах. Считается, что предельное количество вариантов ответов для одного вопроса составляет от 5 до 9.</w:t>
      </w:r>
    </w:p>
    <w:p w:rsidR="00C34FD2" w:rsidRPr="0019095F" w:rsidRDefault="00C34FD2" w:rsidP="00C34FD2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Нельзя в качестве вариантов ответов использовать неоднозначные определения – такие как «качество», «дизайн» или «удобство», при выборе этих ответов респонденты могут подразумевать принципиально различные вещи.</w:t>
      </w:r>
    </w:p>
    <w:p w:rsidR="00C34FD2" w:rsidRPr="0019095F" w:rsidRDefault="00C34FD2" w:rsidP="0019095F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Необходимо учитывать ошибку расположения (</w:t>
      </w:r>
      <w:proofErr w:type="spellStart"/>
      <w:r w:rsidRPr="0019095F">
        <w:rPr>
          <w:rFonts w:ascii="Times New Roman" w:hAnsi="Times New Roman" w:cs="Times New Roman"/>
          <w:sz w:val="20"/>
          <w:szCs w:val="20"/>
        </w:rPr>
        <w:t>order</w:t>
      </w:r>
      <w:proofErr w:type="spellEnd"/>
      <w:r w:rsidRPr="001909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95F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1909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95F">
        <w:rPr>
          <w:rFonts w:ascii="Times New Roman" w:hAnsi="Times New Roman" w:cs="Times New Roman"/>
          <w:sz w:val="20"/>
          <w:szCs w:val="20"/>
        </w:rPr>
        <w:t>position</w:t>
      </w:r>
      <w:proofErr w:type="spellEnd"/>
      <w:r w:rsidRPr="001909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95F">
        <w:rPr>
          <w:rFonts w:ascii="Times New Roman" w:hAnsi="Times New Roman" w:cs="Times New Roman"/>
          <w:sz w:val="20"/>
          <w:szCs w:val="20"/>
        </w:rPr>
        <w:t>bias</w:t>
      </w:r>
      <w:proofErr w:type="spellEnd"/>
      <w:r w:rsidRPr="0019095F">
        <w:rPr>
          <w:rFonts w:ascii="Times New Roman" w:hAnsi="Times New Roman" w:cs="Times New Roman"/>
          <w:sz w:val="20"/>
          <w:szCs w:val="20"/>
        </w:rPr>
        <w:t xml:space="preserve">) — это тенденция респондентов к выбору варианта ответа просто из-за его очередности в списке. </w:t>
      </w:r>
      <w:proofErr w:type="gramStart"/>
      <w:r w:rsidRPr="0019095F">
        <w:rPr>
          <w:rFonts w:ascii="Times New Roman" w:hAnsi="Times New Roman" w:cs="Times New Roman"/>
          <w:sz w:val="20"/>
          <w:szCs w:val="20"/>
        </w:rPr>
        <w:t>Опрашиваемые</w:t>
      </w:r>
      <w:proofErr w:type="gramEnd"/>
      <w:r w:rsidRPr="0019095F">
        <w:rPr>
          <w:rFonts w:ascii="Times New Roman" w:hAnsi="Times New Roman" w:cs="Times New Roman"/>
          <w:sz w:val="20"/>
          <w:szCs w:val="20"/>
        </w:rPr>
        <w:t xml:space="preserve"> имеют тенденцию отмечать первый или последний вариант ответа, причем чаще первый. Для числового ряда (количество или цена) наблюдается смещение в сторону значения, расположенного в середине списка вариантов ответа. Для контроля искажения ответа следует разработать несколько форм, в которых порядок перечисления вариантов отличается. Каждый вариант должен по одному разу быть в начале, в середине, в конце и где-то между крайними точками.</w:t>
      </w:r>
    </w:p>
    <w:p w:rsidR="00C34FD2" w:rsidRPr="0019095F" w:rsidRDefault="00C34FD2" w:rsidP="0019095F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19095F">
        <w:rPr>
          <w:rFonts w:ascii="Times New Roman" w:hAnsi="Times New Roman" w:cs="Times New Roman"/>
          <w:iCs/>
          <w:sz w:val="20"/>
          <w:szCs w:val="20"/>
        </w:rPr>
        <w:t xml:space="preserve"> Правило воронки.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Подготовка респондента к наиболее важным ответам происходит при помощи постановки в начало анкеты вопросов наиболее простых, которые постепенно усложняются. Переход от </w:t>
      </w:r>
      <w:proofErr w:type="gramStart"/>
      <w:r w:rsidRPr="0019095F">
        <w:rPr>
          <w:rFonts w:ascii="Times New Roman" w:hAnsi="Times New Roman" w:cs="Times New Roman"/>
          <w:sz w:val="20"/>
          <w:szCs w:val="20"/>
        </w:rPr>
        <w:t>простых</w:t>
      </w:r>
      <w:proofErr w:type="gramEnd"/>
      <w:r w:rsidRPr="0019095F">
        <w:rPr>
          <w:rFonts w:ascii="Times New Roman" w:hAnsi="Times New Roman" w:cs="Times New Roman"/>
          <w:sz w:val="20"/>
          <w:szCs w:val="20"/>
        </w:rPr>
        <w:t xml:space="preserve"> к сложным вопросам получил название правила воронки. Его применение позволяет респондентам постепенно выработать уверенность в своей способности выступать в такой роли. В середине анкеты располагаются наиболее важные с точки зрения исследования и трудные для респондентов вопросы. Здесь же задаются вопросы, носящие наиболее явный тенденциозный или деликатный характер: факт сопряженности различных ответов позволяет надеяться, что если на более простые предшествующие вопросы респонденты отвечали свободно, без стеснения, то и на эти вопросы они смогут отвечать так же. Работа с такими вопросами - кульминационный момент в анкете. После него, если учесть возможную усталость респондента и спад интереса, ставятся наиболее простые вопросы, не требующие сильного напряжения памяти, воображения, внимания и т. п.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19095F">
        <w:rPr>
          <w:rFonts w:ascii="Times New Roman" w:hAnsi="Times New Roman" w:cs="Times New Roman"/>
          <w:iCs/>
          <w:sz w:val="20"/>
          <w:szCs w:val="20"/>
        </w:rPr>
        <w:t xml:space="preserve"> Эффект излучения</w:t>
      </w:r>
    </w:p>
    <w:p w:rsidR="00C34FD2" w:rsidRPr="0019095F" w:rsidRDefault="00C34FD2" w:rsidP="0019095F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Принцип расположения вопросов по мере нарастания их сложности, а затем убывания не лишен и определенных недостатков. Но не только предполагает, что респонденты в своих рассуждениях о предмете опроса будут придерживаться той же системы координат, что и социолог, но и не учитывает, что каждый вопрос воспринимается не сам по себе, не изолированно, а в контексте с другими. Таким образом, признать, что ответы на простые вопросы служат только получению ответов и для респондента оказываются способом разминки, значит существенно упростить процесс работы с анкетой.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Когда все вопросы логически взаимосвязаны и последовательно сужают тему, у респондента возникает определенная установка, согласно которой он будет отвечать на них. Такое взаимовлияние вопросов называется эффектом излучения или эффектом эха и проявляется в том, что предшествующий вопрос (или вопросы) направляют ход мыслей респондентов в определенное русло, создают </w:t>
      </w:r>
      <w:proofErr w:type="gramStart"/>
      <w:r w:rsidRPr="0019095F">
        <w:rPr>
          <w:rFonts w:ascii="Times New Roman" w:hAnsi="Times New Roman" w:cs="Times New Roman"/>
          <w:sz w:val="20"/>
          <w:szCs w:val="20"/>
        </w:rPr>
        <w:t>некоторую</w:t>
      </w:r>
      <w:proofErr w:type="gramEnd"/>
      <w:r w:rsidRPr="0019095F">
        <w:rPr>
          <w:rFonts w:ascii="Times New Roman" w:hAnsi="Times New Roman" w:cs="Times New Roman"/>
          <w:sz w:val="20"/>
          <w:szCs w:val="20"/>
        </w:rPr>
        <w:t xml:space="preserve"> мини-систему координат, в рамках которой формулируется или выбирается вполне определенный ответ.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Для того чтобы создать и поддерживать интерес к анкете, снимать возникающее напряжение, переводить респондента от одной темы к другой, в анкете применяются специальные вопросы, получившие название </w:t>
      </w:r>
      <w:proofErr w:type="gramStart"/>
      <w:r w:rsidRPr="0019095F">
        <w:rPr>
          <w:rFonts w:ascii="Times New Roman" w:hAnsi="Times New Roman" w:cs="Times New Roman"/>
          <w:sz w:val="20"/>
          <w:szCs w:val="20"/>
        </w:rPr>
        <w:t>функционально-психологических</w:t>
      </w:r>
      <w:proofErr w:type="gramEnd"/>
      <w:r w:rsidRPr="0019095F">
        <w:rPr>
          <w:rFonts w:ascii="Times New Roman" w:hAnsi="Times New Roman" w:cs="Times New Roman"/>
          <w:sz w:val="20"/>
          <w:szCs w:val="20"/>
        </w:rPr>
        <w:t>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В отличие от содержательных вопросов, нацеленных на получение искомых сведений, и вопросов контрольных, эти сведения контролирующих, функционально-психологические вопросы служат не столько для сбора сведений, сколько для обеспечения отношений общения между исследователем и респондентами. Эти вопросы служат не только побуждением к ответам. Они содержат разнообразную информацию: пояснения и оправдания высказываний социолога, обращенные к респондентам, некоторые комментарии воспринимаются как признаки более симметричного общения, более равноправного обмена информацией.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К </w:t>
      </w:r>
      <w:proofErr w:type="gramStart"/>
      <w:r w:rsidRPr="0019095F">
        <w:rPr>
          <w:rFonts w:ascii="Times New Roman" w:hAnsi="Times New Roman" w:cs="Times New Roman"/>
          <w:sz w:val="20"/>
          <w:szCs w:val="20"/>
        </w:rPr>
        <w:t>функционально-психологическим</w:t>
      </w:r>
      <w:proofErr w:type="gramEnd"/>
      <w:r w:rsidRPr="0019095F">
        <w:rPr>
          <w:rFonts w:ascii="Times New Roman" w:hAnsi="Times New Roman" w:cs="Times New Roman"/>
          <w:sz w:val="20"/>
          <w:szCs w:val="20"/>
        </w:rPr>
        <w:t xml:space="preserve"> относятся контактные вопросы и вопросы буферные.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iCs/>
          <w:sz w:val="20"/>
          <w:szCs w:val="20"/>
        </w:rPr>
        <w:t>Контактные вопросы.</w:t>
      </w:r>
      <w:r w:rsidRPr="0019095F">
        <w:rPr>
          <w:rFonts w:ascii="Times New Roman" w:hAnsi="Times New Roman" w:cs="Times New Roman"/>
          <w:sz w:val="20"/>
          <w:szCs w:val="20"/>
        </w:rPr>
        <w:t xml:space="preserve"> Любое общение начинается с фазы адаптации (приспособления), в процессе которой социолог реализует важные цели: создает у респондентов мотивацию участия в опросе, готовит их к исследованию. Эта фаза предусматривает восприятие обращения к респондентам, знакомство с целью исследования и инструкцией о заполнении анкеты.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На основании первого (нескольких начальных) вопроса анкеты респондент вырабатывает первое впечатление о предстоящей работе. Поэтому здесь чрезвычайно важно, чтобы впечатление это было благоприятным. Как этого достичь с помощью анкетных вопросов?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Социологи осознают значение первого вопроса и стремятся сделать его наиболее простым. Первый вопрос оказывается контактным, т. е. цель его – установление контакта с респондентами. Такая особенность отдельных ответов на вопросы, как их взаимообусловленность, позволяет социологу рассчитывать, что если респондент работает с первым вопросом, он может продолжить работу и с остальными. Следовательно, первому вопросу необходимо уделить особое внимание. Он должен отвечать определенным требованиям.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Во-первых, контактный вопрос должен быть очень простым. Здесь часто используются вопросы, касающиеся сведений чисто событийного характера, например, стажа работы, района местожительства. Уместны также и вопросы о привычках, на которые отвечают чаще всего вполне откровенно, о занятиях в свободное время и т. п. В ряде случаев целесообразным оказывается вопрос об интересе респондентов к тем или иным проблемам.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lastRenderedPageBreak/>
        <w:t>Во-вторых, контактный вопрос должен быть очень общим, т. е. касаться всех респондентов. Поэтому нежелательно начинать анкету с вопроса-фильтра (даже если оставить в стороне тот факт, что наличие фильтра в начале анкеты свидетельствует об отсутствии исчерпывающей инструкции анкетеру относительно подбора респондентов, здесь важно отметить, что ответ «нет» может негативно повлиять на последующие ответы). Дело в том, что в начале общения стороны, заинтересованные в продлении контакта, открывают как можно больше того, что могло бы быть использовано в качестве их совместной характеристики, как основание для установления согласия относительно наиболее общих целей общения.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iCs/>
          <w:sz w:val="20"/>
          <w:szCs w:val="20"/>
        </w:rPr>
        <w:t>Буферные вопросы.</w:t>
      </w:r>
      <w:r w:rsidRPr="0019095F">
        <w:rPr>
          <w:rFonts w:ascii="Times New Roman" w:hAnsi="Times New Roman" w:cs="Times New Roman"/>
          <w:sz w:val="20"/>
          <w:szCs w:val="20"/>
        </w:rPr>
        <w:t xml:space="preserve"> Довольно редко анкета бывает посвящена какой-то одной теме. Но даже в рамках одной темы обсуждаются различные аспекты. Резкие и неожиданные переходы с одной темы на другую могут произвести на респондентов неблагоприятное впечатление. Ведь в обычной беседе «перепрыгивание» с темы на тему часто расценивается как показатель низкого культурного уровня человека, его невнимания к собеседнику. Такая манера не столько стремление к общению, на основе учета интересов собеседника, сколько попытка самоутверждения, самовыражения, эгоистичное домогательство – «выжать» из собеседника все, что интересует говорящего. Чтобы освободить респондента от подобных ощущений, в анкете используются так называемые буферные вопросы.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Буферные вопросы предназначены для смягчения взаимовлияния вопросов в анкете. Во-первых, как уже сказано, они играют роль своего рода «мостиков» при переходе с темы на тему. Например, после обсуждения ряда производственных проблем дается такая формулировка: «Свободное время --- это не только время, необходимое нам для восстановления затраченных на работе сил. Прежде всего, это возможность для всестороннего развития личности. Поэтому просим Вас ответить на ряд вопросов о занятиях помимо работы».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С помощью буферного вопроса (в такой функции здесь выступал не собственно вопрос, а преамбула к нему) исследователь поясняет респондентам ход своих мыслей. Тем самым он использует простое и в то же время достаточно эффективное средство для создания у них впечатлений о большей симметричности общения. С помощью таких «буферов» исследователь не просто вежливо предлагает респондентам переключить свое внимание на другую тему, но и поясняет, зачем это нужно. Например, после вопросов о досуге дается такая формулировка: «Большую часть своей жизни человек проводит на работе. Огорчения и радости, успехи и неудачи в труде небезразличны для нас. Поэтому неудивительно, что мы хотим поговорить с Вами о работе».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Во-вторых, буферные вопросы предназначены для того, чтобы нейтрализовать эффект излучения. В таком случае в качестве буферных могут выступать любые содержательные вопросы, не связанные непосредственно с тем предметом, который обсуждается в вопросах, взаимовлияние которых предполагает социолог.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Завершая обсуждение значения функционально-психологических вопросов в конструкции анкеты, отметим: как и любые другие, их формулировки могут оказаться небезразличными для респондентов и, следовательно, влиять на содержание и наличие их ответов. Знание социологом, что тот или иной вопрос выступает как функционально-психологический, еще не обеспечивает того, что он исполнит свою роль так, как предполагается</w:t>
      </w:r>
      <w:proofErr w:type="gramStart"/>
      <w:r w:rsidRPr="0019095F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19095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9095F">
        <w:rPr>
          <w:rFonts w:ascii="Times New Roman" w:hAnsi="Times New Roman" w:cs="Times New Roman"/>
          <w:sz w:val="20"/>
          <w:szCs w:val="20"/>
        </w:rPr>
        <w:t>ч</w:t>
      </w:r>
      <w:proofErr w:type="gramEnd"/>
      <w:r w:rsidRPr="0019095F">
        <w:rPr>
          <w:rFonts w:ascii="Times New Roman" w:hAnsi="Times New Roman" w:cs="Times New Roman"/>
          <w:sz w:val="20"/>
          <w:szCs w:val="20"/>
        </w:rPr>
        <w:t>тобы предположения социолога оправдались, необходимо проводить специальные методические эксперименты в этой области.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Разрабатывая текст анкеты, следует избегать однообразия используемых типов и форм вопросов, помнить, что каждый из них имеет свои достоинства и недостатки. Не следует забывать при этом и о последующей обработке анкетных данных. Открытые вопросы, скажем, предпочтительнее закрытых, если важно выявить все нюансы мнений респондентов, но полученную на их основе информацию трудно будет формализовать и обработать. Закрытые вопросы, особенно в форме «меню», шкал, таблиц и дихотомий, более удобные для обработки, но не дают гарантии учета полноты </w:t>
      </w:r>
      <w:proofErr w:type="spellStart"/>
      <w:r w:rsidRPr="0019095F">
        <w:rPr>
          <w:rFonts w:ascii="Times New Roman" w:hAnsi="Times New Roman" w:cs="Times New Roman"/>
          <w:sz w:val="20"/>
          <w:szCs w:val="20"/>
        </w:rPr>
        <w:t>респондентских</w:t>
      </w:r>
      <w:proofErr w:type="spellEnd"/>
      <w:r w:rsidRPr="0019095F">
        <w:rPr>
          <w:rFonts w:ascii="Times New Roman" w:hAnsi="Times New Roman" w:cs="Times New Roman"/>
          <w:sz w:val="20"/>
          <w:szCs w:val="20"/>
        </w:rPr>
        <w:t xml:space="preserve"> оценок. 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Важно подчеркнуть необходимость соблюдения правила системности анкеты. Это нужно, чтобы использовать в научных целях информацию не только по отдельным вопросам, но и ту, которая обнаруживается при осмыслении всех вопросов как взаимодействующих структур, а всех ответов на них как взаимодействующих элементов. 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Постановка в анкете контрольных вопросов (в том числе «ловушек») не освобождает ее составителя от логической </w:t>
      </w:r>
      <w:proofErr w:type="spellStart"/>
      <w:r w:rsidRPr="0019095F">
        <w:rPr>
          <w:rFonts w:ascii="Times New Roman" w:hAnsi="Times New Roman" w:cs="Times New Roman"/>
          <w:sz w:val="20"/>
          <w:szCs w:val="20"/>
        </w:rPr>
        <w:t>выверенности</w:t>
      </w:r>
      <w:proofErr w:type="spellEnd"/>
      <w:r w:rsidRPr="0019095F">
        <w:rPr>
          <w:rFonts w:ascii="Times New Roman" w:hAnsi="Times New Roman" w:cs="Times New Roman"/>
          <w:sz w:val="20"/>
          <w:szCs w:val="20"/>
        </w:rPr>
        <w:t xml:space="preserve"> последовательности вопросов, обеспечивающей их взаимоконтроль. Традиционная для социологического анкетирования логика построения вопросников строится на принципе «от общего к частностям», при </w:t>
      </w:r>
      <w:proofErr w:type="gramStart"/>
      <w:r w:rsidRPr="0019095F">
        <w:rPr>
          <w:rFonts w:ascii="Times New Roman" w:hAnsi="Times New Roman" w:cs="Times New Roman"/>
          <w:sz w:val="20"/>
          <w:szCs w:val="20"/>
        </w:rPr>
        <w:t>которой</w:t>
      </w:r>
      <w:proofErr w:type="gramEnd"/>
      <w:r w:rsidRPr="0019095F">
        <w:rPr>
          <w:rFonts w:ascii="Times New Roman" w:hAnsi="Times New Roman" w:cs="Times New Roman"/>
          <w:sz w:val="20"/>
          <w:szCs w:val="20"/>
        </w:rPr>
        <w:t xml:space="preserve"> последующие вопросы играют роль контрольных по отношению к предыдущим. Но иногда целесообразно руководствоваться противоположным принципом – «от частностей к общему». 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Анкета (расследование) является одним из условий получения объективно значимых результатов </w:t>
      </w:r>
      <w:proofErr w:type="gramStart"/>
      <w:r w:rsidRPr="0019095F">
        <w:rPr>
          <w:rFonts w:ascii="Times New Roman" w:hAnsi="Times New Roman" w:cs="Times New Roman"/>
          <w:sz w:val="20"/>
          <w:szCs w:val="20"/>
        </w:rPr>
        <w:t>о</w:t>
      </w:r>
      <w:proofErr w:type="gramEnd"/>
      <w:r w:rsidRPr="0019095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9095F">
        <w:rPr>
          <w:rFonts w:ascii="Times New Roman" w:hAnsi="Times New Roman" w:cs="Times New Roman"/>
          <w:sz w:val="20"/>
          <w:szCs w:val="20"/>
        </w:rPr>
        <w:t>различного</w:t>
      </w:r>
      <w:proofErr w:type="gramEnd"/>
      <w:r w:rsidRPr="0019095F">
        <w:rPr>
          <w:rFonts w:ascii="Times New Roman" w:hAnsi="Times New Roman" w:cs="Times New Roman"/>
          <w:sz w:val="20"/>
          <w:szCs w:val="20"/>
        </w:rPr>
        <w:t xml:space="preserve"> рода опросах населения. Поэтому разработке анкеты социологи придают особое значение. Созданию анкеты предшествует длительный этап разработки программы исследований, так как в анкету закладываются гипотезы, сформулированные задачи, которые предстоит решить в ходе социологического исследования.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Следует помнить, что при разработке анкеты исследования встречаются трудности, которые социолог непременно должен себе представлять. Если не учитывать особенностей формулировки вопросов в анкете, то даже при соблюдении всех остальных требований методики социологического исследования можно получить ошибочные результаты.</w:t>
      </w:r>
    </w:p>
    <w:p w:rsidR="00C34FD2" w:rsidRPr="0019095F" w:rsidRDefault="00C34FD2" w:rsidP="0019095F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 Композиция анкеты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Рассмотрим конкретно композицию анкеты:</w:t>
      </w:r>
    </w:p>
    <w:p w:rsidR="00C34FD2" w:rsidRPr="0019095F" w:rsidRDefault="00C34FD2" w:rsidP="0019095F">
      <w:pPr>
        <w:pStyle w:val="a6"/>
        <w:numPr>
          <w:ilvl w:val="0"/>
          <w:numId w:val="5"/>
        </w:numPr>
        <w:tabs>
          <w:tab w:val="clear" w:pos="1211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Титульный лист;</w:t>
      </w:r>
      <w:r w:rsidR="0019095F">
        <w:rPr>
          <w:rFonts w:ascii="Times New Roman" w:hAnsi="Times New Roman" w:cs="Times New Roman"/>
          <w:sz w:val="20"/>
          <w:szCs w:val="20"/>
        </w:rPr>
        <w:t>2.</w:t>
      </w:r>
      <w:r w:rsidRPr="0019095F">
        <w:rPr>
          <w:rFonts w:ascii="Times New Roman" w:hAnsi="Times New Roman" w:cs="Times New Roman"/>
          <w:sz w:val="20"/>
          <w:szCs w:val="20"/>
        </w:rPr>
        <w:t>Водная часть;</w:t>
      </w:r>
      <w:r w:rsidR="0019095F">
        <w:rPr>
          <w:rFonts w:ascii="Times New Roman" w:hAnsi="Times New Roman" w:cs="Times New Roman"/>
          <w:sz w:val="20"/>
          <w:szCs w:val="20"/>
        </w:rPr>
        <w:t xml:space="preserve"> 3.</w:t>
      </w:r>
      <w:r w:rsidRPr="0019095F">
        <w:rPr>
          <w:rFonts w:ascii="Times New Roman" w:hAnsi="Times New Roman" w:cs="Times New Roman"/>
          <w:sz w:val="20"/>
          <w:szCs w:val="20"/>
        </w:rPr>
        <w:t>Основная (содержательная часть);</w:t>
      </w:r>
      <w:r w:rsidR="0019095F">
        <w:rPr>
          <w:rFonts w:ascii="Times New Roman" w:hAnsi="Times New Roman" w:cs="Times New Roman"/>
          <w:sz w:val="20"/>
          <w:szCs w:val="20"/>
        </w:rPr>
        <w:t>4.</w:t>
      </w:r>
      <w:r w:rsidRPr="0019095F">
        <w:rPr>
          <w:rFonts w:ascii="Times New Roman" w:hAnsi="Times New Roman" w:cs="Times New Roman"/>
          <w:sz w:val="20"/>
          <w:szCs w:val="20"/>
        </w:rPr>
        <w:t>Социально – демографическая часть.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>Во вводной части описывается цель исследования, характер использования результатов, а также способ заполнения анкеты.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9095F">
        <w:rPr>
          <w:rFonts w:ascii="Times New Roman" w:hAnsi="Times New Roman" w:cs="Times New Roman"/>
          <w:sz w:val="20"/>
          <w:szCs w:val="20"/>
        </w:rPr>
        <w:t xml:space="preserve">Основная часть анкеты содержит блоки вопросов к </w:t>
      </w:r>
      <w:proofErr w:type="gramStart"/>
      <w:r w:rsidRPr="0019095F">
        <w:rPr>
          <w:rFonts w:ascii="Times New Roman" w:hAnsi="Times New Roman" w:cs="Times New Roman"/>
          <w:sz w:val="20"/>
          <w:szCs w:val="20"/>
        </w:rPr>
        <w:t>опрашиваемым</w:t>
      </w:r>
      <w:proofErr w:type="gramEnd"/>
      <w:r w:rsidRPr="0019095F">
        <w:rPr>
          <w:rFonts w:ascii="Times New Roman" w:hAnsi="Times New Roman" w:cs="Times New Roman"/>
          <w:sz w:val="20"/>
          <w:szCs w:val="20"/>
        </w:rPr>
        <w:t>.</w:t>
      </w:r>
    </w:p>
    <w:p w:rsidR="00C34FD2" w:rsidRPr="0019095F" w:rsidRDefault="00C34FD2" w:rsidP="00C34FD2">
      <w:pPr>
        <w:pStyle w:val="a6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19095F">
        <w:rPr>
          <w:rFonts w:ascii="Times New Roman" w:hAnsi="Times New Roman" w:cs="Times New Roman"/>
          <w:sz w:val="20"/>
          <w:szCs w:val="20"/>
        </w:rPr>
        <w:t>Как правило, хорошо разработанная анкета может быть заполнена опрашиваемым в течение не более 30 минут.</w:t>
      </w:r>
      <w:proofErr w:type="gramEnd"/>
      <w:r w:rsidRPr="0019095F">
        <w:rPr>
          <w:rFonts w:ascii="Times New Roman" w:hAnsi="Times New Roman" w:cs="Times New Roman"/>
          <w:sz w:val="20"/>
          <w:szCs w:val="20"/>
        </w:rPr>
        <w:t xml:space="preserve"> В дальнейшем наступает психологический порог </w:t>
      </w:r>
      <w:proofErr w:type="gramStart"/>
      <w:r w:rsidRPr="0019095F">
        <w:rPr>
          <w:rFonts w:ascii="Times New Roman" w:hAnsi="Times New Roman" w:cs="Times New Roman"/>
          <w:sz w:val="20"/>
          <w:szCs w:val="20"/>
        </w:rPr>
        <w:t>утомляемости</w:t>
      </w:r>
      <w:proofErr w:type="gramEnd"/>
      <w:r w:rsidRPr="0019095F">
        <w:rPr>
          <w:rFonts w:ascii="Times New Roman" w:hAnsi="Times New Roman" w:cs="Times New Roman"/>
          <w:sz w:val="20"/>
          <w:szCs w:val="20"/>
        </w:rPr>
        <w:t xml:space="preserve"> и внимание к заполняемой анкете значительно снижается.</w:t>
      </w:r>
    </w:p>
    <w:p w:rsidR="00694DB6" w:rsidRPr="0019095F" w:rsidRDefault="00694DB6">
      <w:pPr>
        <w:rPr>
          <w:rFonts w:ascii="Times New Roman" w:hAnsi="Times New Roman" w:cs="Times New Roman"/>
          <w:sz w:val="20"/>
          <w:szCs w:val="20"/>
        </w:rPr>
      </w:pPr>
    </w:p>
    <w:sectPr w:rsidR="00694DB6" w:rsidRPr="0019095F" w:rsidSect="002B10E0">
      <w:footerReference w:type="default" r:id="rId7"/>
      <w:pgSz w:w="11906" w:h="16838"/>
      <w:pgMar w:top="720" w:right="720" w:bottom="720" w:left="720" w:header="340" w:footer="3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57A6" w:rsidRDefault="001357A6" w:rsidP="002B10E0">
      <w:pPr>
        <w:spacing w:after="0" w:line="240" w:lineRule="auto"/>
      </w:pPr>
      <w:r>
        <w:separator/>
      </w:r>
    </w:p>
  </w:endnote>
  <w:endnote w:type="continuationSeparator" w:id="0">
    <w:p w:rsidR="001357A6" w:rsidRDefault="001357A6" w:rsidP="002B1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7423407"/>
      <w:docPartObj>
        <w:docPartGallery w:val="Page Numbers (Bottom of Page)"/>
        <w:docPartUnique/>
      </w:docPartObj>
    </w:sdtPr>
    <w:sdtContent>
      <w:p w:rsidR="002B10E0" w:rsidRDefault="00E1088F">
        <w:pPr>
          <w:pStyle w:val="aa"/>
          <w:jc w:val="center"/>
        </w:pPr>
        <w:fldSimple w:instr=" PAGE   \* MERGEFORMAT ">
          <w:r w:rsidR="00E51B82">
            <w:rPr>
              <w:noProof/>
            </w:rPr>
            <w:t>1</w:t>
          </w:r>
        </w:fldSimple>
      </w:p>
    </w:sdtContent>
  </w:sdt>
  <w:p w:rsidR="002B10E0" w:rsidRDefault="002B10E0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57A6" w:rsidRDefault="001357A6" w:rsidP="002B10E0">
      <w:pPr>
        <w:spacing w:after="0" w:line="240" w:lineRule="auto"/>
      </w:pPr>
      <w:r>
        <w:separator/>
      </w:r>
    </w:p>
  </w:footnote>
  <w:footnote w:type="continuationSeparator" w:id="0">
    <w:p w:rsidR="001357A6" w:rsidRDefault="001357A6" w:rsidP="002B1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66704"/>
    <w:multiLevelType w:val="multilevel"/>
    <w:tmpl w:val="A8A6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F35AB5"/>
    <w:multiLevelType w:val="hybridMultilevel"/>
    <w:tmpl w:val="38AC97C8"/>
    <w:lvl w:ilvl="0" w:tplc="505EB82E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43C22FD"/>
    <w:multiLevelType w:val="singleLevel"/>
    <w:tmpl w:val="505EB82E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</w:abstractNum>
  <w:abstractNum w:abstractNumId="3">
    <w:nsid w:val="3C22364C"/>
    <w:multiLevelType w:val="hybridMultilevel"/>
    <w:tmpl w:val="9A9E2C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4BC628C6"/>
    <w:multiLevelType w:val="multilevel"/>
    <w:tmpl w:val="C14E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1704E2"/>
    <w:multiLevelType w:val="hybridMultilevel"/>
    <w:tmpl w:val="069876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4FD2"/>
    <w:rsid w:val="000117E4"/>
    <w:rsid w:val="00013659"/>
    <w:rsid w:val="0005106E"/>
    <w:rsid w:val="000822D4"/>
    <w:rsid w:val="0008274B"/>
    <w:rsid w:val="000851A6"/>
    <w:rsid w:val="00087E1A"/>
    <w:rsid w:val="000907DF"/>
    <w:rsid w:val="000C571A"/>
    <w:rsid w:val="000C7613"/>
    <w:rsid w:val="000D06A2"/>
    <w:rsid w:val="000D3012"/>
    <w:rsid w:val="000E498D"/>
    <w:rsid w:val="000E5769"/>
    <w:rsid w:val="000F14AE"/>
    <w:rsid w:val="00100AE8"/>
    <w:rsid w:val="00106C2F"/>
    <w:rsid w:val="00123506"/>
    <w:rsid w:val="001357A6"/>
    <w:rsid w:val="00151651"/>
    <w:rsid w:val="00152744"/>
    <w:rsid w:val="00157ABA"/>
    <w:rsid w:val="001610FD"/>
    <w:rsid w:val="0016290C"/>
    <w:rsid w:val="00174746"/>
    <w:rsid w:val="00186F32"/>
    <w:rsid w:val="0019095F"/>
    <w:rsid w:val="00190EB7"/>
    <w:rsid w:val="001B49CA"/>
    <w:rsid w:val="001D4B65"/>
    <w:rsid w:val="001E03C8"/>
    <w:rsid w:val="001E18ED"/>
    <w:rsid w:val="001E7D6D"/>
    <w:rsid w:val="001F0D21"/>
    <w:rsid w:val="001F7D6D"/>
    <w:rsid w:val="00200CBF"/>
    <w:rsid w:val="00221F62"/>
    <w:rsid w:val="00236D8E"/>
    <w:rsid w:val="0024196A"/>
    <w:rsid w:val="00242C1F"/>
    <w:rsid w:val="00261067"/>
    <w:rsid w:val="002659E9"/>
    <w:rsid w:val="00290588"/>
    <w:rsid w:val="002972EB"/>
    <w:rsid w:val="002A322E"/>
    <w:rsid w:val="002B10E0"/>
    <w:rsid w:val="002B6BB9"/>
    <w:rsid w:val="002C2FEB"/>
    <w:rsid w:val="002C4B2D"/>
    <w:rsid w:val="002C63C5"/>
    <w:rsid w:val="002D3E53"/>
    <w:rsid w:val="002D4227"/>
    <w:rsid w:val="002E6CE6"/>
    <w:rsid w:val="002F6FBF"/>
    <w:rsid w:val="00307DE4"/>
    <w:rsid w:val="00321344"/>
    <w:rsid w:val="00321761"/>
    <w:rsid w:val="0032356A"/>
    <w:rsid w:val="00350A16"/>
    <w:rsid w:val="00362C1B"/>
    <w:rsid w:val="00363908"/>
    <w:rsid w:val="00372870"/>
    <w:rsid w:val="003B5969"/>
    <w:rsid w:val="003C5E7A"/>
    <w:rsid w:val="003E6607"/>
    <w:rsid w:val="003F096F"/>
    <w:rsid w:val="003F1F67"/>
    <w:rsid w:val="003F43E3"/>
    <w:rsid w:val="003F6C1E"/>
    <w:rsid w:val="00405B3D"/>
    <w:rsid w:val="004069DB"/>
    <w:rsid w:val="0040701D"/>
    <w:rsid w:val="00416A5F"/>
    <w:rsid w:val="00425CCF"/>
    <w:rsid w:val="00432468"/>
    <w:rsid w:val="00445EBF"/>
    <w:rsid w:val="004634C6"/>
    <w:rsid w:val="0046544C"/>
    <w:rsid w:val="004665D2"/>
    <w:rsid w:val="00477C33"/>
    <w:rsid w:val="00492667"/>
    <w:rsid w:val="0049395C"/>
    <w:rsid w:val="00497E00"/>
    <w:rsid w:val="004A3F9E"/>
    <w:rsid w:val="004A5106"/>
    <w:rsid w:val="004B47D3"/>
    <w:rsid w:val="004F4586"/>
    <w:rsid w:val="004F5596"/>
    <w:rsid w:val="004F616E"/>
    <w:rsid w:val="004F78D4"/>
    <w:rsid w:val="00510463"/>
    <w:rsid w:val="005164DC"/>
    <w:rsid w:val="00522E41"/>
    <w:rsid w:val="00525C31"/>
    <w:rsid w:val="00532E56"/>
    <w:rsid w:val="005335A5"/>
    <w:rsid w:val="00544D7E"/>
    <w:rsid w:val="0054636A"/>
    <w:rsid w:val="00554B0A"/>
    <w:rsid w:val="00571962"/>
    <w:rsid w:val="00580024"/>
    <w:rsid w:val="005B05F9"/>
    <w:rsid w:val="005B43FC"/>
    <w:rsid w:val="005B642E"/>
    <w:rsid w:val="005C0AF8"/>
    <w:rsid w:val="005C2B2E"/>
    <w:rsid w:val="005E1292"/>
    <w:rsid w:val="005E33B8"/>
    <w:rsid w:val="005F02C1"/>
    <w:rsid w:val="005F4181"/>
    <w:rsid w:val="005F72FD"/>
    <w:rsid w:val="006444BB"/>
    <w:rsid w:val="00645E6F"/>
    <w:rsid w:val="0066129C"/>
    <w:rsid w:val="00662932"/>
    <w:rsid w:val="0068418B"/>
    <w:rsid w:val="00685A56"/>
    <w:rsid w:val="00694DB6"/>
    <w:rsid w:val="006A00DD"/>
    <w:rsid w:val="006B4C10"/>
    <w:rsid w:val="006B6D0B"/>
    <w:rsid w:val="006C0CCF"/>
    <w:rsid w:val="006F1882"/>
    <w:rsid w:val="00720D5D"/>
    <w:rsid w:val="00723AA4"/>
    <w:rsid w:val="00747050"/>
    <w:rsid w:val="00753B14"/>
    <w:rsid w:val="0075425F"/>
    <w:rsid w:val="007624C0"/>
    <w:rsid w:val="0076646E"/>
    <w:rsid w:val="007724AF"/>
    <w:rsid w:val="00774214"/>
    <w:rsid w:val="00782068"/>
    <w:rsid w:val="007839CB"/>
    <w:rsid w:val="00796AA8"/>
    <w:rsid w:val="007A2CEA"/>
    <w:rsid w:val="007D1BC2"/>
    <w:rsid w:val="007F2269"/>
    <w:rsid w:val="00806F1E"/>
    <w:rsid w:val="00810411"/>
    <w:rsid w:val="00817565"/>
    <w:rsid w:val="00823065"/>
    <w:rsid w:val="00830530"/>
    <w:rsid w:val="00847D5C"/>
    <w:rsid w:val="008A10D0"/>
    <w:rsid w:val="008A38F9"/>
    <w:rsid w:val="008B52B4"/>
    <w:rsid w:val="008B6FDC"/>
    <w:rsid w:val="008C1743"/>
    <w:rsid w:val="008C7DF9"/>
    <w:rsid w:val="008E299E"/>
    <w:rsid w:val="008F394F"/>
    <w:rsid w:val="00905439"/>
    <w:rsid w:val="009127B8"/>
    <w:rsid w:val="009134CC"/>
    <w:rsid w:val="00915C3A"/>
    <w:rsid w:val="00940463"/>
    <w:rsid w:val="00967B6D"/>
    <w:rsid w:val="00997A8B"/>
    <w:rsid w:val="009B3A5E"/>
    <w:rsid w:val="009B67E2"/>
    <w:rsid w:val="009C1474"/>
    <w:rsid w:val="009E2882"/>
    <w:rsid w:val="009E3649"/>
    <w:rsid w:val="009E3735"/>
    <w:rsid w:val="009F5B2A"/>
    <w:rsid w:val="00A1716F"/>
    <w:rsid w:val="00A254C0"/>
    <w:rsid w:val="00A31058"/>
    <w:rsid w:val="00A52711"/>
    <w:rsid w:val="00A65D49"/>
    <w:rsid w:val="00A70179"/>
    <w:rsid w:val="00A70F47"/>
    <w:rsid w:val="00A8256E"/>
    <w:rsid w:val="00A83D24"/>
    <w:rsid w:val="00A8453A"/>
    <w:rsid w:val="00A8504A"/>
    <w:rsid w:val="00A8799D"/>
    <w:rsid w:val="00AA2FF1"/>
    <w:rsid w:val="00AA45C7"/>
    <w:rsid w:val="00AC12B3"/>
    <w:rsid w:val="00AC169A"/>
    <w:rsid w:val="00AC3268"/>
    <w:rsid w:val="00AD5DDA"/>
    <w:rsid w:val="00AD7CEA"/>
    <w:rsid w:val="00AE2AA3"/>
    <w:rsid w:val="00B17D56"/>
    <w:rsid w:val="00B20F36"/>
    <w:rsid w:val="00B534CD"/>
    <w:rsid w:val="00B53A6D"/>
    <w:rsid w:val="00B54353"/>
    <w:rsid w:val="00B92968"/>
    <w:rsid w:val="00BA0136"/>
    <w:rsid w:val="00BD09EC"/>
    <w:rsid w:val="00BD122B"/>
    <w:rsid w:val="00BD1A2F"/>
    <w:rsid w:val="00BD2AB0"/>
    <w:rsid w:val="00BF01C8"/>
    <w:rsid w:val="00BF45B0"/>
    <w:rsid w:val="00BF6C6A"/>
    <w:rsid w:val="00C15141"/>
    <w:rsid w:val="00C31762"/>
    <w:rsid w:val="00C34FD2"/>
    <w:rsid w:val="00C37A38"/>
    <w:rsid w:val="00C43D82"/>
    <w:rsid w:val="00C45BE1"/>
    <w:rsid w:val="00C5640F"/>
    <w:rsid w:val="00C64AFB"/>
    <w:rsid w:val="00C67520"/>
    <w:rsid w:val="00C766AB"/>
    <w:rsid w:val="00CA3738"/>
    <w:rsid w:val="00CA5895"/>
    <w:rsid w:val="00CB3E8B"/>
    <w:rsid w:val="00CC29C6"/>
    <w:rsid w:val="00CF3CBB"/>
    <w:rsid w:val="00CF70A4"/>
    <w:rsid w:val="00D0360C"/>
    <w:rsid w:val="00D10415"/>
    <w:rsid w:val="00D22BF4"/>
    <w:rsid w:val="00D44943"/>
    <w:rsid w:val="00D573BF"/>
    <w:rsid w:val="00D57CA3"/>
    <w:rsid w:val="00D81AEF"/>
    <w:rsid w:val="00DA2E86"/>
    <w:rsid w:val="00DA32EE"/>
    <w:rsid w:val="00DC2A2A"/>
    <w:rsid w:val="00DD0F37"/>
    <w:rsid w:val="00DD4ADE"/>
    <w:rsid w:val="00DE6225"/>
    <w:rsid w:val="00DF0E35"/>
    <w:rsid w:val="00DF4E70"/>
    <w:rsid w:val="00E01FC7"/>
    <w:rsid w:val="00E1088F"/>
    <w:rsid w:val="00E116EF"/>
    <w:rsid w:val="00E4206B"/>
    <w:rsid w:val="00E432BE"/>
    <w:rsid w:val="00E51B82"/>
    <w:rsid w:val="00E7252A"/>
    <w:rsid w:val="00E96B3C"/>
    <w:rsid w:val="00EA2D4B"/>
    <w:rsid w:val="00EA4F2E"/>
    <w:rsid w:val="00EA63B1"/>
    <w:rsid w:val="00EB7426"/>
    <w:rsid w:val="00EE1F10"/>
    <w:rsid w:val="00EE71BC"/>
    <w:rsid w:val="00EF6374"/>
    <w:rsid w:val="00F00A92"/>
    <w:rsid w:val="00F00DA1"/>
    <w:rsid w:val="00F036F3"/>
    <w:rsid w:val="00F2329B"/>
    <w:rsid w:val="00F24B0F"/>
    <w:rsid w:val="00F4279C"/>
    <w:rsid w:val="00F47A94"/>
    <w:rsid w:val="00F53DA8"/>
    <w:rsid w:val="00F57BCF"/>
    <w:rsid w:val="00F62997"/>
    <w:rsid w:val="00F80A6B"/>
    <w:rsid w:val="00FB67F0"/>
    <w:rsid w:val="00FC5597"/>
    <w:rsid w:val="00FF0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F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4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34FD2"/>
    <w:rPr>
      <w:b/>
      <w:bCs/>
    </w:rPr>
  </w:style>
  <w:style w:type="character" w:styleId="a5">
    <w:name w:val="Hyperlink"/>
    <w:basedOn w:val="a0"/>
    <w:unhideWhenUsed/>
    <w:rsid w:val="00C34FD2"/>
    <w:rPr>
      <w:color w:val="0000FF"/>
      <w:u w:val="single"/>
    </w:rPr>
  </w:style>
  <w:style w:type="paragraph" w:styleId="a6">
    <w:name w:val="Body Text"/>
    <w:basedOn w:val="a"/>
    <w:link w:val="a7"/>
    <w:uiPriority w:val="99"/>
    <w:unhideWhenUsed/>
    <w:rsid w:val="00C34FD2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rsid w:val="00C34FD2"/>
  </w:style>
  <w:style w:type="paragraph" w:styleId="a8">
    <w:name w:val="header"/>
    <w:basedOn w:val="a"/>
    <w:link w:val="a9"/>
    <w:uiPriority w:val="99"/>
    <w:semiHidden/>
    <w:unhideWhenUsed/>
    <w:rsid w:val="002B10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2B10E0"/>
  </w:style>
  <w:style w:type="paragraph" w:styleId="aa">
    <w:name w:val="footer"/>
    <w:basedOn w:val="a"/>
    <w:link w:val="ab"/>
    <w:uiPriority w:val="99"/>
    <w:unhideWhenUsed/>
    <w:rsid w:val="002B10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B1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327F6253CFA244D9F890B4BDB2FAF71" ma:contentTypeVersion="2" ma:contentTypeDescription="Создание документа." ma:contentTypeScope="" ma:versionID="c8419093c91ac211a4add3ebbbe51484">
  <xsd:schema xmlns:xsd="http://www.w3.org/2001/XMLSchema" xmlns:xs="http://www.w3.org/2001/XMLSchema" xmlns:p="http://schemas.microsoft.com/office/2006/metadata/properties" xmlns:ns2="061fda06-e755-4d3e-b1e8-d40b1767aeba" targetNamespace="http://schemas.microsoft.com/office/2006/metadata/properties" ma:root="true" ma:fieldsID="ae3eeac48ac2a6cbd4ea8f27b1f57192" ns2:_="">
    <xsd:import namespace="061fda06-e755-4d3e-b1e8-d40b1767ae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1fda06-e755-4d3e-b1e8-d40b1767a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839DF6-F1D6-4DDD-8F97-5FF805F80CB8}"/>
</file>

<file path=customXml/itemProps2.xml><?xml version="1.0" encoding="utf-8"?>
<ds:datastoreItem xmlns:ds="http://schemas.openxmlformats.org/officeDocument/2006/customXml" ds:itemID="{00D1F2C3-0925-4424-BA04-44A7FD27C0F1}"/>
</file>

<file path=customXml/itemProps3.xml><?xml version="1.0" encoding="utf-8"?>
<ds:datastoreItem xmlns:ds="http://schemas.openxmlformats.org/officeDocument/2006/customXml" ds:itemID="{C32C741E-86A1-40C9-8AE6-905056256E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2496</Words>
  <Characters>14231</Characters>
  <Application>Microsoft Office Word</Application>
  <DocSecurity>0</DocSecurity>
  <Lines>118</Lines>
  <Paragraphs>33</Paragraphs>
  <ScaleCrop>false</ScaleCrop>
  <Company>Microsoft</Company>
  <LinksUpToDate>false</LinksUpToDate>
  <CharactersWithSpaces>16694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2020-05-13T12:47:00Z</dcterms:created>
  <dcterms:modified xsi:type="dcterms:W3CDTF">2020-05-13T12:47:00Z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0x0101004327F6253CFA244D9F890B4BDB2FAF71</vt:lpwstr>
  </property>
</Properties>
</file>