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Segoe UI Light" w:cs="Segoe UI Light" w:eastAsia="Segoe UI Light" w:hAnsi="Segoe UI Light"/>
          <w:b/>
          <w:bCs/>
          <w:color w:val="028090"/>
          <w:sz w:val="20"/>
          <w:szCs w:val="20"/>
        </w:rPr>
        <w:t xml:space="preserve">CONTOSO INDIA PRIVATE LIMITED</w:t>
      </w:r>
    </w:p>
    <w:p>
      <w:pPr>
        <w:spacing w:after="160"/>
      </w:pPr>
      <w:r>
        <w:rPr>
          <w:rFonts w:ascii="Segoe UI Light" w:cs="Segoe UI Light" w:eastAsia="Segoe UI Light" w:hAnsi="Segoe UI Light"/>
          <w:b/>
          <w:bCs/>
          <w:color w:val="1E2761"/>
          <w:sz w:val="44"/>
          <w:szCs w:val="44"/>
        </w:rPr>
        <w:t xml:space="preserve">Business Travel &amp; Entertainment Policy</w:t>
      </w:r>
    </w:p>
    <w:tbl>
      <w:tblPr>
        <w:tblW w:type="pct" w:w="100%"/>
        <w:tblBorders>
          <w:top w:val="single" w:color="D9D9D9" w:sz="4"/>
          <w:left w:val="none"/>
          <w:bottom w:val="single" w:color="D9D9D9" w:sz="4"/>
          <w:right w:val="none"/>
          <w:insideH w:val="single" w:color="D9D9D9" w:sz="4"/>
          <w:insideV w:val="none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POLICY NO.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FIN-022</w:t>
            </w:r>
          </w:p>
        </w:tc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EFFECTIVE DATE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January 1, 2026</w:t>
            </w:r>
          </w:p>
        </w:tc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5A6478"/>
                <w:sz w:val="15"/>
                <w:szCs w:val="15"/>
              </w:rPr>
              <w:t xml:space="preserve">POLICY OWNER</w:t>
            </w:r>
          </w:p>
          <w:p>
            <w:r>
              <w:rPr>
                <w:rFonts w:ascii="Segoe UI Light" w:cs="Segoe UI Light" w:eastAsia="Segoe UI Light" w:hAnsi="Segoe UI Light"/>
                <w:color w:val="1E2761"/>
                <w:sz w:val="19"/>
                <w:szCs w:val="19"/>
              </w:rPr>
              <w:t xml:space="preserve">Finance Operations Team</w:t>
            </w:r>
          </w:p>
        </w:tc>
      </w:tr>
    </w:tbl>
    <w:p>
      <w:pPr>
        <w:spacing w:after="200"/>
      </w:pP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1. Purpose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This policy explains how to book and claim for business travel, accommodation, and client entertainment, so trips are safe, fairly priced, and easy to approve.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2. Scope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This policy applies to all Contoso India employees travelling within India or abroad for business. It works alongside the Expense Reimbursement Policy (FIN-014).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3. Booking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Book all flights, trains, and hotels through the Contoso travel desk or the approved travel partner — not directly with airlines or hotels — so trips are covered by travel insurance and negotiated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Book domestic trips at least 7 days in advance, and international trips at least 14 days in advance, wherever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Get your manager's approval in Concur before booking any trip.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4. Travel Class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30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Domestic Flight</w:t>
            </w:r>
          </w:p>
        </w:tc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Rail</w:t>
            </w:r>
          </w:p>
        </w:tc>
        <w:tc>
          <w:tcPr>
            <w:tcW w:type="dxa" w:w="3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International Flight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Associate / Senior Associate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Economy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AC 2-tier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Economy</w:t>
            </w:r>
          </w:p>
        </w:tc>
      </w:tr>
      <w:tr>
        <w:tc>
          <w:tcPr>
            <w:tcW w:type="dxa" w:w="26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Manager / Senior Manager</w:t>
            </w:r>
          </w:p>
        </w:tc>
        <w:tc>
          <w:tcPr>
            <w:tcW w:type="dxa" w:w="26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Economy</w:t>
            </w:r>
          </w:p>
        </w:tc>
        <w:tc>
          <w:tcPr>
            <w:tcW w:type="dxa" w:w="26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AC 2-tier</w:t>
            </w:r>
          </w:p>
        </w:tc>
        <w:tc>
          <w:tcPr>
            <w:tcW w:type="dxa" w:w="3000"/>
            <w:shd w:fill="F5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Economy (Premium Economy over 6 hours)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Director and above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Economy (Business over 3 hours with approval)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AC First Class / Executive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 Light" w:cs="Segoe UI Light" w:eastAsia="Segoe UI Light" w:hAnsi="Segoe UI Light"/>
                <w:color w:val="212121"/>
                <w:sz w:val="19"/>
                <w:szCs w:val="19"/>
              </w:rPr>
              <w:t xml:space="preserve">Business over 6 hours</w:t>
            </w:r>
          </w:p>
        </w:tc>
      </w:tr>
    </w:tbl>
    <w:p>
      <w:pPr>
        <w:spacing w:after="160"/>
      </w:pP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5. Accommodation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Stay at a hotel on Contoso's approved list where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Nightly caps: up to ₹8,000 in Tier 1 cities (for example, Mumbai, Delhi NCR, Bengaluru, Hyderabad, Chennai, Pune, Kolkata); up to ₹5,000 in other Indian cities; up to ₹15,000 for international stays.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Going over the cap needs your manager's approval before you book, for example where the approved hotel list has no rooms available.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6. Daily Allowance &amp; Ground Transport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A daily allowance covers meals not otherwise provided: ₹1,500 per day for domestic travel, ₹4,000 per day (or the local currency equivalent) for international travel.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Prefer app-based cabs, company cars, or public transport for local travel; keep receipts.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Mileage for an approved trip in your own vehicle is reimbursed at the rate set by Finance and published on the intranet.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7. Visa, Forex &amp; Travel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Visa fees for approved international trips are reimbursed with receipts; the travel desk can help with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A forex card is arranged through Contoso's forex partner for international trips; personal currency exchange is reimbursed only if the forex card was not available in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Travel insurance is arranged and paid for by Contoso for every international business trip — do not book your own.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8. What You Cannot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Personal side-trips, sightseeing, or extending a trip for personal reasons.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Travel costs for family members or companions.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Excess baggage for personal items, or traffic and parking fines.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9. Submitting Claims</w:t>
      </w:r>
    </w:p>
    <w:p>
      <w:pPr>
        <w:spacing w:after="140"/>
        <w:jc w:val="left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Submit your travel claim in Concur within 15 days of returning, with itemized receipts and GST-compliant tax invoices where the vendor is GST-registered. Reimbursement follows the timelines in the Expense Reimbursement Policy.</w:t>
      </w:r>
    </w:p>
    <w:p>
      <w:pPr>
        <w:pBdr>
          <w:bottom w:val="single" w:color="CADCFC" w:sz="4" w:space="4"/>
        </w:pBdr>
        <w:spacing w:after="120" w:before="280"/>
      </w:pPr>
      <w:r>
        <w:rPr>
          <w:rFonts w:ascii="Segoe UI Light" w:cs="Segoe UI Light" w:eastAsia="Segoe UI Light" w:hAnsi="Segoe UI Light"/>
          <w:b/>
          <w:bCs/>
          <w:color w:val="1E2761"/>
          <w:sz w:val="26"/>
          <w:szCs w:val="26"/>
        </w:rPr>
        <w:t xml:space="preserve">Related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Expense Reimbursement Policy (FIN-014)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Corporate Card Program Guidelines (FIN-018)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 Light" w:cs="Segoe UI Light" w:eastAsia="Segoe UI Light" w:hAnsi="Segoe UI Light"/>
          <w:color w:val="212121"/>
          <w:sz w:val="21"/>
          <w:szCs w:val="21"/>
        </w:rPr>
        <w:t xml:space="preserve">Code of Conduct (HR-020)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 Light" w:cs="Segoe UI Light" w:eastAsia="Segoe UI Light" w:hAnsi="Segoe UI Ligh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2026-09-24T10:02:41.865Z</dcterms:created>
  <dcterms:modified xsi:type="dcterms:W3CDTF">2026-09-24T10:02:41.865Z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