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Segoe UI Light" w:cs="Segoe UI Light" w:eastAsia="Segoe UI Light" w:hAnsi="Segoe UI Light"/>
          <w:b/>
          <w:bCs/>
          <w:color w:val="028090"/>
          <w:sz w:val="20"/>
          <w:szCs w:val="20"/>
        </w:rPr>
        <w:t xml:space="preserve">CONTOSO INDIA PRIVATE LIMITED</w:t>
      </w:r>
    </w:p>
    <w:p>
      <w:pPr>
        <w:spacing w:after="160"/>
      </w:pPr>
      <w:r>
        <w:rPr>
          <w:rFonts w:ascii="Segoe UI Light" w:cs="Segoe UI Light" w:eastAsia="Segoe UI Light" w:hAnsi="Segoe UI Light"/>
          <w:b/>
          <w:bCs/>
          <w:color w:val="1E2761"/>
          <w:sz w:val="44"/>
          <w:szCs w:val="44"/>
        </w:rPr>
        <w:t xml:space="preserve">Corporate Card Program Guidelines</w:t>
      </w:r>
    </w:p>
    <w:tbl>
      <w:tblPr>
        <w:tblW w:type="pct" w:w="100%"/>
        <w:tblBorders>
          <w:top w:val="single" w:color="D9D9D9" w:sz="4"/>
          <w:left w:val="none"/>
          <w:bottom w:val="single" w:color="D9D9D9" w:sz="4"/>
          <w:right w:val="none"/>
          <w:insideH w:val="single" w:color="D9D9D9" w:sz="4"/>
          <w:insideV w:val="none"/>
        </w:tblBorders>
      </w:tblPr>
      <w:tblGrid>
        <w:gridCol w:w="3000"/>
        <w:gridCol w:w="3000"/>
        <w:gridCol w:w="3000"/>
      </w:tblGrid>
      <w:tr>
        <w:tc>
          <w:tcPr>
            <w:tcW w:type="dxa" w:w="3000"/>
            <w:shd w:fill="F5F7FC" w:val="clear"/>
            <w:tcMar>
              <w:top w:type="dxa" w:w="100"/>
              <w:left w:type="dxa" w:w="120"/>
              <w:bottom w:type="dxa" w:w="100"/>
              <w:right w:type="dxa" w:w="120"/>
            </w:tcMar>
          </w:tcPr>
          <w:p>
            <w:r>
              <w:rPr>
                <w:rFonts w:ascii="Segoe UI Light" w:cs="Segoe UI Light" w:eastAsia="Segoe UI Light" w:hAnsi="Segoe UI Light"/>
                <w:b/>
                <w:bCs/>
                <w:color w:val="5A6478"/>
                <w:sz w:val="15"/>
                <w:szCs w:val="15"/>
              </w:rPr>
              <w:t xml:space="preserve">POLICY NO.</w:t>
            </w:r>
          </w:p>
          <w:p>
            <w:r>
              <w:rPr>
                <w:rFonts w:ascii="Segoe UI Light" w:cs="Segoe UI Light" w:eastAsia="Segoe UI Light" w:hAnsi="Segoe UI Light"/>
                <w:color w:val="1E2761"/>
                <w:sz w:val="19"/>
                <w:szCs w:val="19"/>
              </w:rPr>
              <w:t xml:space="preserve">FIN-018</w:t>
            </w:r>
          </w:p>
        </w:tc>
        <w:tc>
          <w:tcPr>
            <w:tcW w:type="dxa" w:w="3000"/>
            <w:shd w:fill="F5F7FC" w:val="clear"/>
            <w:tcMar>
              <w:top w:type="dxa" w:w="100"/>
              <w:left w:type="dxa" w:w="120"/>
              <w:bottom w:type="dxa" w:w="100"/>
              <w:right w:type="dxa" w:w="120"/>
            </w:tcMar>
          </w:tcPr>
          <w:p>
            <w:r>
              <w:rPr>
                <w:rFonts w:ascii="Segoe UI Light" w:cs="Segoe UI Light" w:eastAsia="Segoe UI Light" w:hAnsi="Segoe UI Light"/>
                <w:b/>
                <w:bCs/>
                <w:color w:val="5A6478"/>
                <w:sz w:val="15"/>
                <w:szCs w:val="15"/>
              </w:rPr>
              <w:t xml:space="preserve">EFFECTIVE DATE</w:t>
            </w:r>
          </w:p>
          <w:p>
            <w:r>
              <w:rPr>
                <w:rFonts w:ascii="Segoe UI Light" w:cs="Segoe UI Light" w:eastAsia="Segoe UI Light" w:hAnsi="Segoe UI Light"/>
                <w:color w:val="1E2761"/>
                <w:sz w:val="19"/>
                <w:szCs w:val="19"/>
              </w:rPr>
              <w:t xml:space="preserve">January 1, 2026</w:t>
            </w:r>
          </w:p>
        </w:tc>
        <w:tc>
          <w:tcPr>
            <w:tcW w:type="dxa" w:w="3000"/>
            <w:shd w:fill="F5F7FC" w:val="clear"/>
            <w:tcMar>
              <w:top w:type="dxa" w:w="100"/>
              <w:left w:type="dxa" w:w="120"/>
              <w:bottom w:type="dxa" w:w="100"/>
              <w:right w:type="dxa" w:w="120"/>
            </w:tcMar>
          </w:tcPr>
          <w:p>
            <w:r>
              <w:rPr>
                <w:rFonts w:ascii="Segoe UI Light" w:cs="Segoe UI Light" w:eastAsia="Segoe UI Light" w:hAnsi="Segoe UI Light"/>
                <w:b/>
                <w:bCs/>
                <w:color w:val="5A6478"/>
                <w:sz w:val="15"/>
                <w:szCs w:val="15"/>
              </w:rPr>
              <w:t xml:space="preserve">POLICY OWNER</w:t>
            </w:r>
          </w:p>
          <w:p>
            <w:r>
              <w:rPr>
                <w:rFonts w:ascii="Segoe UI Light" w:cs="Segoe UI Light" w:eastAsia="Segoe UI Light" w:hAnsi="Segoe UI Light"/>
                <w:color w:val="1E2761"/>
                <w:sz w:val="19"/>
                <w:szCs w:val="19"/>
              </w:rPr>
              <w:t xml:space="preserve">Finance Operations Team</w:t>
            </w:r>
          </w:p>
        </w:tc>
      </w:tr>
    </w:tbl>
    <w:p>
      <w:pPr>
        <w:spacing w:after="200"/>
      </w:pPr>
    </w:p>
    <w:p>
      <w:pPr>
        <w:pBdr>
          <w:bottom w:val="single" w:color="CADCFC" w:sz="4" w:space="4"/>
        </w:pBdr>
        <w:spacing w:after="120" w:before="280"/>
      </w:pPr>
      <w:r>
        <w:rPr>
          <w:rFonts w:ascii="Segoe UI Light" w:cs="Segoe UI Light" w:eastAsia="Segoe UI Light" w:hAnsi="Segoe UI Light"/>
          <w:b/>
          <w:bCs/>
          <w:color w:val="1E2761"/>
          <w:sz w:val="26"/>
          <w:szCs w:val="26"/>
        </w:rPr>
        <w:t xml:space="preserve">1. Purpose</w:t>
      </w:r>
    </w:p>
    <w:p>
      <w:pPr>
        <w:spacing w:after="140"/>
        <w:jc w:val="left"/>
      </w:pPr>
      <w:r>
        <w:rPr>
          <w:rFonts w:ascii="Segoe UI Light" w:cs="Segoe UI Light" w:eastAsia="Segoe UI Light" w:hAnsi="Segoe UI Light"/>
          <w:color w:val="212121"/>
          <w:sz w:val="21"/>
          <w:szCs w:val="21"/>
        </w:rPr>
        <w:t xml:space="preserve">This policy explains who can get a Contoso India corporate card, what it can be used for, and how to keep it reconciled.</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2. Scope</w:t>
      </w:r>
    </w:p>
    <w:p>
      <w:pPr>
        <w:spacing w:after="140"/>
        <w:jc w:val="left"/>
      </w:pPr>
      <w:r>
        <w:rPr>
          <w:rFonts w:ascii="Segoe UI Light" w:cs="Segoe UI Light" w:eastAsia="Segoe UI Light" w:hAnsi="Segoe UI Light"/>
          <w:color w:val="212121"/>
          <w:sz w:val="21"/>
          <w:szCs w:val="21"/>
        </w:rPr>
        <w:t xml:space="preserve">This policy applies to employees issued a Contoso India corporate card, typically those who travel frequently or manage a team or project budget.</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3. Eligibility &amp; Issuing a Card</w:t>
      </w:r>
    </w:p>
    <w:p>
      <w:pPr>
        <w:pStyle w:val="ListParagraph"/>
        <w:numPr>
          <w:ilvl w:val="0"/>
          <w:numId w:val="2"/>
        </w:numPr>
        <w:spacing w:after="80"/>
      </w:pPr>
      <w:r>
        <w:rPr>
          <w:rFonts w:ascii="Segoe UI Light" w:cs="Segoe UI Light" w:eastAsia="Segoe UI Light" w:hAnsi="Segoe UI Light"/>
          <w:color w:val="212121"/>
          <w:sz w:val="21"/>
          <w:szCs w:val="21"/>
        </w:rPr>
        <w:t xml:space="preserve">Your manager nominates you for a corporate card; Finance reviews and approves the request.</w:t>
      </w:r>
    </w:p>
    <w:p>
      <w:pPr>
        <w:pStyle w:val="ListParagraph"/>
        <w:numPr>
          <w:ilvl w:val="0"/>
          <w:numId w:val="2"/>
        </w:numPr>
        <w:spacing w:after="80"/>
      </w:pPr>
      <w:r>
        <w:rPr>
          <w:rFonts w:ascii="Segoe UI Light" w:cs="Segoe UI Light" w:eastAsia="Segoe UI Light" w:hAnsi="Segoe UI Light"/>
          <w:color w:val="212121"/>
          <w:sz w:val="21"/>
          <w:szCs w:val="21"/>
        </w:rPr>
        <w:t xml:space="preserve">Cards are issued in your name but billed directly to Contoso India; you do not pay the bill yourself.</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4. Acceptable Use</w:t>
      </w:r>
    </w:p>
    <w:p>
      <w:pPr>
        <w:pStyle w:val="ListParagraph"/>
        <w:numPr>
          <w:ilvl w:val="0"/>
          <w:numId w:val="2"/>
        </w:numPr>
        <w:spacing w:after="80"/>
      </w:pPr>
      <w:r>
        <w:rPr>
          <w:rFonts w:ascii="Segoe UI Light" w:cs="Segoe UI Light" w:eastAsia="Segoe UI Light" w:hAnsi="Segoe UI Light"/>
          <w:color w:val="212121"/>
          <w:sz w:val="21"/>
          <w:szCs w:val="21"/>
        </w:rPr>
        <w:t xml:space="preserve">Use the card only for approved business expenses: travel, client meals and entertainment, and pre-approved software or subscriptions.</w:t>
      </w:r>
    </w:p>
    <w:p>
      <w:pPr>
        <w:pStyle w:val="ListParagraph"/>
        <w:numPr>
          <w:ilvl w:val="0"/>
          <w:numId w:val="2"/>
        </w:numPr>
        <w:spacing w:after="80"/>
      </w:pPr>
      <w:r>
        <w:rPr>
          <w:rFonts w:ascii="Segoe UI Light" w:cs="Segoe UI Light" w:eastAsia="Segoe UI Light" w:hAnsi="Segoe UI Light"/>
          <w:color w:val="212121"/>
          <w:sz w:val="21"/>
          <w:szCs w:val="21"/>
        </w:rPr>
        <w:t xml:space="preserve">Do not use the card for personal purchases, cash withdrawals, or expenses for anyone outside Contoso, except pre-approved international travel cash advances.</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5. Reconciliation</w:t>
      </w:r>
    </w:p>
    <w:p>
      <w:pPr>
        <w:spacing w:after="140"/>
        <w:jc w:val="left"/>
      </w:pPr>
      <w:r>
        <w:rPr>
          <w:rFonts w:ascii="Segoe UI Light" w:cs="Segoe UI Light" w:eastAsia="Segoe UI Light" w:hAnsi="Segoe UI Light"/>
          <w:color w:val="212121"/>
          <w:sz w:val="21"/>
          <w:szCs w:val="21"/>
        </w:rPr>
        <w:t xml:space="preserve">A statement is issued every month. You must reconcile every transaction in Concur, with receipts and GST invoices attached, within 15 days of the statement date. Unreconciled transactions may be treated as a personal loan and deducted from your salary.</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6. Lost or Stolen Cards</w:t>
      </w:r>
    </w:p>
    <w:p>
      <w:pPr>
        <w:spacing w:after="140"/>
        <w:jc w:val="left"/>
      </w:pPr>
      <w:r>
        <w:rPr>
          <w:rFonts w:ascii="Segoe UI Light" w:cs="Segoe UI Light" w:eastAsia="Segoe UI Light" w:hAnsi="Segoe UI Light"/>
          <w:color w:val="212121"/>
          <w:sz w:val="21"/>
          <w:szCs w:val="21"/>
        </w:rPr>
        <w:t xml:space="preserve">If your card is lost or stolen, call the card issuer's helpline immediately to block it, and tell Finance within 24 hours.</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7. Leaving Contoso or No Longer Needing the Card</w:t>
      </w:r>
    </w:p>
    <w:p>
      <w:pPr>
        <w:spacing w:after="140"/>
        <w:jc w:val="left"/>
      </w:pPr>
      <w:r>
        <w:rPr>
          <w:rFonts w:ascii="Segoe UI Light" w:cs="Segoe UI Light" w:eastAsia="Segoe UI Light" w:hAnsi="Segoe UI Light"/>
          <w:color w:val="212121"/>
          <w:sz w:val="21"/>
          <w:szCs w:val="21"/>
        </w:rPr>
        <w:t xml:space="preserve">Surrender your corporate card to Finance when you resign, move to a role that no longer needs one, or when asked to. Final settlement of your dues may be held until the card is surrendered and fully reconciled.</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8. Non-Compliance</w:t>
      </w:r>
    </w:p>
    <w:p>
      <w:pPr>
        <w:spacing w:after="140"/>
        <w:jc w:val="left"/>
      </w:pPr>
      <w:r>
        <w:rPr>
          <w:rFonts w:ascii="Segoe UI Light" w:cs="Segoe UI Light" w:eastAsia="Segoe UI Light" w:hAnsi="Segoe UI Light"/>
          <w:color w:val="212121"/>
          <w:sz w:val="21"/>
          <w:szCs w:val="21"/>
        </w:rPr>
        <w:t xml:space="preserve">Repeated personal use, late reconciliation, or misuse of the card may lead to the card being withdrawn and disciplinary action under the Code of Conduct.</w:t>
      </w:r>
    </w:p>
    <w:p>
      <w:pPr>
        <w:pBdr>
          <w:bottom w:val="single" w:color="CADCFC" w:sz="4" w:space="4"/>
        </w:pBdr>
        <w:spacing w:after="120" w:before="280"/>
      </w:pPr>
      <w:r>
        <w:rPr>
          <w:rFonts w:ascii="Segoe UI Light" w:cs="Segoe UI Light" w:eastAsia="Segoe UI Light" w:hAnsi="Segoe UI Light"/>
          <w:b/>
          <w:bCs/>
          <w:color w:val="1E2761"/>
          <w:sz w:val="26"/>
          <w:szCs w:val="26"/>
        </w:rPr>
        <w:t xml:space="preserve">Related Policies</w:t>
      </w:r>
    </w:p>
    <w:p>
      <w:pPr>
        <w:pStyle w:val="ListParagraph"/>
        <w:numPr>
          <w:ilvl w:val="0"/>
          <w:numId w:val="2"/>
        </w:numPr>
        <w:spacing w:after="80"/>
      </w:pPr>
      <w:r>
        <w:rPr>
          <w:rFonts w:ascii="Segoe UI Light" w:cs="Segoe UI Light" w:eastAsia="Segoe UI Light" w:hAnsi="Segoe UI Light"/>
          <w:color w:val="212121"/>
          <w:sz w:val="21"/>
          <w:szCs w:val="21"/>
        </w:rPr>
        <w:t xml:space="preserve">Expense Reimbursement Policy (FIN-014)</w:t>
      </w:r>
    </w:p>
    <w:p>
      <w:pPr>
        <w:pStyle w:val="ListParagraph"/>
        <w:numPr>
          <w:ilvl w:val="0"/>
          <w:numId w:val="2"/>
        </w:numPr>
        <w:spacing w:after="80"/>
      </w:pPr>
      <w:r>
        <w:rPr>
          <w:rFonts w:ascii="Segoe UI Light" w:cs="Segoe UI Light" w:eastAsia="Segoe UI Light" w:hAnsi="Segoe UI Light"/>
          <w:color w:val="212121"/>
          <w:sz w:val="21"/>
          <w:szCs w:val="21"/>
        </w:rPr>
        <w:t xml:space="preserve">Business Travel &amp; Entertainment Policy (FIN-022)</w:t>
      </w:r>
    </w:p>
    <w:p>
      <w:pPr>
        <w:pStyle w:val="ListParagraph"/>
        <w:numPr>
          <w:ilvl w:val="0"/>
          <w:numId w:val="2"/>
        </w:numPr>
        <w:spacing w:after="80"/>
      </w:pPr>
      <w:r>
        <w:rPr>
          <w:rFonts w:ascii="Segoe UI Light" w:cs="Segoe UI Light" w:eastAsia="Segoe UI Light" w:hAnsi="Segoe UI Light"/>
          <w:color w:val="212121"/>
          <w:sz w:val="21"/>
          <w:szCs w:val="21"/>
        </w:rPr>
        <w:t xml:space="preserve">Code of Conduct (HR-020)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Light" w:cs="Segoe UI Light" w:eastAsia="Segoe UI Light" w:hAnsi="Segoe UI Light"/>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2026-09-24T10:02:41.867Z</dcterms:created>
  <dcterms:modified xsi:type="dcterms:W3CDTF">2026-09-24T10:02:41.867Z</dcterms:modified>
</cp:coreProperties>
</file>

<file path=docProps/custom.xml><?xml version="1.0" encoding="utf-8"?>
<Properties xmlns="http://schemas.openxmlformats.org/officeDocument/2006/custom-properties" xmlns:vt="http://schemas.openxmlformats.org/officeDocument/2006/docPropsVTypes"/>
</file>