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tell me about parallel regions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Новый тестовый проект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Нет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2024-09-21 19:14:09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Не используется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111.27842712402344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language. Since the author believes in the superiority of Fortran 95 over Fortran77 and inthe importance of a good programming methodology, the present document only presentsthose features of OpenMP which are in agreement with such a programming philosophy.This is the reason why it is advisable to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113.78644561767578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logical(kind = OMP_logical_kind) :: OMP_get_dynamic</w:t>
              <w:br/>
              <w:t xml:space="preserve">end function OMP_get_dynamic</w:t>
              <w:br/>
              <w:t xml:space="preserve">4.1.9 OMPsetnested</w:t>
              <w:br/>
              <w:t xml:space="preserve">This subroutine enables or disables the nested parallelism. Its interface declaration is:</w:t>
              <w:br/>
              <w:t xml:space="preserve">subroutine OMP_set_nested(enable)</w:t>
              <w:br/>
              <w:t xml:space="preserve">logical(kind = OMP_logical_kind), intent(in) :: enable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119.4226303100586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(1).pdf_213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all the other explicit or implied synchronizations in OpenMP.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1.246077060699463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are also so called serial regions .</w:t>
              <w:br/>
              <w:t xml:space="preserve">When a thread executing a serial region encounters a parallel region, it creates a team</w:t>
              <w:br/>
              <w:t xml:space="preserve">of threads, and it becomes the master thread of the team. The master thread is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1.2684730291366577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(1).pdf_90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</w:t>
              <w:br/>
              <w:t xml:space="preserve">All work-sharing constructs must be placed inside dynamic extends of parallel regions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1.294600248336792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0.6495093107223511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0.7424559593200684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(1).pdf_360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When a do-loop is parallelized and its iterations distributed over the diﬀerent threads, the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0.7515613436698914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(1).pdf_405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This subroutine sets the number of threads to be used by subsequent parallel regions.</w:t>
              <w:br/>
              <w:t xml:space="preserve">Therefore, it can only be called from outside of a parallel region. Its interface declaration</w:t>
              <w:br/>
              <w:t xml:space="preserve">looks as follows:</w:t>
              <w:br/>
              <w:t xml:space="preserve">subroutine OMP_set_num_threads(number_of_threads)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