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34snb2f5r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Renovation Cost Tracker – Dokumentacja architektury wielowarstwowej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q0lq577ft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Cel i zakres aplikacji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REST‑owe API w FastAPI służące do rejestrowania i monitorowania kosztów remontu mieszkania. Aplikacja udostępnia trzy główne warstwy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Domain → Application → Infrastructure</w:t>
      </w:r>
      <w:r w:rsidDel="00000000" w:rsidR="00000000" w:rsidRPr="00000000">
        <w:rPr>
          <w:rtl w:val="0"/>
        </w:rPr>
        <w:t xml:space="preserve"> (warstwa prezentacji = kontrolery FastAPI). Dane przechowywane są w PostgreSQL, a w testach mogą być uruchamiane na SQLite.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ynayspvop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Wymagania funkcjonalne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8.2626852154663"/>
        <w:gridCol w:w="7372.276420718977"/>
        <w:gridCol w:w="1114.9727050891802"/>
        <w:tblGridChange w:id="0">
          <w:tblGrid>
            <w:gridCol w:w="538.2626852154663"/>
            <w:gridCol w:w="7372.276420718977"/>
            <w:gridCol w:w="1114.972705089180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Wymaganie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Priorytet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F‑1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Rejestracja użytkownika (e‑mail, hasło)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Wysoki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F‑2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Logowanie i otrzymanie tokenu JWT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Wysoki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F‑3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Utworzenie projektu remontowego (nazwa, budżet)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Wysoki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F‑4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Dodanie wydatku do projektu (kwota, kategoria, dostawca, data, opis, załącznik URL)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Wysoki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F‑5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Edycja i usuwanie wydatku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Średni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F‑6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Lista wydatków z filtrami (data, kategoria, dostawca)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Wysoki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F‑7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Podsumowania projektu: łączny koszt, koszt wg kategorii, pozostały budżet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Wysoki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F‑8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Eksport wydatków projektu do pliku 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Średni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F‑9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Import wydatków z CSV (opcjonalnie)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Niski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m3oskxfqf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g4inn07iu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44ght5ayc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gufkahjip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Wymagania niefunkcjonalne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Wydajność:</w:t>
      </w:r>
      <w:r w:rsidDel="00000000" w:rsidR="00000000" w:rsidRPr="00000000">
        <w:rPr>
          <w:rtl w:val="0"/>
        </w:rPr>
        <w:t xml:space="preserve"> czas odpowiedzi API ≤ 200 ms dla zapytań do cache.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Bezpieczeństwo:</w:t>
      </w:r>
      <w:r w:rsidDel="00000000" w:rsidR="00000000" w:rsidRPr="00000000">
        <w:rPr>
          <w:rtl w:val="0"/>
        </w:rPr>
        <w:t xml:space="preserve"> szyfrowanie TLS, JWT, haszowanie haseł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, zabezpieczenia OWASP Top 10.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Utrzymywalność: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pokrycie testów ≥ 85 %, kod zgodny z PEP 8 i SOLID.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Portowalność:</w:t>
      </w:r>
      <w:r w:rsidDel="00000000" w:rsidR="00000000" w:rsidRPr="00000000">
        <w:rPr>
          <w:rtl w:val="0"/>
        </w:rPr>
        <w:t xml:space="preserve"> obraz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docker‑compose</w:t>
      </w:r>
      <w:r w:rsidDel="00000000" w:rsidR="00000000" w:rsidRPr="00000000">
        <w:rPr>
          <w:rtl w:val="0"/>
        </w:rPr>
        <w:t xml:space="preserve"> (FastAPI + PostgreSQL) oraz możliwość podmiany bazy na SQLite w testach.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Skalowalność:</w:t>
      </w:r>
      <w:r w:rsidDel="00000000" w:rsidR="00000000" w:rsidRPr="00000000">
        <w:rPr>
          <w:rtl w:val="0"/>
        </w:rPr>
        <w:t xml:space="preserve"> warstwy pozwalają na łatwe dodanie np. integracji z bank API.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