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САНКТ-ПЕТЕРБУРГСКИЙ НАЦИОНАЛЬНЫЙ</w:t>
      </w:r>
    </w:p>
    <w:p>
      <w:pPr>
        <w:jc w:val="center"/>
      </w:pPr>
      <w:r>
        <w:rPr>
          <w:b/>
          <w:sz w:val="26"/>
        </w:rPr>
        <w:t>ИССЛЕДОВАТЕЛЬСКИЙ УНИВЕРСИТЕТ ИТМО</w:t>
      </w:r>
    </w:p>
    <w:p>
      <w:pPr>
        <w:jc w:val="center"/>
      </w:pPr>
      <w:r>
        <w:t>Факультет: Программная инженерия и компьютерная техника</w:t>
      </w:r>
    </w:p>
    <w:p>
      <w:pPr>
        <w:jc w:val="center"/>
      </w:pPr>
      <w:r>
        <w:t>Дисциплина: Бэк-энд разработка</w:t>
      </w:r>
    </w:p>
    <w:p/>
    <w:p/>
    <w:p/>
    <w:p/>
    <w:p>
      <w:pPr>
        <w:jc w:val="center"/>
      </w:pPr>
      <w:r>
        <w:rPr>
          <w:b/>
          <w:sz w:val="32"/>
        </w:rPr>
        <w:t>ОТЧЁТ</w:t>
      </w:r>
    </w:p>
    <w:p>
      <w:pPr>
        <w:jc w:val="center"/>
      </w:pPr>
      <w:r>
        <w:rPr>
          <w:b/>
          <w:sz w:val="28"/>
        </w:rPr>
        <w:t>по практической работе №4</w:t>
      </w:r>
    </w:p>
    <w:p>
      <w:pPr>
        <w:jc w:val="center"/>
      </w:pPr>
      <w:r>
        <w:rPr>
          <w:b/>
          <w:sz w:val="28"/>
        </w:rPr>
        <w:t>«Технический дизайн микросервисной архитектуры»</w:t>
      </w:r>
    </w:p>
    <w:p>
      <w:pPr>
        <w:jc w:val="center"/>
      </w:pPr>
      <w:r>
        <w:rPr>
          <w:sz w:val="26"/>
        </w:rPr>
        <w:t>Тема: Сайт для поиска работы</w:t>
      </w:r>
    </w:p>
    <w:p/>
    <w:p/>
    <w:p/>
    <w:p/>
    <w:p/>
    <w:p>
      <w:pPr>
        <w:jc w:val="right"/>
      </w:pPr>
      <w:r>
        <w:t>Выполнил: Макаров Е. О.</w:t>
      </w:r>
    </w:p>
    <w:p>
      <w:pPr>
        <w:jc w:val="right"/>
      </w:pPr>
      <w:r>
        <w:t>Группа: ____</w:t>
      </w:r>
    </w:p>
    <w:p>
      <w:pPr>
        <w:jc w:val="right"/>
      </w:pPr>
      <w:r>
        <w:t>Проверил: Добряков Д. И.</w:t>
      </w:r>
    </w:p>
    <w:p/>
    <w:p/>
    <w:p/>
    <w:p/>
    <w:p>
      <w:pPr>
        <w:jc w:val="center"/>
      </w:pPr>
      <w:r>
        <w:t>Санкт-Петербург,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1. Задача</w:t>
      </w:r>
    </w:p>
    <w:p>
      <w:r>
        <w:rPr>
          <w:b w:val="0"/>
        </w:rPr>
        <w:t>Спроектировать переход монолитного бэкенд-приложения сайта поиска работы к микросервисной архитектуре, придерживаясь концепции database-per-service. Необходимо:</w:t>
      </w:r>
    </w:p>
    <w:p>
      <w:pPr>
        <w:pStyle w:val="ListBullet"/>
      </w:pPr>
      <w:r>
        <w:t>разделить монолит на микросервисы по доменным границам;</w:t>
      </w:r>
    </w:p>
    <w:p>
      <w:pPr>
        <w:pStyle w:val="ListBullet"/>
      </w:pPr>
      <w:r>
        <w:t>спроектировать разделение единой БД на обособленные БД сервисов;</w:t>
      </w:r>
    </w:p>
    <w:p>
      <w:pPr>
        <w:pStyle w:val="ListBullet"/>
      </w:pPr>
      <w:r>
        <w:t>описать взаимосвязи сервисов и способы их взаимодействия;</w:t>
      </w:r>
    </w:p>
    <w:p>
      <w:pPr>
        <w:pStyle w:val="ListBullet"/>
      </w:pPr>
      <w:r>
        <w:t>спроектировать эндпоинты межсервисного взаимодействия в формате OpenAPI;</w:t>
      </w:r>
    </w:p>
    <w:p>
      <w:pPr>
        <w:pStyle w:val="ListBullet"/>
      </w:pPr>
      <w:r>
        <w:t>описать запросы, ответы и возможные ошибки;</w:t>
      </w:r>
    </w:p>
    <w:p>
      <w:pPr>
        <w:pStyle w:val="ListBullet"/>
      </w:pPr>
      <w:r>
        <w:t>сформировать перечень требований и шагов разделения монолита.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2. Ход работы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2.1. Принципы и требования к разделению</w:t>
      </w:r>
    </w:p>
    <w:p>
      <w:pPr>
        <w:pStyle w:val="ListBullet"/>
      </w:pPr>
      <w:r>
        <w:t>Database-per-service: каждый сервис владеет собственной БД, прямой доступ к чужой БД запрещён.</w:t>
      </w:r>
    </w:p>
    <w:p>
      <w:pPr>
        <w:pStyle w:val="ListBullet"/>
      </w:pPr>
      <w:r>
        <w:t>Границы сервисов проходят по бизнес-доменам (bounded context), а не по таблицам.</w:t>
      </w:r>
    </w:p>
    <w:p>
      <w:pPr>
        <w:pStyle w:val="ListBullet"/>
      </w:pPr>
      <w:r>
        <w:t>Сервисы слабо связаны: общение только через API (синхронно) или события (асинхронно).</w:t>
      </w:r>
    </w:p>
    <w:p>
      <w:pPr>
        <w:pStyle w:val="ListBullet"/>
      </w:pPr>
      <w:r>
        <w:t>Связи между данными разных сервисов хранятся как внешние идентификаторы без межбазовых внешних ключей; целостность — на уровне приложения.</w:t>
      </w:r>
    </w:p>
    <w:p>
      <w:pPr>
        <w:pStyle w:val="ListBullet"/>
      </w:pPr>
      <w:r>
        <w:t>Единая точка входа для клиента — API Gateway; публичный контракт (ДЗ2) не меняется.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2.2. Выделенные микросервисы</w:t>
      </w:r>
    </w:p>
    <w:p>
      <w:r>
        <w:rPr>
          <w:b w:val="0"/>
        </w:rPr>
        <w:t>Монолит разделён на 6 сервисов по доменным областям: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Сервис</w:t>
            </w:r>
          </w:p>
        </w:tc>
        <w:tc>
          <w:tcPr>
            <w:tcW w:type="dxa" w:w="5386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Ответственность</w:t>
            </w:r>
          </w:p>
        </w:tc>
        <w:tc>
          <w:tcPr>
            <w:tcW w:type="dxa" w:w="1417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Порт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Auth Service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Регистрация, вход, выдача и проверка JWT, роли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0"/>
              </w:rPr>
              <w:t>3001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Catalog Service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Справочники навыков и отраслей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0"/>
              </w:rPr>
              <w:t>3002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Seeker Service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Профиль соискателя, резюме, опыт, образование, навыки резюме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0"/>
              </w:rPr>
              <w:t>3003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Employer Service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Профиль работодателя, компании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0"/>
              </w:rPr>
              <w:t>3004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Vacancy Service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Вакансии, навыки вакансий, избранное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0"/>
              </w:rPr>
              <w:t>3005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 Service</w:t>
            </w:r>
          </w:p>
        </w:tc>
        <w:tc>
          <w:tcPr>
            <w:tcW w:type="dxa" w:w="5386"/>
          </w:tcPr>
          <w:p>
            <w:r>
              <w:rPr>
                <w:rFonts w:ascii="Times New Roman" w:hAnsi="Times New Roman"/>
                <w:b w:val="0"/>
                <w:sz w:val="20"/>
              </w:rPr>
              <w:t>Отклики на вакансии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b w:val="0"/>
                <w:sz w:val="20"/>
              </w:rPr>
              <w:t>3006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2.3. Разделение базы данных (database-per-service)</w:t>
      </w:r>
    </w:p>
    <w:p>
      <w:r>
        <w:rPr>
          <w:b w:val="0"/>
        </w:rPr>
        <w:t>Единая БД из 14 таблиц (ДЗ1) разделена на 6 обособленных БД: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БД сервиса</w:t>
            </w:r>
          </w:p>
        </w:tc>
        <w:tc>
          <w:tcPr>
            <w:tcW w:type="dxa" w:w="6803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Таблицы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auth_db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users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catalog_db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skills, industries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seeker_db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job_seekers, resumes, work_experiences, educations, resume_skills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employer_db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employers, companies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vacancy_db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vacancies, vacancy_skills, saved_vacancies</w:t>
            </w:r>
          </w:p>
        </w:tc>
      </w:tr>
      <w:tr>
        <w:tc>
          <w:tcPr>
            <w:tcW w:type="dxa" w:w="255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application_db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applications</w:t>
            </w:r>
          </w:p>
        </w:tc>
      </w:tr>
    </w:tbl>
    <w:p/>
    <w:p>
      <w:r>
        <w:rPr>
          <w:b w:val="0"/>
        </w:rPr>
        <w:t>Связующие таблицы M:N (resume_skills, vacancy_skills) остаются в БД сервиса-владельца резюме/вакансии и ссылаются на навыки по id; названия навыков подтягиваются из Catalog Service по запросу.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2.4. Способы взаимодействия</w:t>
      </w:r>
    </w:p>
    <w:p>
      <w:r>
        <w:rPr>
          <w:b/>
        </w:rPr>
        <w:t>Применяются два способа взаимодействия:</w:t>
      </w:r>
    </w:p>
    <w:p>
      <w:r>
        <w:rPr>
          <w:b w:val="0"/>
        </w:rPr>
        <w:t>Синхронное (REST, внутренний API /internal) — когда нужен немедленный ответ: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Вызывающий</w:t>
            </w:r>
          </w:p>
        </w:tc>
        <w:tc>
          <w:tcPr>
            <w:tcW w:type="dxa" w:w="1984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Вызываемый</w:t>
            </w:r>
          </w:p>
        </w:tc>
        <w:tc>
          <w:tcPr>
            <w:tcW w:type="dxa" w:w="510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компании работодателя при создании вакансии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Vacancy / Seeker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Catalog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Получение названий навыков по skill_ids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существования вакансии при отклике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Seeker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владения резюме при отклике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API Gateway</w:t>
            </w:r>
          </w:p>
        </w:tc>
        <w:tc>
          <w:tcPr>
            <w:tcW w:type="dxa" w:w="1984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Централизованная проверка JWT (verify-token)</w:t>
            </w:r>
          </w:p>
        </w:tc>
      </w:tr>
    </w:tbl>
    <w:p/>
    <w:p>
      <w:r>
        <w:rPr>
          <w:b w:val="0"/>
        </w:rPr>
        <w:t>Асинхронное (события через RabbitMQ) — для слабосвязанных реакций (развивается в ДЗ5):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Событие</w:t>
            </w:r>
          </w:p>
        </w:tc>
        <w:tc>
          <w:tcPr>
            <w:tcW w:type="dxa" w:w="170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Издатель</w:t>
            </w:r>
          </w:p>
        </w:tc>
        <w:tc>
          <w:tcPr>
            <w:tcW w:type="dxa" w:w="5102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Подписчики и реакция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UserRegistered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Seeker/Employer создают пустой профиль под нового пользователя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ApplicationCreated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Application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/>
                <w:b w:val="0"/>
                <w:sz w:val="20"/>
              </w:rPr>
              <w:t>Employer/уведомления получают сигнал о новом отклике</w:t>
            </w:r>
          </w:p>
        </w:tc>
      </w:tr>
    </w:tbl>
    <w:p/>
    <w:p>
      <w:r>
        <w:rPr>
          <w:b w:val="0"/>
        </w:rPr>
        <w:t>Схема взаимодействия сервисов приведена в приложении (architecture.md, диаграмма в нотации Mermaid).</w:t>
      </w:r>
    </w:p>
    <w:p>
      <w:pPr>
        <w:pStyle w:val="Heading2"/>
      </w:pPr>
      <w:r>
        <w:rPr>
          <w:rFonts w:ascii="Times New Roman" w:hAnsi="Times New Roman"/>
          <w:color w:val="000000"/>
          <w:sz w:val="26"/>
        </w:rPr>
        <w:t>2.5. Эндпоинты межсервисного взаимодействия</w:t>
      </w:r>
    </w:p>
    <w:p>
      <w:r>
        <w:rPr>
          <w:b w:val="0"/>
        </w:rPr>
        <w:t>Внутренний API (/internal) спроектирован в формате OpenAPI (файл microservices_openapi.yaml, 10 эндпоинтов). Доступ — только по служебному заголовку X-Internal-Token. Основные эндпоинты: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Сервис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Эндпоинт</w:t>
            </w:r>
          </w:p>
        </w:tc>
        <w:tc>
          <w:tcPr>
            <w:tcW w:type="dxa" w:w="3685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/internal/users/{id}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Данные и роль пользователя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Auth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POST /internal/users/verify-token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Проверка JWT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Catalog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/internal/skills?ids=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Навыки по списку id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Catalog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/internal/industries/{id}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Отрасль по id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Seeker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/internal/resumes/{id}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Резюме (для Application)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/internal/companies/{id}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Компания (для Vacancy)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Employer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/internal/employers/{id}/company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Компания работодателя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0"/>
              </w:rPr>
              <w:t>Vacancy</w:t>
            </w:r>
          </w:p>
        </w:tc>
        <w:tc>
          <w:tcPr>
            <w:tcW w:type="dxa" w:w="3969"/>
          </w:tcPr>
          <w:p>
            <w:r>
              <w:rPr>
                <w:rFonts w:ascii="Times New Roman" w:hAnsi="Times New Roman"/>
                <w:b w:val="0"/>
                <w:sz w:val="20"/>
              </w:rPr>
              <w:t>GET /internal/vacancies/{id}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sz w:val="20"/>
              </w:rPr>
              <w:t>Вакансия (для Application)</w:t>
            </w:r>
          </w:p>
        </w:tc>
      </w:tr>
    </w:tbl>
    <w:p/>
    <w:p>
      <w:r>
        <w:rPr>
          <w:b/>
        </w:rPr>
        <w:t>Пример запроса/ответа (Application → Vacancy):</w:t>
      </w:r>
    </w:p>
    <w:p>
      <w:r>
        <w:rPr>
          <w:rFonts w:ascii="Consolas" w:hAnsi="Consolas"/>
          <w:sz w:val="18"/>
        </w:rPr>
        <w:t>GET /internal/vacancies/50</w:t>
        <w:br/>
        <w:t>X-Internal-Token: &lt;служебный токен&gt;</w:t>
        <w:br/>
        <w:br/>
        <w:t>200 OK</w:t>
        <w:br/>
        <w:t>{</w:t>
        <w:br/>
        <w:t xml:space="preserve">  "id": 50,</w:t>
        <w:br/>
        <w:t xml:space="preserve">  "company_id": 7,</w:t>
        <w:br/>
        <w:t xml:space="preserve">  "employer_id": 4,</w:t>
        <w:br/>
        <w:t xml:space="preserve">  "title": "Senior Node.js Developer",</w:t>
        <w:br/>
        <w:t xml:space="preserve">  "status": "active"</w:t>
        <w:br/>
        <w:t>}</w:t>
      </w:r>
    </w:p>
    <w:p>
      <w:r>
        <w:rPr>
          <w:b w:val="0"/>
        </w:rPr>
        <w:t>Возможные ошибки межсервисных вызовов: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6236"/>
            <w:shd w:val="clear" w:fill="D9D9D9"/>
          </w:tcPr>
          <w:p>
            <w:r>
              <w:rPr>
                <w:rFonts w:ascii="Times New Roman" w:hAnsi="Times New Roman"/>
                <w:b/>
                <w:sz w:val="20"/>
              </w:rPr>
              <w:t>Когда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401 UNAUTHORIZED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Недействительный X-Internal-Token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404 NOT_FOUND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Запрошенная сущность не найдена в сервисе-владельце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sz w:val="20"/>
              </w:rPr>
              <w:t>503 Service Unavailable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0"/>
              </w:rPr>
              <w:t>Сервис-владелец недоступен (нужен таймаут/ретрай/circuit breaker)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  <w:sz w:val="26"/>
        </w:rPr>
        <w:t>2.6. Шаги разделения монолита на микросервисы</w:t>
      </w:r>
    </w:p>
    <w:p>
      <w:r>
        <w:rPr>
          <w:b w:val="0"/>
        </w:rPr>
        <w:t>Последовательность миграции:</w:t>
      </w:r>
    </w:p>
    <w:p>
      <w:pPr>
        <w:pStyle w:val="ListBullet"/>
      </w:pPr>
      <w:r>
        <w:t>1. Выделить доменные границы и зафиксировать состав каждого сервиса (см. 2.2).</w:t>
      </w:r>
    </w:p>
    <w:p>
      <w:pPr>
        <w:pStyle w:val="ListBullet"/>
      </w:pPr>
      <w:r>
        <w:t>2. Разнести таблицы по отдельным БД; заменить межтабличные внешние ключи на хранение внешних id (см. 2.3).</w:t>
      </w:r>
    </w:p>
    <w:p>
      <w:pPr>
        <w:pStyle w:val="ListBullet"/>
      </w:pPr>
      <w:r>
        <w:t>3. Вынести из монолита код по сервисам (модели, контроллеры), сохранив публичные контракты ДЗ2.</w:t>
      </w:r>
    </w:p>
    <w:p>
      <w:pPr>
        <w:pStyle w:val="ListBullet"/>
      </w:pPr>
      <w:r>
        <w:t>4. Реализовать внутренний API /internal для синхронных вызовов (см. 2.5).</w:t>
      </w:r>
    </w:p>
    <w:p>
      <w:pPr>
        <w:pStyle w:val="ListBullet"/>
      </w:pPr>
      <w:r>
        <w:t>5. Поднять API Gateway: маршрутизация и централизованная проверка JWT.</w:t>
      </w:r>
    </w:p>
    <w:p>
      <w:pPr>
        <w:pStyle w:val="ListBullet"/>
      </w:pPr>
      <w:r>
        <w:t>6. Подключить RabbitMQ и перевести слабосвязанные операции на события (ДЗ5).</w:t>
      </w:r>
    </w:p>
    <w:p>
      <w:pPr>
        <w:pStyle w:val="ListBullet"/>
      </w:pPr>
      <w:r>
        <w:t>7. Контейнеризировать сервисы и описать общий docker-compose (ЛР3).</w:t>
      </w:r>
    </w:p>
    <w:p>
      <w:pPr>
        <w:pStyle w:val="Heading1"/>
      </w:pPr>
      <w:r>
        <w:rPr>
          <w:rFonts w:ascii="Times New Roman" w:hAnsi="Times New Roman"/>
          <w:color w:val="000000"/>
          <w:sz w:val="30"/>
        </w:rPr>
        <w:t>3. Вывод</w:t>
      </w:r>
    </w:p>
    <w:p>
      <w:r>
        <w:rPr>
          <w:b w:val="0"/>
        </w:rPr>
        <w:t>Спроектирован переход монолитного приложения сайта поиска работы к микросервисной архитектуре. Монолит разделён на 6 сервисов по доменным границам с принципом database-per-service: единая БД из 14 таблиц разнесена на 6 обособленных БД.</w:t>
      </w:r>
    </w:p>
    <w:p>
      <w:r>
        <w:rPr>
          <w:b w:val="0"/>
        </w:rPr>
        <w:t>Описаны способы взаимодействия — синхронные REST-вызовы внутреннего API /internal (спроектированы в OpenAPI, 10 эндпоинтов с запросами, ответами и ошибками) и асинхронные события через RabbitMQ. Приведена схема взаимосвязей сервисов и пошаговый план разделения монолита, служащий основой для последующей реализации (ЛР2) и подключения очередей сообщений (ДЗ5).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