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САНКТ-ПЕТЕРБУРГСКИЙ НАЦИОНАЛЬНЫЙ</w:t>
      </w:r>
    </w:p>
    <w:p>
      <w:pPr>
        <w:jc w:val="center"/>
      </w:pPr>
      <w:r>
        <w:rPr>
          <w:b/>
          <w:sz w:val="26"/>
        </w:rPr>
        <w:t>ИССЛЕДОВАТЕЛЬСКИЙ УНИВЕРСИТЕТ ИТМО</w:t>
      </w:r>
    </w:p>
    <w:p>
      <w:pPr>
        <w:jc w:val="center"/>
      </w:pPr>
      <w:r>
        <w:t>Факультет: Программная инженерия и компьютерная техника</w:t>
      </w:r>
    </w:p>
    <w:p>
      <w:pPr>
        <w:jc w:val="center"/>
      </w:pPr>
      <w:r>
        <w:t>Дисциплина: Бэк-энд разработка</w:t>
      </w:r>
    </w:p>
    <w:p/>
    <w:p/>
    <w:p/>
    <w:p/>
    <w:p>
      <w:pPr>
        <w:jc w:val="center"/>
      </w:pPr>
      <w:r>
        <w:rPr>
          <w:b/>
          <w:sz w:val="32"/>
        </w:rPr>
        <w:t>ОТЧЁТ</w:t>
      </w:r>
    </w:p>
    <w:p>
      <w:pPr>
        <w:jc w:val="center"/>
      </w:pPr>
      <w:r>
        <w:rPr>
          <w:b/>
          <w:sz w:val="28"/>
        </w:rPr>
        <w:t>по лабораторной работе №2</w:t>
      </w:r>
    </w:p>
    <w:p>
      <w:pPr>
        <w:jc w:val="center"/>
      </w:pPr>
      <w:r>
        <w:rPr>
          <w:b/>
          <w:sz w:val="28"/>
        </w:rPr>
        <w:t>«Реализация микросервисов»</w:t>
      </w:r>
    </w:p>
    <w:p>
      <w:pPr>
        <w:jc w:val="center"/>
      </w:pPr>
      <w:r>
        <w:rPr>
          <w:sz w:val="26"/>
        </w:rPr>
        <w:t>Тема: Сайт для поиска работы</w:t>
      </w:r>
    </w:p>
    <w:p/>
    <w:p/>
    <w:p/>
    <w:p/>
    <w:p/>
    <w:p>
      <w:pPr>
        <w:jc w:val="right"/>
      </w:pPr>
      <w:r>
        <w:t>Выполнил: Макаров Е. О.</w:t>
      </w:r>
    </w:p>
    <w:p>
      <w:pPr>
        <w:jc w:val="right"/>
      </w:pPr>
      <w:r>
        <w:t>Группа: ____</w:t>
      </w:r>
    </w:p>
    <w:p>
      <w:pPr>
        <w:jc w:val="right"/>
      </w:pPr>
      <w:r>
        <w:t>Проверил: Добряков Д. И.</w:t>
      </w:r>
    </w:p>
    <w:p/>
    <w:p/>
    <w:p/>
    <w:p/>
    <w:p>
      <w:pPr>
        <w:jc w:val="center"/>
      </w:pPr>
      <w:r>
        <w:t>Санкт-Петербург,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1. Задача</w:t>
      </w:r>
    </w:p>
    <w:p>
      <w:r>
        <w:rPr>
          <w:b w:val="0"/>
        </w:rPr>
        <w:t>Опираясь на технический дизайн микросервисной архитектуры (ДЗ4), реализовать разделение монолитного бэкенд-приложения (ЛР1) на микросервисы. Каждый сервис должен иметь собственную БД (database-per-service), а взаимодействие между сервисами — осуществляться через их API.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2. Ход работы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2.1. Состав микросервисов</w:t>
      </w:r>
    </w:p>
    <w:p>
      <w:r>
        <w:rPr>
          <w:b w:val="0"/>
        </w:rPr>
        <w:t>Монолит разделён на 6 сервисов и API Gateway: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Сервис</w:t>
            </w:r>
          </w:p>
        </w:tc>
        <w:tc>
          <w:tcPr>
            <w:tcW w:type="dxa" w:w="907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Порт</w:t>
            </w:r>
          </w:p>
        </w:tc>
        <w:tc>
          <w:tcPr>
            <w:tcW w:type="dxa" w:w="1587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БД</w:t>
            </w:r>
          </w:p>
        </w:tc>
        <w:tc>
          <w:tcPr>
            <w:tcW w:type="dxa" w:w="5102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Ответственность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0"/>
              </w:rPr>
              <w:t>gateway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sz w:val="20"/>
              </w:rPr>
              <w:t>3000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Единая точка входа, маршрутизация /api/v1/*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0"/>
              </w:rPr>
              <w:t>auth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sz w:val="20"/>
              </w:rPr>
              <w:t>3001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/>
                <w:b w:val="0"/>
                <w:sz w:val="20"/>
              </w:rPr>
              <w:t>auth_db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Регистрация, вход, JWT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0"/>
              </w:rPr>
              <w:t>catalog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sz w:val="20"/>
              </w:rPr>
              <w:t>3002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/>
                <w:b w:val="0"/>
                <w:sz w:val="20"/>
              </w:rPr>
              <w:t>catalog_db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Справочники навыков и отраслей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0"/>
              </w:rPr>
              <w:t>seeker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sz w:val="20"/>
              </w:rPr>
              <w:t>3003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/>
                <w:b w:val="0"/>
                <w:sz w:val="20"/>
              </w:rPr>
              <w:t>seeker_db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Профиль соискателя, резюме, опыт, образование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0"/>
              </w:rPr>
              <w:t>employer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sz w:val="20"/>
              </w:rPr>
              <w:t>3004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/>
                <w:b w:val="0"/>
                <w:sz w:val="20"/>
              </w:rPr>
              <w:t>employer_db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Профиль работодателя, компании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0"/>
              </w:rPr>
              <w:t>vacancy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sz w:val="20"/>
              </w:rPr>
              <w:t>3005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/>
                <w:b w:val="0"/>
                <w:sz w:val="20"/>
              </w:rPr>
              <w:t>vacancy_db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Вакансии, навыки вакансий, избранное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sz w:val="20"/>
              </w:rPr>
              <w:t>3006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application_db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Отклики на вакансии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  <w:sz w:val="26"/>
        </w:rPr>
        <w:t>2.2. Архитектура реализации</w:t>
      </w:r>
    </w:p>
    <w:p>
      <w:r>
        <w:rPr>
          <w:b w:val="0"/>
        </w:rPr>
        <w:t>Сервисы реализованы в едином репозитории с общим Docker-образом; запускаемый сервис выбирается переменной окружения SERVICE (файл bootstrap.ts). Это устраняет дублирование инфраструктурного кода, сохраняя изоляцию: каждый контейнер — отдельный процесс на своём порту со своей БД.</w:t>
      </w:r>
    </w:p>
    <w:p>
      <w:r>
        <w:rPr>
          <w:rFonts w:ascii="Consolas" w:hAnsi="Consolas"/>
          <w:sz w:val="18"/>
        </w:rPr>
        <w:t>src/</w:t>
        <w:br/>
        <w:t xml:space="preserve">  bootstrap.ts     выбор и запуск сервиса по SERVICE</w:t>
        <w:br/>
        <w:t xml:space="preserve">  common/          общий код: env, jwt, ошибки, middleware, internalClient</w:t>
        <w:br/>
        <w:t xml:space="preserve">  gateway/         API Gateway (реверс-прокси http-proxy-middleware)</w:t>
        <w:br/>
        <w:t xml:space="preserve">  services/</w:t>
        <w:br/>
        <w:t xml:space="preserve">    auth/ catalog/ seeker/ employer/ vacancy/ application/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2.3. Разделение БД (database-per-service)</w:t>
      </w:r>
    </w:p>
    <w:p>
      <w:r>
        <w:rPr>
          <w:b w:val="0"/>
        </w:rPr>
        <w:t>Единая БД из 14 таблиц разнесена на 6 обособленных БД (создаются скриптом init-dbs.sql). Фактическое разделение подтверждено: каждая БД содержит только свои таблицы.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БД</w:t>
            </w:r>
          </w:p>
        </w:tc>
        <w:tc>
          <w:tcPr>
            <w:tcW w:type="dxa" w:w="7087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Таблицы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auth_db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/>
                <w:b w:val="0"/>
                <w:sz w:val="20"/>
              </w:rPr>
              <w:t>users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catalog_db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/>
                <w:b w:val="0"/>
                <w:sz w:val="20"/>
              </w:rPr>
              <w:t>skills, industries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seeker_db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/>
                <w:b w:val="0"/>
                <w:sz w:val="20"/>
              </w:rPr>
              <w:t>job_seekers, resumes, work_experiences, educations, resume_skills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employer_db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/>
                <w:b w:val="0"/>
                <w:sz w:val="20"/>
              </w:rPr>
              <w:t>employers, companies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vacancy_db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/>
                <w:b w:val="0"/>
                <w:sz w:val="20"/>
              </w:rPr>
              <w:t>vacancies, vacancy_skills, saved_vacancies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application_db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applications</w:t>
            </w:r>
          </w:p>
        </w:tc>
      </w:tr>
    </w:tbl>
    <w:p/>
    <w:p>
      <w:r>
        <w:rPr>
          <w:b w:val="0"/>
        </w:rPr>
        <w:t>Связи между сервисами хранятся как внешние идентификаторы без межбазовых внешних ключей. Для локальной фильтрации применена денормализация: vacancy.industry_id (фильтр по отрасли), application.job_seeker_id и application.company_id (выборки соискателя и работодателя).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2.4. Межсервисное взаимодействие</w:t>
      </w:r>
    </w:p>
    <w:p>
      <w:r>
        <w:rPr>
          <w:b w:val="0"/>
        </w:rPr>
        <w:t>Сервисы общаются по REST через внутренний API /internal, защищённый служебным заголовком X-Internal-Token (модуль common/internalClient.ts). Реализованные вызовы: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1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Вызывающий</w:t>
            </w:r>
          </w:p>
        </w:tc>
        <w:tc>
          <w:tcPr>
            <w:tcW w:type="dxa" w:w="1871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Вызываемый</w:t>
            </w:r>
          </w:p>
        </w:tc>
        <w:tc>
          <w:tcPr>
            <w:tcW w:type="dxa" w:w="5386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auth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seeker / employer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b w:val="0"/>
                <w:sz w:val="20"/>
              </w:rPr>
              <w:t>Создание профиля при регистрации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vacancy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employer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b w:val="0"/>
                <w:sz w:val="20"/>
              </w:rPr>
              <w:t>Проверка принадлежности компании, денормализация отрасли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vacancy / seeker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catalog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b w:val="0"/>
                <w:sz w:val="20"/>
              </w:rPr>
              <w:t>Получение названий навыков по id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vacancy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b w:val="0"/>
                <w:sz w:val="20"/>
              </w:rPr>
              <w:t>Проверка существования вакансии при отклике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seeker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b w:val="0"/>
                <w:sz w:val="20"/>
              </w:rPr>
              <w:t>Проверка владения резюме при отклике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 w:val="0"/>
                <w:sz w:val="20"/>
              </w:rPr>
              <w:t>employer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b w:val="0"/>
                <w:sz w:val="20"/>
              </w:rPr>
              <w:t>Определение компании работодателя для доступа к откликам</w:t>
            </w:r>
          </w:p>
        </w:tc>
      </w:tr>
    </w:tbl>
    <w:p/>
    <w:p>
      <w:r>
        <w:rPr>
          <w:b w:val="0"/>
        </w:rPr>
        <w:t>Аутентификация пользователя — JWT с общим секретом: каждый сервис проверяет токен локально. API Gateway проксирует запросы и передаёт заголовок Authorization дальше.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2.5. API Gateway</w:t>
      </w:r>
    </w:p>
    <w:p>
      <w:r>
        <w:rPr>
          <w:b w:val="0"/>
        </w:rPr>
        <w:t>Gateway (порт 3000) — единая точка входа. Маршрутизирует /api/v1/* по сервисам на основе пути (например, /vacancies → vacancy, а /vacancies/{id}/applications → application). Тело запроса проксируется потоком без разбора. Внешний контракт (API из ДЗ2) для клиента не меняется.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2.6. Запуск и проверка</w:t>
      </w:r>
    </w:p>
    <w:p>
      <w:r>
        <w:rPr>
          <w:b w:val="0"/>
        </w:rPr>
        <w:t>Весь стек поднимается одной командой:</w:t>
      </w:r>
    </w:p>
    <w:p>
      <w:r>
        <w:rPr>
          <w:rFonts w:ascii="Consolas" w:hAnsi="Consolas"/>
          <w:sz w:val="18"/>
        </w:rPr>
        <w:t>docker compose up -d --build</w:t>
      </w:r>
    </w:p>
    <w:p>
      <w:r>
        <w:rPr>
          <w:b w:val="0"/>
        </w:rPr>
        <w:t>Поднимаются PostgreSQL (6 БД), 6 сервисов и gateway. Работоспособность проверена сквозным сценарием через gateway, затрагивающим все сервисы: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Шаг</w:t>
            </w:r>
          </w:p>
        </w:tc>
        <w:tc>
          <w:tcPr>
            <w:tcW w:type="dxa" w:w="3685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Задействованные сервисы</w:t>
            </w:r>
          </w:p>
        </w:tc>
        <w:tc>
          <w:tcPr>
            <w:tcW w:type="dxa" w:w="3118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Регистрация работодателя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gateway → auth → employer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201, профиль создан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Создание компании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gateway → employer (+catalog)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201, отрасль из catalog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Публикация вакансии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gateway → vacancy → employer, catalog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201, навыки из catalog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Регистрация соискателя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gateway → auth → seeker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201, профиль создан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Поиск вакансий с фильтрами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gateway → vacancy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200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Создание резюме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gateway → seeker → catalog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201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Отклик на вакансию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gateway → application → vacancy, seeker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201, pending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Просмотр откликов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gateway → application → vacancy, employer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200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Смена статуса отклика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gateway → application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200, invited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Повторный отклик / без токена / чужая роль / 404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разные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409 / 401 / 403 / 404</w:t>
            </w:r>
          </w:p>
        </w:tc>
      </w:tr>
    </w:tbl>
    <w:p/>
    <w:p>
      <w:r>
        <w:rPr>
          <w:b w:val="0"/>
        </w:rPr>
        <w:t>Все шаги отработали корректно, что подтверждает работоспособность микросервисной архитектуры и межсервисного взаимодействия.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3. Вывод</w:t>
      </w:r>
    </w:p>
    <w:p>
      <w:r>
        <w:rPr>
          <w:b w:val="0"/>
        </w:rPr>
        <w:t>Монолитное приложение сайта поиска работы разделено на 6 микросервисов и API Gateway согласно дизайну ДЗ4. Реализован принцип database-per-service: единая БД из 14 таблиц разнесена на 6 обособленных БД, изоляция подтверждена фактически.</w:t>
      </w:r>
    </w:p>
    <w:p>
      <w:r>
        <w:rPr>
          <w:b w:val="0"/>
        </w:rPr>
        <w:t>Межсервисное взаимодействие реализовано через внутренний REST API (/internal) со служебной аутентификацией; применена денормализация данных для локальных выборок. Поднят API Gateway как единая точка входа, сохраняющий внешний контракт. Весь стек контейнеризирован (docker-compose) и проверен сквозным сценарием, охватывающим все сервисы и основные ошибки.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